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DEPLOY-TM-003</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TrafficMesh Technologies Inc. / CommunityShield Inc.</w:t>
      </w:r>
    </w:p>
    <w:p>
      <w:pPr>
        <w:spacing w:after="300" w:before="0"/>
        <w:jc w:val="center"/>
      </w:pPr>
      <w:r>
        <w:rPr>
          <w:rFonts w:ascii="Arial" w:cs="Arial" w:eastAsia="Arial" w:hAnsi="Arial"/>
          <w:color w:val="595959"/>
          <w:sz w:val="22"/>
          <w:szCs w:val="22"/>
        </w:rPr>
        <w:t xml:space="preserve">TrafficMesh Civilian Opt-In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DEPLOY-TM-003</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Deployment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Prerequisite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Phase 2 city fleet expansion operational. CCSC cooperative established. Insurance API agreement with at least 1 insurer signed.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Ottawa residents with dashcams, CommunityShield HOA members, rideshare drivers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DEPLOY-TM-001 | DEPLOY-TM-002 | LEGAL-CM-013 | LEGAL-CCSC-001 | MKT-CCSC-001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Pre-Launch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 at Launch</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CCSC cooperative incorporated and operational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Required — members join CCSC at opt-in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membership is the legal structure through which revenue share flows to participants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Patronage distribution system tested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Required — end-to-end test with internal test accounts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 must flow correctly before public launch — payment errors destroy trust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At least 1 insurance premium reduction agreement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Required — drives the strongest civilian opt-in incentive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Without insurance discount, the financial case for opt-in is weaker. Insurance partner announcement anchors the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Government node owner stipend programme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Strongly preferred — if municipality has committed to stipends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Stipend announcement dramatically increases opt-in conversion 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Member App rated for public release (iOS/Android)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Consumer app must be polished before public launch — poor UX is the primary opt-in failure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Public camera map infrastructure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Required — transparency requirement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Residents must be able to see all active nodes on a public map before joining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Impact Assessment completed and published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PIPEDA compliance documentation must be publicly accessible at launch</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Launch Sequencing</w:t>
      </w:r>
    </w:p>
    <w:p>
      <w:pPr>
        <w:pStyle w:val="ListParagraph"/>
        <w:numPr>
          <w:ilvl w:val="0"/>
          <w:numId w:val="2"/>
        </w:numPr>
        <w:spacing w:after="40" w:before="40"/>
      </w:pPr>
      <w:r>
        <w:rPr>
          <w:rFonts w:ascii="Arial" w:cs="Arial" w:eastAsia="Arial" w:hAnsi="Arial"/>
          <w:sz w:val="20"/>
          <w:szCs w:val="20"/>
        </w:rPr>
        <w:t xml:space="preserve">Insurance partner announcement — 30 days before launch: 'CivicMesh drivers who opt in earn a [X]% discount on their auto insurance with [Insurer]. Enroll when the Member App launches [date].'</w:t>
      </w:r>
    </w:p>
    <w:p>
      <w:pPr>
        <w:pStyle w:val="ListParagraph"/>
        <w:numPr>
          <w:ilvl w:val="0"/>
          <w:numId w:val="2"/>
        </w:numPr>
        <w:spacing w:after="40" w:before="40"/>
      </w:pPr>
      <w:r>
        <w:rPr>
          <w:rFonts w:ascii="Arial" w:cs="Arial" w:eastAsia="Arial" w:hAnsi="Arial"/>
          <w:sz w:val="20"/>
          <w:szCs w:val="20"/>
        </w:rPr>
        <w:t xml:space="preserve">Revenue share publication — 20 days before launch: publish the exact revenue share formula. Citizens should know exactly what they earn per validated citation before they opt in. No surprises.</w:t>
      </w:r>
    </w:p>
    <w:p>
      <w:pPr>
        <w:pStyle w:val="ListParagraph"/>
        <w:numPr>
          <w:ilvl w:val="0"/>
          <w:numId w:val="2"/>
        </w:numPr>
        <w:spacing w:after="40" w:before="40"/>
      </w:pPr>
      <w:r>
        <w:rPr>
          <w:rFonts w:ascii="Arial" w:cs="Arial" w:eastAsia="Arial" w:hAnsi="Arial"/>
          <w:sz w:val="20"/>
          <w:szCs w:val="20"/>
        </w:rPr>
        <w:t xml:space="preserve">Member App public release — launch day: iOS App Store + Google Play Store release. Web version also live. Press release issued by D-Central and by CCSC cooperative.</w:t>
      </w:r>
    </w:p>
    <w:p>
      <w:pPr>
        <w:pStyle w:val="ListParagraph"/>
        <w:numPr>
          <w:ilvl w:val="0"/>
          <w:numId w:val="2"/>
        </w:numPr>
        <w:spacing w:after="40" w:before="40"/>
      </w:pPr>
      <w:r>
        <w:rPr>
          <w:rFonts w:ascii="Arial" w:cs="Arial" w:eastAsia="Arial" w:hAnsi="Arial"/>
          <w:sz w:val="20"/>
          <w:szCs w:val="20"/>
        </w:rPr>
        <w:t xml:space="preserve">Hardware subsidy programme activation — launch day: residents who enroll in the first 30 days receive a subsidized dashcam kit ($99 vs $249 retail). Subsidy funded from first 3 months of city revenue share.</w:t>
      </w:r>
    </w:p>
    <w:p>
      <w:pPr>
        <w:pStyle w:val="ListParagraph"/>
        <w:numPr>
          <w:ilvl w:val="0"/>
          <w:numId w:val="2"/>
        </w:numPr>
        <w:spacing w:after="40" w:before="40"/>
      </w:pPr>
      <w:r>
        <w:rPr>
          <w:rFonts w:ascii="Arial" w:cs="Arial" w:eastAsia="Arial" w:hAnsi="Arial"/>
          <w:sz w:val="20"/>
          <w:szCs w:val="20"/>
        </w:rPr>
        <w:t xml:space="preserve">Community manager outreach — Week 1: all active CommunityShield HOA managers receive a personal briefing on civilian opt-in and how to promote it to their residents.</w:t>
      </w:r>
    </w:p>
    <w:p>
      <w:pPr>
        <w:pStyle w:val="ListParagraph"/>
        <w:numPr>
          <w:ilvl w:val="0"/>
          <w:numId w:val="2"/>
        </w:numPr>
        <w:spacing w:after="40" w:before="40"/>
      </w:pPr>
      <w:r>
        <w:rPr>
          <w:rFonts w:ascii="Arial" w:cs="Arial" w:eastAsia="Arial" w:hAnsi="Arial"/>
          <w:sz w:val="20"/>
          <w:szCs w:val="20"/>
        </w:rPr>
        <w:t xml:space="preserve">First patronage distribution — Month 1: even if amounts are small, the first real patronage payment is a trust-building moment. Announce it publicly: 'CivicMesh paid $[X] in community dividends to [N] Ottawa residents in our first month.'</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3. Hardware Subsidy Programme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800"/>
        <w:gridCol w:w="1800"/>
        <w:gridCol w:w="2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Hardware Included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Subsidized Price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Full Price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Eligibility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Basic Dashcam Kit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Compatible 1080p dashcam + installation guide + Member App setup guide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$199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Ottawa residents who opt in within first 30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Advanced Kit (node-capable)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1080p dashcam + edge compute module for on-device privacy processing + OBD-II adapter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$399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Residents who opt in to both enforcement and insurance data share programmes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 Community Kit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5-camera CommunityShield kit + community NAS + setup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$1,299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HOAs with active Participation Agreement who opt in civilian members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Framing — The Community Dividend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Primary 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'Ottawa's road safety network — owned by the community, profitable for participants.' Your dashcam earns you money while improving safety on Ottawa's roads.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to avoid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 not use 'surveillance,' 'monitoring,' or 'reporting on neighbours.' The framing is: your device helps document road safety violations the same way a witness provides a statement. You are compensated for contributing to a community safety infrastructure you also benefit from.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Cooperative angle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is a cooperative — you're not just a user, you're a member. You have a vote, a voice, and a share of the revenue.' This distinguishes from Ring (Amazon owned) and Waze (Google owned) explicitly.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Privacy first in every 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Lead every external communication about the civilian programme with the privacy protections: 'CivicMesh never stores continuous footage. Your data is yours. You can opt out at any time. Every law enforcement access to your data is logged and you're notified within 48 hours.'</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2026-05-27T00:06:14.552Z</dcterms:created>
  <dcterms:modified xsi:type="dcterms:W3CDTF">2026-05-27T00:06:14.552Z</dcterms:modified>
</cp:coreProperties>
</file>

<file path=docProps/custom.xml><?xml version="1.0" encoding="utf-8"?>
<Properties xmlns="http://schemas.openxmlformats.org/officeDocument/2006/custom-properties" xmlns:vt="http://schemas.openxmlformats.org/officeDocument/2006/docPropsVTypes"/>
</file>