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OPS-GUARD-001</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D-Central Group / CivicMesh Inc.</w:t>
      </w:r>
    </w:p>
    <w:p>
      <w:pPr>
        <w:spacing w:after="300" w:before="0"/>
        <w:jc w:val="center"/>
      </w:pPr>
      <w:r>
        <w:rPr>
          <w:rFonts w:ascii="Arial" w:cs="Arial" w:eastAsia="Arial" w:hAnsi="Arial"/>
          <w:color w:val="595959"/>
          <w:sz w:val="22"/>
          <w:szCs w:val="22"/>
        </w:rPr>
        <w:t xml:space="preserve">CivicMesh Security Response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OPS-GUARD-001</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Operations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Applies To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D-Central Guard field responders, certified Security Response Cooperative members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DC-CM-APP-005 | LEGAL-GUARD-COOP-001 | OPS-CM-001 | DC-CM-B2B-003</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1. Dispatch and Response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Event 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Response SLA (Standard Tier)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Response SLA (Gold Tier)</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Escalation Trigger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Acoustic event — altercation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Accept: 5 min. On-scene: 30 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Accept: 3 min. On-scene: 20 min.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Confirmed weapons, injuries, or ongoing violent altercation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Acoustic event — glass break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Accept: 5 min. On-scene: 30 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Accept: 3 min. On-scene: 20 min.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Active intruder confirmed on scene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Acoustic event — gunshot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Accept: immediate. En route: immediate.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Accept: immediate. En route: immediate.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Always escalate to 911 immediately AND respond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Trespassing / unauthorized vehicle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Accept: 10 min. On-scene: 45 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Accept: 5 min. On-scene: 25 min.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Intruder refuses to leave or becomes threatening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Parking enforcement (private property)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Accept: 30 min. On-scene: 2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Accept: 15 min. On-scene: 1 hour.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Rarely — no escalation for parking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CommunityShield vandalism detection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Accept: 15 min. On-scene: 45 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Accept: 10 min. On-scene: 30 min.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Active vandal still on scene</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On-Scene Procedure</w:t>
      </w:r>
    </w:p>
    <w:p>
      <w:pPr>
        <w:pStyle w:val="ListParagraph"/>
        <w:numPr>
          <w:ilvl w:val="0"/>
          <w:numId w:val="2"/>
        </w:numPr>
        <w:spacing w:after="40" w:before="40"/>
      </w:pPr>
      <w:r>
        <w:rPr>
          <w:rFonts w:ascii="Arial" w:cs="Arial" w:eastAsia="Arial" w:hAnsi="Arial"/>
          <w:sz w:val="20"/>
          <w:szCs w:val="20"/>
        </w:rPr>
        <w:t xml:space="preserve">Accept dispatch in Response App. Navigation launches automatically. ETA pushed to NOC and community manager.</w:t>
      </w:r>
    </w:p>
    <w:p>
      <w:pPr>
        <w:pStyle w:val="ListParagraph"/>
        <w:numPr>
          <w:ilvl w:val="0"/>
          <w:numId w:val="2"/>
        </w:numPr>
        <w:spacing w:after="40" w:before="40"/>
      </w:pPr>
      <w:r>
        <w:rPr>
          <w:rFonts w:ascii="Arial" w:cs="Arial" w:eastAsia="Arial" w:hAnsi="Arial"/>
          <w:sz w:val="20"/>
          <w:szCs w:val="20"/>
        </w:rPr>
        <w:t xml:space="preserve">En route: review evidence package clip provided in dispatch. Note: violation type, location, vehicle description, time of event.</w:t>
      </w:r>
    </w:p>
    <w:p>
      <w:pPr>
        <w:pStyle w:val="ListParagraph"/>
        <w:numPr>
          <w:ilvl w:val="0"/>
          <w:numId w:val="2"/>
        </w:numPr>
        <w:spacing w:after="40" w:before="40"/>
      </w:pPr>
      <w:r>
        <w:rPr>
          <w:rFonts w:ascii="Arial" w:cs="Arial" w:eastAsia="Arial" w:hAnsi="Arial"/>
          <w:sz w:val="20"/>
          <w:szCs w:val="20"/>
        </w:rPr>
        <w:t xml:space="preserve">On arrival: assess scene safety FIRST. If active threat to personal safety: do not approach, call 911 immediately, notify NOC.</w:t>
      </w:r>
    </w:p>
    <w:p>
      <w:pPr>
        <w:pStyle w:val="ListParagraph"/>
        <w:numPr>
          <w:ilvl w:val="0"/>
          <w:numId w:val="2"/>
        </w:numPr>
        <w:spacing w:after="40" w:before="40"/>
      </w:pPr>
      <w:r>
        <w:rPr>
          <w:rFonts w:ascii="Arial" w:cs="Arial" w:eastAsia="Arial" w:hAnsi="Arial"/>
          <w:sz w:val="20"/>
          <w:szCs w:val="20"/>
        </w:rPr>
        <w:t xml:space="preserve">Document scene: open On-Scene screen in Response App. Photo documentation — minimum 3 photos: overview of scene, specific evidence of violation/incident, any relevant signage. All photos GPS-tagged automatically.</w:t>
      </w:r>
    </w:p>
    <w:p>
      <w:pPr>
        <w:pStyle w:val="ListParagraph"/>
        <w:numPr>
          <w:ilvl w:val="0"/>
          <w:numId w:val="2"/>
        </w:numPr>
        <w:spacing w:after="40" w:before="40"/>
      </w:pPr>
      <w:r>
        <w:rPr>
          <w:rFonts w:ascii="Arial" w:cs="Arial" w:eastAsia="Arial" w:hAnsi="Arial"/>
          <w:sz w:val="20"/>
          <w:szCs w:val="20"/>
        </w:rPr>
        <w:t xml:space="preserve">Responder credential display: if approached by any party, display credential QR code from Response App. This confirms licensed security status and CivicMesh authorization.</w:t>
      </w:r>
    </w:p>
    <w:p>
      <w:pPr>
        <w:pStyle w:val="ListParagraph"/>
        <w:numPr>
          <w:ilvl w:val="0"/>
          <w:numId w:val="2"/>
        </w:numPr>
        <w:spacing w:after="40" w:before="40"/>
      </w:pPr>
      <w:r>
        <w:rPr>
          <w:rFonts w:ascii="Arial" w:cs="Arial" w:eastAsia="Arial" w:hAnsi="Arial"/>
          <w:sz w:val="20"/>
          <w:szCs w:val="20"/>
        </w:rPr>
        <w:t xml:space="preserve">Responder action by incident type: [See Section 3 below for type-specific procedures]</w:t>
      </w:r>
    </w:p>
    <w:p>
      <w:pPr>
        <w:pStyle w:val="ListParagraph"/>
        <w:numPr>
          <w:ilvl w:val="0"/>
          <w:numId w:val="2"/>
        </w:numPr>
        <w:spacing w:after="40" w:before="40"/>
      </w:pPr>
      <w:r>
        <w:rPr>
          <w:rFonts w:ascii="Arial" w:cs="Arial" w:eastAsia="Arial" w:hAnsi="Arial"/>
          <w:sz w:val="20"/>
          <w:szCs w:val="20"/>
        </w:rPr>
        <w:t xml:space="preserve">Close incident: Response App → Resolve/Escalate/Refer. Mandatory 2-sentence resolution note minimum. NOC automatically notified on close.</w:t>
      </w:r>
    </w:p>
    <w:p>
      <w:pPr>
        <w:spacing w:after="0" w:before="120"/>
      </w:pPr>
      <w:r>
        <w:t xml:space="preserve"/>
      </w:r>
    </w:p>
    <w:p>
      <w:pPr>
        <w:pStyle w:val="Heading1"/>
        <w:spacing w:after="160" w:before="320"/>
      </w:pPr>
      <w:r>
        <w:rPr>
          <w:rFonts w:ascii="Arial" w:cs="Arial" w:eastAsia="Arial" w:hAnsi="Arial"/>
          <w:b/>
          <w:bCs/>
          <w:color w:val="1F3864"/>
          <w:sz w:val="32"/>
          <w:szCs w:val="32"/>
        </w:rPr>
        <w:t xml:space="preserve">3. Incident-Type Specific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Incident Type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On-Scene Action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Documentation</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Escalation Standard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Unauthorized parking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Photograph vehicle + signage showing restriction. Note vehicle plate (automatic from Response App ALPR). Issue community notice under community manager authority if authorized in dispatch.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Photo evidence uploaded automatically. ALPR result logged.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Escalate if driver is present and aggressive.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Trespassing — vehicle or person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Approach and identify yourself as licensed security ('I'm with [company], this is a private property and you are not authorized to be here'). Request departure. Do not physically remove.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Time of contact, response of trespasser, departure confirmed or refused.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If refuses: call bylaw (if available) or police. Do not escalate to physical confrontation.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Suspicious activity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Observe and document. Do not approach unless authorized by community manager.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Detailed observation notes + photos where safe to take.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Escalate to police if criminal activity suspected.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Vandalism in progress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Observe and document. Do not attempt to physically stop vandal.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Photos + video description + suspect description.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Call police immediately if damage is occurring.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Acoustic event — confirmed gunshot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Do NOT approach scene. Take cover. Call 911 immediately. Provide: location, number of shots heard, direction, time. Maintain safe distance until police arrive.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NOC auto-generates incident report. Responder adds observations when safe.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Always 911. Always.</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4. Evidence Chain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Every responder action creates a chain entry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photos, notes, and status changes in the Response App are automatically signed with the responder's DID and timestamped. This creates an unbroken evidence chain from the original node detection event through to incident resolution.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 not modify evidence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Do not alter, delete, or replace any photos or notes once submitted. If you made an error: add a correction note referencing the original entry. Do not delete the original.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Handoff documentation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If incident is escalated to police, the Response App generates a handoff package: original evidence clip, responder documentation, chain of custody log. Provide to attending officer and retain a copy in the incident record.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Body camera integration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If responder carries a body camera, footage should be correlated with the Response App incident record by reference (body cam footage ID → incident record). Body cam footage is NOT automatically uploaded to CivicMesh — responder's employer manages body cam footage separately.</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5. Interaction with Sworn Officers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When police arrive at a scene you are managing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Identify yourself, your company, and your authorization. Provide the incident reference number from the Response App. Offer the handoff documentation package. Defer to sworn officers on all enforcement decisions.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If police request your personal information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Provide name, company, and security licence number. You are not required to provide your DID wallet or CivicMesh credential data to police outside of the formal federation request process.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If police request the community's CivicMesh footage directly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Inform them that footage requests must be submitted through the formal CivicMesh federation request process (civicmesh.ca/enforcement-request). Provide the MSSP NOC contact number.</w:t>
            </w:r>
          </w:p>
        </w:tc>
      </w:tr>
    </w:tbl>
    <w:p>
      <w:pPr>
        <w:pStyle w:val="Heading1"/>
        <w:spacing w:after="160" w:before="320"/>
      </w:pPr>
      <w:r>
        <w:rPr>
          <w:rFonts w:ascii="Arial" w:cs="Arial" w:eastAsia="Arial" w:hAnsi="Arial"/>
          <w:b/>
          <w:bCs/>
          <w:color w:val="1F3864"/>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2026-05-26T12:41:39.984Z</dcterms:created>
  <dcterms:modified xsi:type="dcterms:W3CDTF">2026-05-26T12:41:39.984Z</dcterms:modified>
</cp:coreProperties>
</file>

<file path=docProps/custom.xml><?xml version="1.0" encoding="utf-8"?>
<Properties xmlns="http://schemas.openxmlformats.org/officeDocument/2006/custom-properties" xmlns:vt="http://schemas.openxmlformats.org/officeDocument/2006/docPropsVTypes"/>
</file>