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Vương Hà Hải Đăng</w:t>
      </w:r>
      <w:r>
        <w:tab/>
      </w:r>
      <w:r>
        <w:rPr>
          <w:rFonts w:ascii="Times New Roman" w:hAnsi="Times New Roman"/>
          <w:sz w:val="26"/>
        </w:rPr>
        <w:t xml:space="preserve">Ngày sinh: </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0</w:t>
            </w:r>
          </w:p>
        </w:tc>
        <w:tc>
          <w:tcPr>
            <w:tcW w:w="853" w:type="dxa"/>
            <w:gridSpan w:val="2"/>
            <w:tcBorders>
              <w:top w:val="nil"/>
              <w:left w:val="nil"/>
              <w:bottom w:val="single" w:sz="4" w:space="0" w:color="auto"/>
              <w:right w:val="single" w:sz="4" w:space="0" w:color="auto"/>
            </w:tcBorders>
            <w:noWrap/>
          </w:tcPr>
          <w:p>
            <w:pPr>
              <w:jc w:val="center"/>
            </w:pPr>
            <w:r>
              <w:t>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