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Phạm Thị Quỳnh Như</w:t>
            </w:r>
          </w:p>
        </w:tc>
        <w:tc>
          <w:tcPr>
            <w:tcW w:type="dxa" w:w="3118"/>
            <w:tcBorders>
              <w:top w:val="none"/>
              <w:left w:val="none"/>
              <w:bottom w:val="none"/>
              <w:right w:val="none"/>
              <w:insideH w:val="none"/>
              <w:insideV w:val="none"/>
            </w:tcBorders>
          </w:tcPr>
          <w:p>
            <w:pPr>
              <w:jc w:val="right"/>
            </w:pPr>
            <w:r>
              <w:t>Ngày sinh: 10/02/2007</w:t>
            </w:r>
          </w:p>
        </w:tc>
      </w:tr>
      <w:tr>
        <w:tc>
          <w:tcPr>
            <w:tcW w:type="dxa" w:w="6236"/>
            <w:tcBorders>
              <w:top w:val="none"/>
              <w:left w:val="none"/>
              <w:bottom w:val="none"/>
              <w:right w:val="none"/>
              <w:insideH w:val="none"/>
              <w:insideV w:val="none"/>
            </w:tcBorders>
          </w:tcPr>
          <w:p>
            <w:r>
              <w:t>Mã số sinh viên: N25DECE061</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14</w:t>
            </w:r>
          </w:p>
        </w:tc>
        <w:tc>
          <w:tcPr>
            <w:tcW w:w="906" w:type="dxa"/>
            <w:gridSpan w:val="3"/>
            <w:tcBorders>
              <w:top w:val="nil"/>
              <w:left w:val="nil"/>
              <w:bottom w:val="single" w:color="auto" w:sz="4" w:space="0"/>
              <w:right w:val="single" w:color="auto" w:sz="4" w:space="0"/>
            </w:tcBorders>
            <w:noWrap/>
            <w:vAlign w:val="center"/>
          </w:tcPr>
          <w:p>
            <w:pPr>
              <w:jc w:val="center"/>
            </w:pPr>
            <w:r>
              <w:t>14</w:t>
            </w:r>
          </w:p>
        </w:tc>
        <w:tc>
          <w:tcPr>
            <w:tcW w:w="847" w:type="dxa"/>
            <w:tcBorders>
              <w:top w:val="nil"/>
              <w:left w:val="nil"/>
              <w:bottom w:val="single" w:color="auto" w:sz="4" w:space="0"/>
              <w:right w:val="single" w:color="auto" w:sz="4" w:space="0"/>
            </w:tcBorders>
            <w:noWrap/>
            <w:vAlign w:val="center"/>
          </w:tcPr>
          <w:p>
            <w:pPr>
              <w:jc w:val="center"/>
            </w:pPr>
            <w:r>
              <w:t>14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0" w:type="dxa"/>
            <w:gridSpan w:val="2"/>
            <w:tcBorders>
              <w:top w:val="nil"/>
              <w:left w:val="nil"/>
              <w:bottom w:val="single" w:color="auto" w:sz="4" w:space="0"/>
              <w:right w:val="single" w:color="auto" w:sz="4" w:space="0"/>
            </w:tcBorders>
            <w:noWrap/>
            <w:vAlign w:val="center"/>
          </w:tcPr>
          <w:p>
            <w:pPr>
              <w:jc w:val="center"/>
            </w:pPr>
            <w:r>
              <w:t>3</w:t>
            </w:r>
          </w:p>
        </w:tc>
        <w:tc>
          <w:tcPr>
            <w:tcW w:w="853" w:type="dxa"/>
            <w:gridSpan w:val="2"/>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60</w:t>
            </w:r>
          </w:p>
        </w:tc>
        <w:tc>
          <w:tcPr>
            <w:tcW w:w="900" w:type="dxa"/>
            <w:gridSpan w:val="2"/>
            <w:tcBorders>
              <w:top w:val="nil"/>
              <w:left w:val="nil"/>
              <w:bottom w:val="single" w:color="auto" w:sz="4" w:space="0"/>
              <w:right w:val="single" w:color="auto" w:sz="4" w:space="0"/>
            </w:tcBorders>
            <w:noWrap/>
            <w:vAlign w:val="top"/>
          </w:tcPr>
          <w:p>
            <w:pPr>
              <w:jc w:val="center"/>
            </w:pPr>
            <w:r>
              <w:t>60</w:t>
            </w:r>
          </w:p>
        </w:tc>
        <w:tc>
          <w:tcPr>
            <w:tcW w:w="853" w:type="dxa"/>
            <w:gridSpan w:val="2"/>
            <w:tcBorders>
              <w:top w:val="nil"/>
              <w:left w:val="nil"/>
              <w:bottom w:val="single" w:color="auto" w:sz="4" w:space="0"/>
              <w:right w:val="single" w:color="auto" w:sz="4" w:space="0"/>
            </w:tcBorders>
            <w:noWrap/>
            <w:vAlign w:val="top"/>
          </w:tcPr>
          <w:p>
            <w:pPr>
              <w:jc w:val="center"/>
            </w:pPr>
            <w:r>
              <w:t>60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Phạm Thị Quỳnh Như</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