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Quang Đức</w:t>
            </w:r>
          </w:p>
        </w:tc>
        <w:tc>
          <w:tcPr>
            <w:tcW w:type="dxa" w:w="3118"/>
            <w:tcBorders>
              <w:top w:val="none"/>
              <w:left w:val="none"/>
              <w:bottom w:val="none"/>
              <w:right w:val="none"/>
              <w:insideH w:val="none"/>
              <w:insideV w:val="none"/>
            </w:tcBorders>
          </w:tcPr>
          <w:p>
            <w:pPr>
              <w:jc w:val="right"/>
            </w:pPr>
            <w:r>
              <w:t>Ngày sinh: 22/06/2007</w:t>
            </w:r>
          </w:p>
        </w:tc>
      </w:tr>
      <w:tr>
        <w:tc>
          <w:tcPr>
            <w:tcW w:type="dxa" w:w="6236"/>
            <w:tcBorders>
              <w:top w:val="none"/>
              <w:left w:val="none"/>
              <w:bottom w:val="none"/>
              <w:right w:val="none"/>
              <w:insideH w:val="none"/>
              <w:insideV w:val="none"/>
            </w:tcBorders>
          </w:tcPr>
          <w:p>
            <w:r>
              <w:t>Mã số sinh viên: N25DECE047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Phan Quang 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