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Phạm Thị Quỳnh Như</w:t>
            </w:r>
          </w:p>
        </w:tc>
        <w:tc>
          <w:tcPr>
            <w:tcW w:type="dxa" w:w="3118"/>
            <w:tcBorders>
              <w:top w:val="none"/>
              <w:left w:val="none"/>
              <w:bottom w:val="none"/>
              <w:right w:val="none"/>
              <w:insideH w:val="none"/>
              <w:insideV w:val="none"/>
            </w:tcBorders>
          </w:tcPr>
          <w:p>
            <w:pPr>
              <w:jc w:val="right"/>
            </w:pPr>
            <w:r>
              <w:t>Ngày sinh: 10/02/2007</w:t>
            </w:r>
          </w:p>
        </w:tc>
      </w:tr>
      <w:tr>
        <w:tc>
          <w:tcPr>
            <w:tcW w:type="dxa" w:w="6236"/>
            <w:tcBorders>
              <w:top w:val="none"/>
              <w:left w:val="none"/>
              <w:bottom w:val="none"/>
              <w:right w:val="none"/>
              <w:insideH w:val="none"/>
              <w:insideV w:val="none"/>
            </w:tcBorders>
          </w:tcPr>
          <w:p>
            <w:r>
              <w:t>Mã số sinh viên: N25DECE061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Phạm Thị</w:t>
              <w:br/>
              <w:t>Quỳnh Như</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