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Quân Vương</w:t>
      </w:r>
      <w:r>
        <w:tab/>
      </w:r>
      <w:r>
        <w:rPr>
          <w:rFonts w:ascii="Times New Roman" w:hAnsi="Times New Roman"/>
          <w:sz w:val="26"/>
        </w:rPr>
        <w:t xml:space="preserve">Ngày sinh: </w:t>
      </w:r>
      <w:r>
        <w:rPr>
          <w:rFonts w:ascii="Times New Roman" w:hAnsi="Times New Roman"/>
          <w:sz w:val="26"/>
        </w:rPr>
        <w:t>16/04/2007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N25DECE076</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0" w:type="dxa"/>
            <w:gridSpan w:val="2"/>
            <w:tcBorders>
              <w:top w:val="nil"/>
              <w:left w:val="nil"/>
              <w:bottom w:val="single" w:sz="4" w:space="0" w:color="auto"/>
              <w:right w:val="single" w:sz="4" w:space="0" w:color="auto"/>
            </w:tcBorders>
            <w:noWrap/>
            <w:vAlign w:val="center"/>
          </w:tcPr>
          <w:p>
            <w:pPr>
              <w:jc w:val="center"/>
            </w:pPr>
            <w:r>
              <w:t>9</w:t>
            </w:r>
          </w:p>
        </w:tc>
        <w:tc>
          <w:tcPr>
            <w:tcW w:w="853" w:type="dxa"/>
            <w:gridSpan w:val="2"/>
            <w:tcBorders>
              <w:top w:val="nil"/>
              <w:left w:val="nil"/>
              <w:bottom w:val="single" w:sz="4" w:space="0" w:color="auto"/>
              <w:right w:val="single" w:sz="4" w:space="0" w:color="auto"/>
            </w:tcBorders>
            <w:noWrap/>
            <w:vAlign w:val="center"/>
          </w:tcPr>
          <w:p>
            <w:pPr>
              <w:jc w:val="center"/>
            </w:pPr>
            <w:r>
              <w:t>9</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75</w:t>
            </w:r>
          </w:p>
        </w:tc>
        <w:tc>
          <w:tcPr>
            <w:tcW w:w="900" w:type="dxa"/>
            <w:gridSpan w:val="2"/>
            <w:tcBorders>
              <w:top w:val="nil"/>
              <w:left w:val="nil"/>
              <w:bottom w:val="single" w:sz="4" w:space="0" w:color="auto"/>
              <w:right w:val="single" w:sz="4" w:space="0" w:color="auto"/>
            </w:tcBorders>
            <w:noWrap/>
          </w:tcPr>
          <w:p>
            <w:pPr>
              <w:jc w:val="center"/>
            </w:pPr>
            <w:r>
              <w:t>66</w:t>
            </w:r>
          </w:p>
        </w:tc>
        <w:tc>
          <w:tcPr>
            <w:tcW w:w="853" w:type="dxa"/>
            <w:gridSpan w:val="2"/>
            <w:tcBorders>
              <w:top w:val="nil"/>
              <w:left w:val="nil"/>
              <w:bottom w:val="single" w:sz="4" w:space="0" w:color="auto"/>
              <w:right w:val="single" w:sz="4" w:space="0" w:color="auto"/>
            </w:tcBorders>
            <w:noWrap/>
          </w:tcPr>
          <w:p>
            <w:pPr>
              <w:jc w:val="center"/>
            </w:pPr>
            <w:r>
              <w:t>66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Quân Vương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Quân Vương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