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Phương Quốc Vương</w:t>
            </w:r>
          </w:p>
        </w:tc>
        <w:tc>
          <w:tcPr>
            <w:tcW w:type="dxa" w:w="3118"/>
            <w:tcBorders>
              <w:top w:val="none"/>
              <w:left w:val="none"/>
              <w:bottom w:val="none"/>
              <w:right w:val="none"/>
              <w:insideH w:val="none"/>
              <w:insideV w:val="none"/>
            </w:tcBorders>
          </w:tcPr>
          <w:p>
            <w:pPr>
              <w:jc w:val="right"/>
            </w:pPr>
            <w:r>
              <w:t>Ngày sinh: 03/07/2007</w:t>
            </w:r>
          </w:p>
        </w:tc>
      </w:tr>
      <w:tr>
        <w:tc>
          <w:tcPr>
            <w:tcW w:type="dxa" w:w="6236"/>
            <w:tcBorders>
              <w:top w:val="none"/>
              <w:left w:val="none"/>
              <w:bottom w:val="none"/>
              <w:right w:val="none"/>
              <w:insideH w:val="none"/>
              <w:insideV w:val="none"/>
            </w:tcBorders>
          </w:tcPr>
          <w:p>
            <w:r>
              <w:t>Mã số sinh viên: N25DECE086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86</w:t>
            </w:r>
          </w:p>
        </w:tc>
        <w:tc>
          <w:tcPr>
            <w:tcW w:w="900" w:type="dxa"/>
            <w:gridSpan w:val="2"/>
            <w:tcBorders>
              <w:top w:val="nil"/>
              <w:left w:val="nil"/>
              <w:bottom w:val="single" w:color="auto" w:sz="4" w:space="0"/>
              <w:right w:val="single" w:color="auto" w:sz="4" w:space="0"/>
            </w:tcBorders>
            <w:noWrap/>
            <w:vAlign w:val="top"/>
          </w:tcPr>
          <w:p>
            <w:pPr>
              <w:jc w:val="center"/>
            </w:pPr>
            <w:r>
              <w:t>86</w:t>
            </w:r>
          </w:p>
        </w:tc>
        <w:tc>
          <w:tcPr>
            <w:tcW w:w="853" w:type="dxa"/>
            <w:gridSpan w:val="2"/>
            <w:tcBorders>
              <w:top w:val="nil"/>
              <w:left w:val="nil"/>
              <w:bottom w:val="single" w:color="auto" w:sz="4" w:space="0"/>
              <w:right w:val="single" w:color="auto" w:sz="4" w:space="0"/>
            </w:tcBorders>
            <w:noWrap/>
            <w:vAlign w:val="top"/>
          </w:tcPr>
          <w:p>
            <w:pPr>
              <w:jc w:val="center"/>
            </w:pPr>
            <w:r>
              <w:t>86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Phương</w:t>
              <w:br/>
              <w:t>Quốc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