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Phan Quang Đức</w:t>
      </w:r>
      <w:r>
        <w:tab/>
      </w:r>
      <w:r>
        <w:rPr>
          <w:rFonts w:ascii="Times New Roman" w:hAnsi="Times New Roman"/>
          <w:sz w:val="26"/>
        </w:rPr>
        <w:t xml:space="preserve">Ngày sinh: </w:t>
      </w:r>
      <w:r>
        <w:rPr>
          <w:rFonts w:ascii="Times New Roman" w:hAnsi="Times New Roman"/>
          <w:sz w:val="26"/>
        </w:rPr>
        <w:t>22/06/2007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N25DECE047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19</w:t>
            </w:r>
          </w:p>
        </w:tc>
        <w:tc>
          <w:tcPr>
            <w:tcW w:w="847" w:type="dxa"/>
            <w:tcBorders>
              <w:top w:val="nil"/>
              <w:left w:val="nil"/>
              <w:bottom w:val="single" w:sz="4" w:space="0" w:color="auto"/>
              <w:right w:val="single" w:sz="4" w:space="0" w:color="auto"/>
            </w:tcBorders>
            <w:noWrap/>
            <w:vAlign w:val="center"/>
          </w:tcPr>
          <w:p>
            <w:pPr>
              <w:jc w:val="center"/>
            </w:pPr>
            <w:r>
              <w:t>19</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8</w:t>
            </w:r>
          </w:p>
        </w:tc>
        <w:tc>
          <w:tcPr>
            <w:tcW w:w="853" w:type="dxa"/>
            <w:gridSpan w:val="2"/>
            <w:tcBorders>
              <w:top w:val="nil"/>
              <w:left w:val="nil"/>
              <w:bottom w:val="single" w:sz="4" w:space="0" w:color="auto"/>
              <w:right w:val="single" w:sz="4" w:space="0" w:color="auto"/>
            </w:tcBorders>
            <w:vAlign w:val="center"/>
          </w:tcPr>
          <w:p>
            <w:pPr>
              <w:jc w:val="center"/>
            </w:pPr>
            <w:r>
              <w:t>8</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80</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Quang Đức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Quang Đức</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