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AI Agent Optimization Guide</w:t>
      </w:r>
    </w:p>
    <w:p>
      <w:pPr>
        <w:spacing w:after="400"/>
        <w:jc w:val="center"/>
      </w:pPr>
      <w:r>
        <w:rPr>
          <w:color w:val="4a5568"/>
          <w:sz w:val="26"/>
          <w:szCs w:val="26"/>
        </w:rPr>
        <w:t xml:space="preserve">Systematic Evaluation &amp; Tuning with TraiGent</w:t>
      </w:r>
    </w:p>
    <w:p>
      <w:pPr>
        <w:pStyle w:val="Heading2"/>
      </w:pPr>
      <w:r>
        <w:t xml:space="preserve">Who This Guide Is For</w:t>
      </w:r>
    </w:p>
    <w:p>
      <w:pPr>
        <w:spacing w:before="120" w:after="120"/>
      </w:pPr>
      <w:r>
        <w:rPr>
          <w:sz w:val="22"/>
          <w:szCs w:val="22"/>
        </w:rPr>
        <w:t xml:space="preserve">This guide is designed for GTM, Operations, and Engineering leads who have AI agents in production or late-stage proof-of-concept. It assumes familiarity with concepts like evaluation datasets, prompt tuning, and basic ML metrics.</w:t>
      </w:r>
    </w:p>
    <w:p>
      <w:pPr>
        <w:pStyle w:val="Heading2"/>
      </w:pPr>
      <w:r>
        <w:t xml:space="preserve">How to Use This Guide</w:t>
      </w:r>
    </w:p>
    <w:p>
      <w:pPr>
        <w:pStyle w:val="ListParagraph"/>
        <w:numPr>
          <w:ilvl w:val="0"/>
          <w:numId w:val="2"/>
        </w:numPr>
      </w:pPr>
      <w:r>
        <w:rPr>
          <w:b/>
          <w:bCs/>
        </w:rPr>
        <w:t xml:space="preserve">Find your agent type </w:t>
      </w:r>
      <w:r>
        <w:t xml:space="preserve">in the Quick Reference table below</w:t>
      </w:r>
    </w:p>
    <w:p>
      <w:pPr>
        <w:pStyle w:val="ListParagraph"/>
        <w:numPr>
          <w:ilvl w:val="0"/>
          <w:numId w:val="2"/>
        </w:numPr>
      </w:pPr>
      <w:r>
        <w:rPr>
          <w:b/>
          <w:bCs/>
        </w:rPr>
        <w:t xml:space="preserve">Copy the suggested metrics and evaluation patterns </w:t>
      </w:r>
      <w:r>
        <w:t xml:space="preserve">from the relevant section</w:t>
      </w:r>
    </w:p>
    <w:p>
      <w:pPr>
        <w:pStyle w:val="ListParagraph"/>
        <w:numPr>
          <w:ilvl w:val="0"/>
          <w:numId w:val="2"/>
        </w:numPr>
      </w:pPr>
      <w:r>
        <w:rPr>
          <w:b/>
          <w:bCs/>
        </w:rPr>
        <w:t xml:space="preserve">Build your evaluation dataset </w:t>
      </w:r>
      <w:r>
        <w:t xml:space="preserve">following the guidance for your agent type</w:t>
      </w:r>
    </w:p>
    <w:p>
      <w:pPr>
        <w:pStyle w:val="ListParagraph"/>
        <w:numPr>
          <w:ilvl w:val="0"/>
          <w:numId w:val="2"/>
        </w:numPr>
      </w:pPr>
      <w:r>
        <w:rPr>
          <w:b/>
          <w:bCs/>
        </w:rPr>
        <w:t xml:space="preserve">Map objectives to TVL </w:t>
      </w:r>
      <w:r>
        <w:t xml:space="preserve">and run TraiGent's optimization loop</w:t>
      </w:r>
    </w:p>
    <w:p>
      <w:pPr>
        <w:pStyle w:val="Heading2"/>
      </w:pPr>
      <w:r>
        <w:t xml:space="preserve">Quick Reference: Metrics by Agent Type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00"/>
      </w:tblGrid>
      <w:tr>
        <w:trPr>
          <w:tblHeader/>
        </w:trPr>
        <w:tc>
          <w:tcPr>
            <w:tcW w:type="dxa" w:w="2000"/>
            <w:tcBorders>
              <w:top w:val="single" w:color="CCCCCC" w:sz="1"/>
              <w:left w:val="single" w:color="CCCCCC" w:sz="1"/>
              <w:bottom w:val="single" w:color="CCCCCC" w:sz="1"/>
              <w:right w:val="single" w:color="CCCCCC" w:sz="1"/>
            </w:tcBorders>
            <w:shd w:fill="1a365d" w:val="clear"/>
          </w:tcPr>
          <w:p>
            <w:r>
              <w:rPr>
                <w:b/>
                <w:bCs/>
                <w:color w:val="FFFFFF"/>
                <w:sz w:val="22"/>
                <w:szCs w:val="22"/>
              </w:rPr>
              <w:t xml:space="preserve">Agent Type</w:t>
            </w:r>
          </w:p>
        </w:tc>
        <w:tc>
          <w:tcPr>
            <w:tcW w:type="dxa" w:w="3200"/>
            <w:tcBorders>
              <w:top w:val="single" w:color="CCCCCC" w:sz="1"/>
              <w:left w:val="single" w:color="CCCCCC" w:sz="1"/>
              <w:bottom w:val="single" w:color="CCCCCC" w:sz="1"/>
              <w:right w:val="single" w:color="CCCCCC" w:sz="1"/>
            </w:tcBorders>
            <w:shd w:fill="1a365d" w:val="clear"/>
          </w:tcPr>
          <w:p>
            <w:r>
              <w:rPr>
                <w:b/>
                <w:bCs/>
                <w:color w:val="FFFFFF"/>
                <w:sz w:val="22"/>
                <w:szCs w:val="22"/>
              </w:rPr>
              <w:t xml:space="preserve">Primary Metrics</w:t>
            </w:r>
          </w:p>
        </w:tc>
        <w:tc>
          <w:tcPr>
            <w:tcW w:type="dxa" w:w="3800"/>
            <w:tcBorders>
              <w:top w:val="single" w:color="CCCCCC" w:sz="1"/>
              <w:left w:val="single" w:color="CCCCCC" w:sz="1"/>
              <w:bottom w:val="single" w:color="CCCCCC" w:sz="1"/>
              <w:right w:val="single" w:color="CCCCCC" w:sz="1"/>
            </w:tcBorders>
            <w:shd w:fill="1a365d" w:val="clear"/>
          </w:tcPr>
          <w:p>
            <w:r>
              <w:rPr>
                <w:b/>
                <w:bCs/>
                <w:color w:val="FFFFFF"/>
                <w:sz w:val="22"/>
                <w:szCs w:val="22"/>
              </w:rPr>
              <w:t xml:space="preserve">Key Insight</w:t>
            </w:r>
          </w:p>
        </w:tc>
      </w:tr>
      <w:tr>
        <w:tc>
          <w:tcPr>
            <w:tcW w:type="dxa" w:w="2000"/>
            <w:tcBorders>
              <w:top w:val="single" w:color="CCCCCC" w:sz="1"/>
              <w:left w:val="single" w:color="CCCCCC" w:sz="1"/>
              <w:bottom w:val="single" w:color="CCCCCC" w:sz="1"/>
              <w:right w:val="single" w:color="CCCCCC" w:sz="1"/>
            </w:tcBorders>
          </w:tcPr>
          <w:p>
            <w:r>
              <w:rPr>
                <w:b/>
                <w:bCs/>
                <w:color w:val="000000"/>
                <w:sz w:val="20"/>
                <w:szCs w:val="20"/>
              </w:rPr>
              <w:t xml:space="preserve">GTM &amp; Acquisition</w:t>
            </w:r>
          </w:p>
        </w:tc>
        <w:tc>
          <w:tcPr>
            <w:tcW w:type="dxa" w:w="3200"/>
            <w:tcBorders>
              <w:top w:val="single" w:color="CCCCCC" w:sz="1"/>
              <w:left w:val="single" w:color="CCCCCC" w:sz="1"/>
              <w:bottom w:val="single" w:color="CCCCCC" w:sz="1"/>
              <w:right w:val="single" w:color="CCCCCC" w:sz="1"/>
            </w:tcBorders>
          </w:tcPr>
          <w:p>
            <w:r>
              <w:rPr>
                <w:b w:val="false"/>
                <w:bCs w:val="false"/>
                <w:color w:val="000000"/>
                <w:sz w:val="20"/>
                <w:szCs w:val="20"/>
              </w:rPr>
              <w:t xml:space="preserve">Message Quality Score, Compliance Pass Rate</w:t>
            </w:r>
          </w:p>
        </w:tc>
        <w:tc>
          <w:tcPr>
            <w:tcW w:type="dxa" w:w="3800"/>
            <w:tcBorders>
              <w:top w:val="single" w:color="CCCCCC" w:sz="1"/>
              <w:left w:val="single" w:color="CCCCCC" w:sz="1"/>
              <w:bottom w:val="single" w:color="CCCCCC" w:sz="1"/>
              <w:right w:val="single" w:color="CCCCCC" w:sz="1"/>
            </w:tcBorders>
          </w:tcPr>
          <w:p>
            <w:r>
              <w:rPr>
                <w:b w:val="false"/>
                <w:bCs w:val="false"/>
                <w:color w:val="000000"/>
                <w:sz w:val="20"/>
                <w:szCs w:val="20"/>
              </w:rPr>
              <w:t xml:space="preserve">Score message quality directly; don't wait for conversion</w:t>
            </w:r>
          </w:p>
        </w:tc>
      </w:tr>
      <w:tr>
        <w:tc>
          <w:tcPr>
            <w:tcW w:type="dxa" w:w="2000"/>
            <w:tcBorders>
              <w:top w:val="single" w:color="CCCCCC" w:sz="1"/>
              <w:left w:val="single" w:color="CCCCCC" w:sz="1"/>
              <w:bottom w:val="single" w:color="CCCCCC" w:sz="1"/>
              <w:right w:val="single" w:color="CCCCCC" w:sz="1"/>
            </w:tcBorders>
          </w:tcPr>
          <w:p>
            <w:r>
              <w:rPr>
                <w:b/>
                <w:bCs/>
                <w:color w:val="000000"/>
                <w:sz w:val="20"/>
                <w:szCs w:val="20"/>
              </w:rPr>
              <w:t xml:space="preserve">Operations</w:t>
            </w:r>
          </w:p>
        </w:tc>
        <w:tc>
          <w:tcPr>
            <w:tcW w:type="dxa" w:w="3200"/>
            <w:tcBorders>
              <w:top w:val="single" w:color="CCCCCC" w:sz="1"/>
              <w:left w:val="single" w:color="CCCCCC" w:sz="1"/>
              <w:bottom w:val="single" w:color="CCCCCC" w:sz="1"/>
              <w:right w:val="single" w:color="CCCCCC" w:sz="1"/>
            </w:tcBorders>
          </w:tcPr>
          <w:p>
            <w:r>
              <w:rPr>
                <w:b w:val="false"/>
                <w:bCs w:val="false"/>
                <w:color w:val="000000"/>
                <w:sz w:val="20"/>
                <w:szCs w:val="20"/>
              </w:rPr>
              <w:t xml:space="preserve">Action Sequence Accuracy, Decision Accuracy</w:t>
            </w:r>
          </w:p>
        </w:tc>
        <w:tc>
          <w:tcPr>
            <w:tcW w:type="dxa" w:w="38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Compare proposed actions to ground truth; evaluate routing</w:t>
            </w:r>
          </w:p>
        </w:tc>
      </w:tr>
      <w:tr>
        <w:tc>
          <w:tcPr>
            <w:tcW w:type="dxa" w:w="2000"/>
            <w:tcBorders>
              <w:top w:val="single" w:color="CCCCCC" w:sz="1"/>
              <w:left w:val="single" w:color="CCCCCC" w:sz="1"/>
              <w:bottom w:val="single" w:color="CCCCCC" w:sz="1"/>
              <w:right w:val="single" w:color="CCCCCC" w:sz="1"/>
            </w:tcBorders>
          </w:tcPr>
          <w:p>
            <w:r>
              <w:rPr>
                <w:b/>
                <w:bCs/>
                <w:color w:val="000000"/>
                <w:sz w:val="20"/>
                <w:szCs w:val="20"/>
              </w:rPr>
              <w:t xml:space="preserve">Knowledge / RAG</w:t>
            </w:r>
          </w:p>
        </w:tc>
        <w:tc>
          <w:tcPr>
            <w:tcW w:type="dxa" w:w="3200"/>
            <w:tcBorders>
              <w:top w:val="single" w:color="CCCCCC" w:sz="1"/>
              <w:left w:val="single" w:color="CCCCCC" w:sz="1"/>
              <w:bottom w:val="single" w:color="CCCCCC" w:sz="1"/>
              <w:right w:val="single" w:color="CCCCCC" w:sz="1"/>
            </w:tcBorders>
          </w:tcPr>
          <w:p>
            <w:r>
              <w:rPr>
                <w:b w:val="false"/>
                <w:bCs w:val="false"/>
                <w:color w:val="000000"/>
                <w:sz w:val="20"/>
                <w:szCs w:val="20"/>
              </w:rPr>
              <w:t xml:space="preserve">Grounded Accuracy, Abstention F1</w:t>
            </w:r>
          </w:p>
        </w:tc>
        <w:tc>
          <w:tcPr>
            <w:tcW w:type="dxa" w:w="3800"/>
            <w:tcBorders>
              <w:top w:val="single" w:color="CCCCCC" w:sz="1"/>
              <w:left w:val="single" w:color="CCCCCC" w:sz="1"/>
              <w:bottom w:val="single" w:color="CCCCCC" w:sz="1"/>
              <w:right w:val="single" w:color="CCCCCC" w:sz="1"/>
            </w:tcBorders>
          </w:tcPr>
          <w:p>
            <w:r>
              <w:rPr>
                <w:b w:val="false"/>
                <w:bCs w:val="false"/>
                <w:color w:val="000000"/>
                <w:sz w:val="20"/>
                <w:szCs w:val="20"/>
              </w:rPr>
              <w:t xml:space="preserve">Separate retrieval from generation; reward appropriate uncertainty</w:t>
            </w:r>
          </w:p>
        </w:tc>
      </w:tr>
      <w:tr>
        <w:tc>
          <w:tcPr>
            <w:tcW w:type="dxa" w:w="2000"/>
            <w:tcBorders>
              <w:top w:val="single" w:color="CCCCCC" w:sz="1"/>
              <w:left w:val="single" w:color="CCCCCC" w:sz="1"/>
              <w:bottom w:val="single" w:color="CCCCCC" w:sz="1"/>
              <w:right w:val="single" w:color="CCCCCC" w:sz="1"/>
            </w:tcBorders>
          </w:tcPr>
          <w:p>
            <w:r>
              <w:rPr>
                <w:b/>
                <w:bCs/>
                <w:color w:val="000000"/>
                <w:sz w:val="20"/>
                <w:szCs w:val="20"/>
              </w:rPr>
              <w:t xml:space="preserve">Product / Technical</w:t>
            </w:r>
          </w:p>
        </w:tc>
        <w:tc>
          <w:tcPr>
            <w:tcW w:type="dxa" w:w="3200"/>
            <w:tcBorders>
              <w:top w:val="single" w:color="CCCCCC" w:sz="1"/>
              <w:left w:val="single" w:color="CCCCCC" w:sz="1"/>
              <w:bottom w:val="single" w:color="CCCCCC" w:sz="1"/>
              <w:right w:val="single" w:color="CCCCCC" w:sz="1"/>
            </w:tcBorders>
          </w:tcPr>
          <w:p>
            <w:r>
              <w:rPr>
                <w:b w:val="false"/>
                <w:bCs w:val="false"/>
                <w:color w:val="000000"/>
                <w:sz w:val="20"/>
                <w:szCs w:val="20"/>
              </w:rPr>
              <w:t xml:space="preserve">Weighted Test Pass, Quality Score</w:t>
            </w:r>
          </w:p>
        </w:tc>
        <w:tc>
          <w:tcPr>
            <w:tcW w:type="dxa" w:w="3800"/>
            <w:tcBorders>
              <w:top w:val="single" w:color="CCCCCC" w:sz="1"/>
              <w:left w:val="single" w:color="CCCCCC" w:sz="1"/>
              <w:bottom w:val="single" w:color="CCCCCC" w:sz="1"/>
              <w:right w:val="single" w:color="CCCCCC" w:sz="1"/>
            </w:tcBorders>
          </w:tcPr>
          <w:p>
            <w:r>
              <w:rPr>
                <w:b w:val="false"/>
                <w:bCs w:val="false"/>
                <w:color w:val="000000"/>
                <w:sz w:val="20"/>
                <w:szCs w:val="20"/>
              </w:rPr>
              <w:t xml:space="preserve">Deterministic via CI; LLM-as-judge for readability</w:t>
            </w:r>
          </w:p>
        </w:tc>
      </w:tr>
      <w:tr>
        <w:tc>
          <w:tcPr>
            <w:tcW w:type="dxa" w:w="2000"/>
            <w:tcBorders>
              <w:top w:val="single" w:color="CCCCCC" w:sz="1"/>
              <w:left w:val="single" w:color="CCCCCC" w:sz="1"/>
              <w:bottom w:val="single" w:color="CCCCCC" w:sz="1"/>
              <w:right w:val="single" w:color="CCCCCC" w:sz="1"/>
            </w:tcBorders>
          </w:tcPr>
          <w:p>
            <w:r>
              <w:rPr>
                <w:b/>
                <w:bCs/>
                <w:color w:val="000000"/>
                <w:sz w:val="20"/>
                <w:szCs w:val="20"/>
              </w:rPr>
              <w:t xml:space="preserve">Customer Support</w:t>
            </w:r>
          </w:p>
        </w:tc>
        <w:tc>
          <w:tcPr>
            <w:tcW w:type="dxa" w:w="3200"/>
            <w:tcBorders>
              <w:top w:val="single" w:color="CCCCCC" w:sz="1"/>
              <w:left w:val="single" w:color="CCCCCC" w:sz="1"/>
              <w:bottom w:val="single" w:color="CCCCCC" w:sz="1"/>
              <w:right w:val="single" w:color="CCCCCC" w:sz="1"/>
            </w:tcBorders>
          </w:tcPr>
          <w:p>
            <w:r>
              <w:rPr>
                <w:b w:val="false"/>
                <w:bCs w:val="false"/>
                <w:color w:val="000000"/>
                <w:sz w:val="20"/>
                <w:szCs w:val="20"/>
              </w:rPr>
              <w:t xml:space="preserve">Resolution Accuracy, Escalation Accuracy</w:t>
            </w:r>
          </w:p>
        </w:tc>
        <w:tc>
          <w:tcPr>
            <w:tcW w:type="dxa" w:w="38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Compare to expert responses; evaluate routing directly</w:t>
            </w:r>
          </w:p>
        </w:tc>
      </w:tr>
    </w:tbl>
    <w:p>
      <w:pPr>
        <w:pStyle w:val="Heading1"/>
      </w:pPr>
      <w:r>
        <w:t xml:space="preserve">The TraiGent Optimization Loop</w:t>
      </w:r>
    </w:p>
    <w:p>
      <w:pPr>
        <w:spacing w:before="120" w:after="120"/>
      </w:pPr>
      <w:r>
        <w:rPr>
          <w:sz w:val="22"/>
          <w:szCs w:val="22"/>
        </w:rPr>
        <w:t xml:space="preserve">TraiGent treats agent optimization as an empirical problem. You define measurable objectives declaratively in TVL (TraiGent's specification language), and TraiGent systematically explores the configuration space to find optimal operating points.</w:t>
      </w:r>
    </w:p>
    <w:p>
      <w:pPr>
        <w:pStyle w:val="ListParagraph"/>
        <w:numPr>
          <w:ilvl w:val="0"/>
          <w:numId w:val="3"/>
        </w:numPr>
      </w:pPr>
      <w:r>
        <w:rPr>
          <w:b/>
          <w:bCs/>
        </w:rPr>
        <w:t xml:space="preserve">Build an Evaluation Dataset: </w:t>
      </w:r>
      <w:r>
        <w:t xml:space="preserve">Collect representative inputs paired with ground-truth outputs (or labeled expected behaviors) from historical data and expert annotation.</w:t>
      </w:r>
    </w:p>
    <w:p>
      <w:pPr>
        <w:pStyle w:val="ListParagraph"/>
        <w:numPr>
          <w:ilvl w:val="0"/>
          <w:numId w:val="3"/>
        </w:numPr>
      </w:pPr>
      <w:r>
        <w:rPr>
          <w:b/>
          <w:bCs/>
        </w:rPr>
        <w:t xml:space="preserve">Define Automated Scoring: </w:t>
      </w:r>
      <w:r>
        <w:t xml:space="preserve">Specify how to evaluate each response—either by comparing to ground truth (deterministic) or via LLM-as-judge scoring against calibrated rubrics.</w:t>
      </w:r>
    </w:p>
    <w:p>
      <w:pPr>
        <w:pStyle w:val="ListParagraph"/>
        <w:numPr>
          <w:ilvl w:val="0"/>
          <w:numId w:val="3"/>
        </w:numPr>
      </w:pPr>
      <w:r>
        <w:rPr>
          <w:b/>
          <w:bCs/>
        </w:rPr>
        <w:t xml:space="preserve">Run Configuration Search: </w:t>
      </w:r>
      <w:r>
        <w:t xml:space="preserve">TraiGent tests thousands of configuration variants against your evaluation dataset, scoring each automatically.</w:t>
      </w:r>
    </w:p>
    <w:p>
      <w:pPr>
        <w:pStyle w:val="ListParagraph"/>
        <w:numPr>
          <w:ilvl w:val="0"/>
          <w:numId w:val="3"/>
        </w:numPr>
      </w:pPr>
      <w:r>
        <w:rPr>
          <w:b/>
          <w:bCs/>
        </w:rPr>
        <w:t xml:space="preserve">Review Pareto Front: </w:t>
      </w:r>
      <w:r>
        <w:t xml:space="preserve">TraiGent identifies optimal configurations across your objectives (quality, cost, latency) and recommends the best options for deployment.</w:t>
      </w:r>
    </w:p>
    <w:p>
      <w:pPr>
        <w:shd w:fill="EBF4FF" w:val="clear"/>
        <w:spacing w:before="200" w:after="200"/>
        <w:ind w:left="360" w:right="360"/>
      </w:pPr>
      <w:r>
        <w:rPr>
          <w:b/>
          <w:bCs/>
          <w:sz w:val="22"/>
          <w:szCs w:val="22"/>
        </w:rPr>
        <w:t xml:space="preserve">Key insight: </w:t>
      </w:r>
      <w:r>
        <w:rPr>
          <w:sz w:val="22"/>
          <w:szCs w:val="22"/>
        </w:rPr>
        <w:t xml:space="preserve">All evaluation happens offline against your evaluation dataset—you don't deploy configurations to production to measure them. This enables testing thousands of variants in hours rather than weeks.</w:t>
      </w:r>
    </w:p>
    <w:p>
      <w:pPr>
        <w:pStyle w:val="Heading2"/>
      </w:pPr>
      <w:r>
        <w:t xml:space="preserve">Mapping to TVL</w:t>
      </w:r>
    </w:p>
    <w:p>
      <w:pPr>
        <w:spacing w:before="120" w:after="120"/>
      </w:pPr>
      <w:r>
        <w:rPr>
          <w:sz w:val="22"/>
          <w:szCs w:val="22"/>
        </w:rPr>
        <w:t xml:space="preserve">Each section in this guide maps directly to TVL concepts:</w:t>
      </w:r>
    </w:p>
    <w:p>
      <w:pPr>
        <w:pStyle w:val="ListParagraph"/>
        <w:numPr>
          <w:ilvl w:val="0"/>
          <w:numId w:val="4"/>
        </w:numPr>
      </w:pPr>
      <w:r>
        <w:rPr>
          <w:b/>
          <w:bCs/>
        </w:rPr>
        <w:t xml:space="preserve">"What You Tune" </w:t>
      </w:r>
      <w:r>
        <w:t xml:space="preserve">→ TVL tvars (tunable variables in your configuration space)</w:t>
      </w:r>
    </w:p>
    <w:p>
      <w:pPr>
        <w:pStyle w:val="ListParagraph"/>
        <w:numPr>
          <w:ilvl w:val="0"/>
          <w:numId w:val="4"/>
        </w:numPr>
      </w:pPr>
      <w:r>
        <w:rPr>
          <w:b/>
          <w:bCs/>
        </w:rPr>
        <w:t xml:space="preserve">"Objectives &amp; Metrics" </w:t>
      </w:r>
      <w:r>
        <w:t xml:space="preserve">→ TVL objectives (what TraiGent optimizes for)</w:t>
      </w:r>
    </w:p>
    <w:p>
      <w:pPr>
        <w:pStyle w:val="ListParagraph"/>
        <w:numPr>
          <w:ilvl w:val="0"/>
          <w:numId w:val="4"/>
        </w:numPr>
      </w:pPr>
      <w:r>
        <w:rPr>
          <w:b/>
          <w:bCs/>
        </w:rPr>
        <w:t xml:space="preserve">"Evaluation Technique" </w:t>
      </w:r>
      <w:r>
        <w:t xml:space="preserve">→ TVL scoring functions (how each response is evaluated)</w:t>
      </w:r>
    </w:p>
    <w:p>
      <w:pPr>
        <w:pStyle w:val="ListParagraph"/>
        <w:numPr>
          <w:ilvl w:val="0"/>
          <w:numId w:val="4"/>
        </w:numPr>
      </w:pPr>
      <w:r>
        <w:rPr>
          <w:b/>
          <w:bCs/>
        </w:rPr>
        <w:t xml:space="preserve">"Eval Set Creation" </w:t>
      </w:r>
      <w:r>
        <w:t xml:space="preserve">→ Your evaluation dataset (the test cases TraiGent runs against)</w:t>
      </w:r>
    </w:p>
    <w:p>
      <w:r>
        <w:br w:type="page"/>
      </w:r>
    </w:p>
    <w:p>
      <w:pPr>
        <w:pStyle w:val="Heading1"/>
      </w:pPr>
      <w:r>
        <w:t xml:space="preserve">1. GTM &amp; Acquisition Agents</w:t>
      </w:r>
    </w:p>
    <w:p>
      <w:pPr>
        <w:pStyle w:val="ExecutiveSummary"/>
      </w:pPr>
      <w:r>
        <w:rPr>
          <w:b/>
          <w:bCs/>
        </w:rPr>
        <w:t xml:space="preserve">GTM agents must be evaluated on message quality, not downstream conversion metrics. </w:t>
      </w:r>
      <w:r>
        <w:t xml:space="preserve">TraiGent enables you to score generated messages against expert-defined quality rubrics—ICP fit, personalization depth, value proposition clarity—so you can test thousands of configurations without waiting weeks for pipeline data.</w:t>
      </w:r>
    </w:p>
    <w:p>
      <w:pPr>
        <w:pStyle w:val="Heading2"/>
      </w:pPr>
      <w:r>
        <w:t xml:space="preserve">What You Tune</w:t>
      </w:r>
    </w:p>
    <w:p>
      <w:pPr>
        <w:pStyle w:val="ListParagraph"/>
        <w:numPr>
          <w:ilvl w:val="0"/>
          <w:numId w:val="4"/>
        </w:numPr>
      </w:pPr>
      <w:r>
        <w:t xml:space="preserve">Message templates, subject lines, and call scripts</w:t>
      </w:r>
    </w:p>
    <w:p>
      <w:pPr>
        <w:pStyle w:val="ListParagraph"/>
        <w:numPr>
          <w:ilvl w:val="0"/>
          <w:numId w:val="4"/>
        </w:numPr>
      </w:pPr>
      <w:r>
        <w:t xml:space="preserve">Targeting criteria: ICP filters, lead scoring thresholds, firmographic rules</w:t>
      </w:r>
    </w:p>
    <w:p>
      <w:pPr>
        <w:pStyle w:val="ListParagraph"/>
        <w:numPr>
          <w:ilvl w:val="0"/>
          <w:numId w:val="4"/>
        </w:numPr>
      </w:pPr>
      <w:r>
        <w:t xml:space="preserve">Channel mix (email vs. LinkedIn vs. in-app) and follow-up cadence</w:t>
      </w:r>
    </w:p>
    <w:p>
      <w:pPr>
        <w:pStyle w:val="ListParagraph"/>
        <w:numPr>
          <w:ilvl w:val="0"/>
          <w:numId w:val="4"/>
        </w:numPr>
      </w:pPr>
      <w:r>
        <w:t xml:space="preserve">Personalization depth: from templated to research-intensive</w:t>
      </w:r>
    </w:p>
    <w:p>
      <w:pPr>
        <w:pStyle w:val="Heading2"/>
      </w:pPr>
      <w:r>
        <w:t xml:space="preserve">Objectives &amp; Evaluation</w:t>
      </w:r>
    </w:p>
    <w:p>
      <w:pPr>
        <w:pStyle w:val="Heading3"/>
      </w:pPr>
      <w:r>
        <w:t xml:space="preserve">Objective 1: Message Quality &amp; ICP Targeting</w:t>
      </w:r>
    </w:p>
    <w:p>
      <w:pPr>
        <w:spacing w:before="120" w:after="60"/>
      </w:pPr>
      <w:r>
        <w:rPr>
          <w:b/>
          <w:bCs/>
          <w:sz w:val="22"/>
          <w:szCs w:val="22"/>
        </w:rPr>
        <w:t xml:space="preserve">Primary Metric: </w:t>
      </w:r>
      <w:r>
        <w:rPr>
          <w:sz w:val="22"/>
          <w:szCs w:val="22"/>
        </w:rPr>
        <w:t xml:space="preserve">Message Quality Score = Weighted average of ICP fit (1-5), personalization depth (1-5), and value proposition clarity (1-5)</w:t>
      </w:r>
    </w:p>
    <w:p>
      <w:pPr>
        <w:spacing w:before="120" w:after="60"/>
      </w:pPr>
      <w:r>
        <w:rPr>
          <w:b/>
          <w:bCs/>
          <w:sz w:val="22"/>
          <w:szCs w:val="22"/>
        </w:rPr>
        <w:t xml:space="preserve">Secondary Metrics: </w:t>
      </w:r>
      <w:r>
        <w:rPr>
          <w:sz w:val="22"/>
          <w:szCs w:val="22"/>
        </w:rPr>
        <w:t xml:space="preserve">ICP fit score, personalization accuracy, call-to-action appropriateness</w:t>
      </w:r>
    </w:p>
    <w:p>
      <w:pPr>
        <w:spacing w:before="160" w:after="120"/>
        <w:ind w:left="360"/>
      </w:pPr>
      <w:r>
        <w:rPr>
          <w:b/>
          <w:bCs/>
          <w:i/>
          <w:iCs/>
          <w:color w:val="2c5282"/>
          <w:sz w:val="22"/>
          <w:szCs w:val="22"/>
        </w:rPr>
        <w:t xml:space="preserve">Why this matters: </w:t>
      </w:r>
      <w:r>
        <w:rPr>
          <w:i/>
          <w:iCs/>
          <w:color w:val="4a5568"/>
          <w:sz w:val="22"/>
          <w:szCs w:val="22"/>
        </w:rPr>
        <w:t xml:space="preserve">Conversion data takes weeks to collect and conflates message quality with timing, market conditions, and sales follow-up. Scoring message quality directly enables rapid iteration.</w:t>
      </w:r>
    </w:p>
    <w:p>
      <w:pPr>
        <w:spacing w:before="160"/>
      </w:pPr>
      <w:r>
        <w:rPr>
          <w:b/>
          <w:bCs/>
          <w:sz w:val="22"/>
          <w:szCs w:val="22"/>
        </w:rPr>
        <w:t xml:space="preserve">Evaluation Technique:</w:t>
      </w:r>
    </w:p>
    <w:p>
      <w:pPr>
        <w:pStyle w:val="ListParagraph"/>
        <w:numPr>
          <w:ilvl w:val="0"/>
          <w:numId w:val="5"/>
        </w:numPr>
      </w:pPr>
      <w:r>
        <w:rPr>
          <w:b/>
          <w:bCs/>
        </w:rPr>
        <w:t xml:space="preserve">LLM-as-judge (message scoring): </w:t>
      </w:r>
      <w:r>
        <w:t xml:space="preserve">Given: (a) lead profile, (b) your ICP definition with weighted criteria, (c) generated message. Score on rubric: ICP alignment (1-5), personalization quality (1-5), value prop clarity (1-5), appropriate tone (1-5).</w:t>
      </w:r>
    </w:p>
    <w:p>
      <w:pPr>
        <w:pStyle w:val="ListParagraph"/>
        <w:numPr>
          <w:ilvl w:val="0"/>
          <w:numId w:val="5"/>
        </w:numPr>
      </w:pPr>
      <w:r>
        <w:rPr>
          <w:b/>
          <w:bCs/>
        </w:rPr>
        <w:t xml:space="preserve">Ground-truth comparison: </w:t>
      </w:r>
      <w:r>
        <w:t xml:space="preserve">For evaluation examples with expert-written "gold" messages, compute similarity and quality delta between generated and gold versions.</w:t>
      </w:r>
    </w:p>
    <w:p>
      <w:pPr>
        <w:spacing w:before="120" w:after="120"/>
      </w:pPr>
      <w:r>
        <w:rPr>
          <w:sz w:val="22"/>
          <w:szCs w:val="22"/>
        </w:rPr>
        <w:t xml:space="preserve">Calibration requirement: Have sales leadership score 50 generated messages, then measure LLM-human agreement using Cohen's κ (an inter-rater reliability metric; &gt;0.7 indicates good agreement). Adjust rubric anchors until calibrated.</w:t>
      </w:r>
    </w:p>
    <w:p>
      <w:pPr>
        <w:spacing w:before="160"/>
      </w:pPr>
      <w:r>
        <w:rPr>
          <w:b/>
          <w:bCs/>
          <w:sz w:val="22"/>
          <w:szCs w:val="22"/>
        </w:rPr>
        <w:t xml:space="preserve">Evaluation Dataset Creation:</w:t>
      </w:r>
    </w:p>
    <w:p>
      <w:pPr>
        <w:pStyle w:val="ListParagraph"/>
        <w:numPr>
          <w:ilvl w:val="0"/>
          <w:numId w:val="4"/>
        </w:numPr>
      </w:pPr>
      <w:r>
        <w:rPr>
          <w:b/>
          <w:bCs/>
        </w:rPr>
        <w:t xml:space="preserve">Data source: </w:t>
      </w:r>
      <w:r>
        <w:t xml:space="preserve">Historical outbound campaigns and CRM exports</w:t>
      </w:r>
    </w:p>
    <w:p>
      <w:pPr>
        <w:pStyle w:val="ListParagraph"/>
        <w:numPr>
          <w:ilvl w:val="0"/>
          <w:numId w:val="4"/>
        </w:numPr>
      </w:pPr>
      <w:r>
        <w:t xml:space="preserve">Collect 200+ lead profiles representing your ICP distribution (firmographics, titles, industries)</w:t>
      </w:r>
    </w:p>
    <w:p>
      <w:pPr>
        <w:pStyle w:val="ListParagraph"/>
        <w:numPr>
          <w:ilvl w:val="0"/>
          <w:numId w:val="4"/>
        </w:numPr>
      </w:pPr>
      <w:r>
        <w:t xml:space="preserve">For a subset (50-100), have top SDRs write "gold standard" messages as ground truth</w:t>
      </w:r>
    </w:p>
    <w:p>
      <w:pPr>
        <w:pStyle w:val="ListParagraph"/>
        <w:numPr>
          <w:ilvl w:val="0"/>
          <w:numId w:val="4"/>
        </w:numPr>
      </w:pPr>
      <w:r>
        <w:t xml:space="preserve">Include edge cases: unusual industries, ambiguous ICP fit, limited public information</w:t>
      </w:r>
    </w:p>
    <w:p>
      <w:pPr>
        <w:pStyle w:val="ListParagraph"/>
        <w:numPr>
          <w:ilvl w:val="0"/>
          <w:numId w:val="4"/>
        </w:numPr>
      </w:pPr>
      <w:r>
        <w:t xml:space="preserve">Label each lead with expected personalization elements (recent news, company initiatives, role-specific pain points)</w:t>
      </w:r>
    </w:p>
    <w:p>
      <w:pPr>
        <w:pStyle w:val="Heading3"/>
      </w:pPr>
      <w:r>
        <w:t xml:space="preserve">Objective 2: Compliance &amp; Brand Safety</w:t>
      </w:r>
    </w:p>
    <w:p>
      <w:pPr>
        <w:spacing w:before="120" w:after="60"/>
      </w:pPr>
      <w:r>
        <w:rPr>
          <w:b/>
          <w:bCs/>
          <w:sz w:val="22"/>
          <w:szCs w:val="22"/>
        </w:rPr>
        <w:t xml:space="preserve">Primary Metric: </w:t>
      </w:r>
      <w:r>
        <w:rPr>
          <w:sz w:val="22"/>
          <w:szCs w:val="22"/>
        </w:rPr>
        <w:t xml:space="preserve">Compliance Pass Rate = % messages passing all policy checks</w:t>
      </w:r>
    </w:p>
    <w:p>
      <w:pPr>
        <w:spacing w:before="120" w:after="60"/>
      </w:pPr>
      <w:r>
        <w:rPr>
          <w:b/>
          <w:bCs/>
          <w:sz w:val="22"/>
          <w:szCs w:val="22"/>
        </w:rPr>
        <w:t xml:space="preserve">Secondary Metrics: </w:t>
      </w:r>
      <w:r>
        <w:rPr>
          <w:sz w:val="22"/>
          <w:szCs w:val="22"/>
        </w:rPr>
        <w:t xml:space="preserve">Spam score, policy violation count by category</w:t>
      </w:r>
    </w:p>
    <w:p>
      <w:pPr>
        <w:spacing w:before="160" w:after="120"/>
        <w:ind w:left="360"/>
      </w:pPr>
      <w:r>
        <w:rPr>
          <w:b/>
          <w:bCs/>
          <w:i/>
          <w:iCs/>
          <w:color w:val="2c5282"/>
          <w:sz w:val="22"/>
          <w:szCs w:val="22"/>
        </w:rPr>
        <w:t xml:space="preserve">Why this matters: </w:t>
      </w:r>
      <w:r>
        <w:rPr>
          <w:i/>
          <w:iCs/>
          <w:color w:val="4a5568"/>
          <w:sz w:val="22"/>
          <w:szCs w:val="22"/>
        </w:rPr>
        <w:t xml:space="preserve">A single low-quality outbound message can cause disproportionate brand damage compared to months of pipeline gains. Compliance evaluation protects against reputational risk.</w:t>
      </w:r>
    </w:p>
    <w:p>
      <w:pPr>
        <w:spacing w:before="160"/>
      </w:pPr>
      <w:r>
        <w:rPr>
          <w:b/>
          <w:bCs/>
          <w:sz w:val="22"/>
          <w:szCs w:val="22"/>
        </w:rPr>
        <w:t xml:space="preserve">Evaluation Technique:</w:t>
      </w:r>
    </w:p>
    <w:p>
      <w:pPr>
        <w:pStyle w:val="ListParagraph"/>
        <w:numPr>
          <w:ilvl w:val="0"/>
          <w:numId w:val="6"/>
        </w:numPr>
      </w:pPr>
      <w:r>
        <w:rPr>
          <w:b/>
          <w:bCs/>
        </w:rPr>
        <w:t xml:space="preserve">Deterministic layer: </w:t>
      </w:r>
      <w:r>
        <w:t xml:space="preserve">Run through spam scoring tools (e.g., SpamAssassin, mail-tester.com) and policy regex (banned phrases, unsubstantiated claims, competitor mentions).</w:t>
      </w:r>
    </w:p>
    <w:p>
      <w:pPr>
        <w:pStyle w:val="ListParagraph"/>
        <w:numPr>
          <w:ilvl w:val="0"/>
          <w:numId w:val="6"/>
        </w:numPr>
      </w:pPr>
      <w:r>
        <w:rPr>
          <w:b/>
          <w:bCs/>
        </w:rPr>
        <w:t xml:space="preserve">LLM-as-judge layer: </w:t>
      </w:r>
      <w:r>
        <w:t xml:space="preserve">Score on rubric: Professional tone (1-5), Claim substantiation (1-5), Pressure tactics (1-5, inverted), CAN-SPAM/GDPR compliance (binary).</w:t>
      </w:r>
    </w:p>
    <w:p>
      <w:pPr>
        <w:spacing w:before="160"/>
      </w:pPr>
      <w:r>
        <w:rPr>
          <w:b/>
          <w:bCs/>
          <w:sz w:val="22"/>
          <w:szCs w:val="22"/>
        </w:rPr>
        <w:t xml:space="preserve">Evaluation Dataset Creation:</w:t>
      </w:r>
    </w:p>
    <w:p>
      <w:pPr>
        <w:pStyle w:val="ListParagraph"/>
        <w:numPr>
          <w:ilvl w:val="0"/>
          <w:numId w:val="4"/>
        </w:numPr>
      </w:pPr>
      <w:r>
        <w:t xml:space="preserve">Seed set: 100 historical emails rated by legal team (include both passes and failures with annotations)</w:t>
      </w:r>
    </w:p>
    <w:p>
      <w:pPr>
        <w:pStyle w:val="ListParagraph"/>
        <w:numPr>
          <w:ilvl w:val="0"/>
          <w:numId w:val="4"/>
        </w:numPr>
      </w:pPr>
      <w:r>
        <w:t xml:space="preserve">Adversarial augmentation: Generate edge cases—aggressive discounts, competitor comparisons, urgency language, testimonials without attribution</w:t>
      </w:r>
    </w:p>
    <w:p>
      <w:pPr>
        <w:pStyle w:val="ListParagraph"/>
        <w:numPr>
          <w:ilvl w:val="0"/>
          <w:numId w:val="4"/>
        </w:numPr>
      </w:pPr>
      <w:r>
        <w:t xml:space="preserve">Industry-specific: Add examples relevant to your regulatory environment (financial services, healthcare, etc.)</w:t>
      </w:r>
    </w:p>
    <w:p>
      <w:r>
        <w:br w:type="page"/>
      </w:r>
    </w:p>
    <w:p>
      <w:pPr>
        <w:pStyle w:val="Heading1"/>
      </w:pPr>
      <w:r>
        <w:t xml:space="preserve">2. Operations Agents</w:t>
      </w:r>
    </w:p>
    <w:p>
      <w:pPr>
        <w:pStyle w:val="ExecutiveSummary"/>
      </w:pPr>
      <w:r>
        <w:rPr>
          <w:b/>
          <w:bCs/>
        </w:rPr>
        <w:t xml:space="preserve">Operations agents must be evaluated on whether proposed actions match expected correct sequences—before deployment. </w:t>
      </w:r>
      <w:r>
        <w:t xml:space="preserve">TraiGent enables you to build evaluation datasets with labeled task specifications and ground-truth action sequences, then test configurations to find the optimal balance of correctness, routing decisions, and efficiency.</w:t>
      </w:r>
    </w:p>
    <w:p>
      <w:pPr>
        <w:pStyle w:val="Heading2"/>
      </w:pPr>
      <w:r>
        <w:t xml:space="preserve">What You Tune</w:t>
      </w:r>
    </w:p>
    <w:p>
      <w:pPr>
        <w:pStyle w:val="ListParagraph"/>
        <w:numPr>
          <w:ilvl w:val="0"/>
          <w:numId w:val="4"/>
        </w:numPr>
      </w:pPr>
      <w:r>
        <w:t xml:space="preserve">Workflow steps, ordering, and batching strategies</w:t>
      </w:r>
    </w:p>
    <w:p>
      <w:pPr>
        <w:pStyle w:val="ListParagraph"/>
        <w:numPr>
          <w:ilvl w:val="0"/>
          <w:numId w:val="4"/>
        </w:numPr>
      </w:pPr>
      <w:r>
        <w:t xml:space="preserve">Routing rules: assignment logic, escalation triggers, load balancing</w:t>
      </w:r>
    </w:p>
    <w:p>
      <w:pPr>
        <w:pStyle w:val="ListParagraph"/>
        <w:numPr>
          <w:ilvl w:val="0"/>
          <w:numId w:val="4"/>
        </w:numPr>
      </w:pPr>
      <w:r>
        <w:t xml:space="preserve">Validation logic: pre-checks, sanity checks, required field enforcement</w:t>
      </w:r>
    </w:p>
    <w:p>
      <w:pPr>
        <w:pStyle w:val="ListParagraph"/>
        <w:numPr>
          <w:ilvl w:val="0"/>
          <w:numId w:val="4"/>
        </w:numPr>
      </w:pPr>
      <w:r>
        <w:t xml:space="preserve">Autonomy thresholds: when to proceed vs. request human approval</w:t>
      </w:r>
    </w:p>
    <w:p>
      <w:pPr>
        <w:pStyle w:val="Heading2"/>
      </w:pPr>
      <w:r>
        <w:t xml:space="preserve">Objectives &amp; Evaluation</w:t>
      </w:r>
    </w:p>
    <w:p>
      <w:pPr>
        <w:pStyle w:val="Heading3"/>
      </w:pPr>
      <w:r>
        <w:t xml:space="preserve">Objective 1: Task Execution Correctness</w:t>
      </w:r>
    </w:p>
    <w:p>
      <w:pPr>
        <w:spacing w:before="120" w:after="60"/>
      </w:pPr>
      <w:r>
        <w:rPr>
          <w:b/>
          <w:bCs/>
          <w:sz w:val="22"/>
          <w:szCs w:val="22"/>
        </w:rPr>
        <w:t xml:space="preserve">Primary Metric: </w:t>
      </w:r>
      <w:r>
        <w:rPr>
          <w:sz w:val="22"/>
          <w:szCs w:val="22"/>
        </w:rPr>
        <w:t xml:space="preserve">Action Sequence Accuracy = % of generated action sequences that match expected correct sequences</w:t>
      </w:r>
    </w:p>
    <w:p>
      <w:pPr>
        <w:spacing w:before="120" w:after="60"/>
      </w:pPr>
      <w:r>
        <w:rPr>
          <w:b/>
          <w:bCs/>
          <w:sz w:val="22"/>
          <w:szCs w:val="22"/>
        </w:rPr>
        <w:t xml:space="preserve">Secondary Metrics: </w:t>
      </w:r>
      <w:r>
        <w:rPr>
          <w:sz w:val="22"/>
          <w:szCs w:val="22"/>
        </w:rPr>
        <w:t xml:space="preserve">Step-level accuracy, decision point correctness, validation pass rate</w:t>
      </w:r>
    </w:p>
    <w:p>
      <w:pPr>
        <w:spacing w:before="160" w:after="120"/>
        <w:ind w:left="360"/>
      </w:pPr>
      <w:r>
        <w:rPr>
          <w:b/>
          <w:bCs/>
          <w:i/>
          <w:iCs/>
          <w:color w:val="2c5282"/>
          <w:sz w:val="22"/>
          <w:szCs w:val="22"/>
        </w:rPr>
        <w:t xml:space="preserve">Why this matters: </w:t>
      </w:r>
      <w:r>
        <w:rPr>
          <w:i/>
          <w:iCs/>
          <w:color w:val="4a5568"/>
          <w:sz w:val="22"/>
          <w:szCs w:val="22"/>
        </w:rPr>
        <w:t xml:space="preserve">You need to score whether the agent's proposed actions would correctly complete the task before deployment—not after production execution reveals errors.</w:t>
      </w:r>
    </w:p>
    <w:p>
      <w:pPr>
        <w:spacing w:before="160"/>
      </w:pPr>
      <w:r>
        <w:rPr>
          <w:b/>
          <w:bCs/>
          <w:sz w:val="22"/>
          <w:szCs w:val="22"/>
        </w:rPr>
        <w:t xml:space="preserve">Evaluation Technique:</w:t>
      </w:r>
    </w:p>
    <w:p>
      <w:pPr>
        <w:pStyle w:val="ListParagraph"/>
        <w:numPr>
          <w:ilvl w:val="0"/>
          <w:numId w:val="7"/>
        </w:numPr>
      </w:pPr>
      <w:r>
        <w:rPr>
          <w:b/>
          <w:bCs/>
        </w:rPr>
        <w:t xml:space="preserve">Ground-truth comparison: </w:t>
      </w:r>
      <w:r>
        <w:t xml:space="preserve">Compare generated action sequence against labeled correct sequence. Score: exact match, acceptable alternative (sequences differing only in non-critical step order), or incorrect.</w:t>
      </w:r>
    </w:p>
    <w:p>
      <w:pPr>
        <w:pStyle w:val="ListParagraph"/>
        <w:numPr>
          <w:ilvl w:val="0"/>
          <w:numId w:val="7"/>
        </w:numPr>
      </w:pPr>
      <w:r>
        <w:rPr>
          <w:b/>
          <w:bCs/>
        </w:rPr>
        <w:t xml:space="preserve">LLM-as-judge: </w:t>
      </w:r>
      <w:r>
        <w:t xml:space="preserve">Given task specification and proposed action sequence: "Would these actions correctly complete the task? Are there errors, missing steps, or unnecessary steps?" Score correctness (1-5) and completeness (1-5).</w:t>
      </w:r>
    </w:p>
    <w:p>
      <w:pPr>
        <w:pStyle w:val="ListParagraph"/>
        <w:numPr>
          <w:ilvl w:val="0"/>
          <w:numId w:val="7"/>
        </w:numPr>
      </w:pPr>
      <w:r>
        <w:rPr>
          <w:b/>
          <w:bCs/>
        </w:rPr>
        <w:t xml:space="preserve">Deterministic validators: </w:t>
      </w:r>
      <w:r>
        <w:t xml:space="preserve">Rule-based checks: schema validation, required field presence, business rule compliance (e.g., "approval required for amounts &gt; $10K").</w:t>
      </w:r>
    </w:p>
    <w:p>
      <w:pPr>
        <w:spacing w:before="160"/>
      </w:pPr>
      <w:r>
        <w:rPr>
          <w:b/>
          <w:bCs/>
          <w:sz w:val="22"/>
          <w:szCs w:val="22"/>
        </w:rPr>
        <w:t xml:space="preserve">Evaluation Dataset Creation:</w:t>
      </w:r>
    </w:p>
    <w:p>
      <w:pPr>
        <w:pStyle w:val="ListParagraph"/>
        <w:numPr>
          <w:ilvl w:val="0"/>
          <w:numId w:val="4"/>
        </w:numPr>
      </w:pPr>
      <w:r>
        <w:rPr>
          <w:b/>
          <w:bCs/>
        </w:rPr>
        <w:t xml:space="preserve">Data source: </w:t>
      </w:r>
      <w:r>
        <w:t xml:space="preserve">Production workflow logs and task management systems</w:t>
      </w:r>
    </w:p>
    <w:p>
      <w:pPr>
        <w:pStyle w:val="ListParagraph"/>
        <w:numPr>
          <w:ilvl w:val="0"/>
          <w:numId w:val="4"/>
        </w:numPr>
      </w:pPr>
      <w:r>
        <w:t xml:space="preserve">Collect 200+ task specifications representing the distribution of task types and complexity</w:t>
      </w:r>
    </w:p>
    <w:p>
      <w:pPr>
        <w:pStyle w:val="ListParagraph"/>
        <w:numPr>
          <w:ilvl w:val="0"/>
          <w:numId w:val="4"/>
        </w:numPr>
      </w:pPr>
      <w:r>
        <w:t xml:space="preserve">Label each with the correct action sequence (or set of acceptable alternatives) as ground truth</w:t>
      </w:r>
    </w:p>
    <w:p>
      <w:pPr>
        <w:pStyle w:val="ListParagraph"/>
        <w:numPr>
          <w:ilvl w:val="0"/>
          <w:numId w:val="4"/>
        </w:numPr>
      </w:pPr>
      <w:r>
        <w:t xml:space="preserve">Include tasks from escalation logs, rollback events, and rework tickets—these reveal common failure modes</w:t>
      </w:r>
    </w:p>
    <w:p>
      <w:pPr>
        <w:pStyle w:val="ListParagraph"/>
        <w:numPr>
          <w:ilvl w:val="0"/>
          <w:numId w:val="4"/>
        </w:numPr>
      </w:pPr>
      <w:r>
        <w:t xml:space="preserve">Add synthetic edge cases: boundary conditions, conflicting inputs, ambiguous requirements</w:t>
      </w:r>
    </w:p>
    <w:p>
      <w:pPr>
        <w:pStyle w:val="Heading3"/>
      </w:pPr>
      <w:r>
        <w:t xml:space="preserve">Objective 2: Routing &amp; Escalation Decisions</w:t>
      </w:r>
    </w:p>
    <w:p>
      <w:pPr>
        <w:spacing w:before="120" w:after="60"/>
      </w:pPr>
      <w:r>
        <w:rPr>
          <w:b/>
          <w:bCs/>
          <w:sz w:val="22"/>
          <w:szCs w:val="22"/>
        </w:rPr>
        <w:t xml:space="preserve">Primary Metric: </w:t>
      </w:r>
      <w:r>
        <w:rPr>
          <w:sz w:val="22"/>
          <w:szCs w:val="22"/>
        </w:rPr>
        <w:t xml:space="preserve">Decision Accuracy = % of routing/escalation decisions matching expert-labeled correct decisions</w:t>
      </w:r>
    </w:p>
    <w:p>
      <w:pPr>
        <w:spacing w:before="120" w:after="60"/>
      </w:pPr>
      <w:r>
        <w:rPr>
          <w:b/>
          <w:bCs/>
          <w:sz w:val="22"/>
          <w:szCs w:val="22"/>
        </w:rPr>
        <w:t xml:space="preserve">Secondary Metrics: </w:t>
      </w:r>
      <w:r>
        <w:rPr>
          <w:sz w:val="22"/>
          <w:szCs w:val="22"/>
        </w:rPr>
        <w:t xml:space="preserve">False escalation rate, missed escalation rate, routing appropriateness score</w:t>
      </w:r>
    </w:p>
    <w:p>
      <w:pPr>
        <w:spacing w:before="160" w:after="120"/>
        <w:ind w:left="360"/>
      </w:pPr>
      <w:r>
        <w:rPr>
          <w:b/>
          <w:bCs/>
          <w:i/>
          <w:iCs/>
          <w:color w:val="2c5282"/>
          <w:sz w:val="22"/>
          <w:szCs w:val="22"/>
        </w:rPr>
        <w:t xml:space="preserve">Why this matters: </w:t>
      </w:r>
      <w:r>
        <w:rPr>
          <w:i/>
          <w:iCs/>
          <w:color w:val="4a5568"/>
          <w:sz w:val="22"/>
          <w:szCs w:val="22"/>
        </w:rPr>
        <w:t xml:space="preserve">The agent must know when to proceed autonomously vs. when to escalate. Over-escalation wastes human time; under-escalation causes errors. Evaluate this decision quality directly against labeled examples.</w:t>
      </w:r>
    </w:p>
    <w:p>
      <w:pPr>
        <w:spacing w:before="160"/>
      </w:pPr>
      <w:r>
        <w:rPr>
          <w:b/>
          <w:bCs/>
          <w:sz w:val="22"/>
          <w:szCs w:val="22"/>
        </w:rPr>
        <w:t xml:space="preserve">Evaluation Technique:</w:t>
      </w:r>
    </w:p>
    <w:p>
      <w:pPr>
        <w:pStyle w:val="ListParagraph"/>
        <w:numPr>
          <w:ilvl w:val="0"/>
          <w:numId w:val="4"/>
        </w:numPr>
      </w:pPr>
      <w:r>
        <w:rPr>
          <w:b/>
          <w:bCs/>
        </w:rPr>
        <w:t xml:space="preserve">Classification evaluation: </w:t>
      </w:r>
      <w:r>
        <w:t xml:space="preserve">Treat escalation as binary classification. For each example labeled "should escalate" or "should proceed," check if agent's decision matches. Compute precision, recall, F1 (a harmonic mean balancing precision and recall).</w:t>
      </w:r>
    </w:p>
    <w:p>
      <w:pPr>
        <w:pStyle w:val="ListParagraph"/>
        <w:numPr>
          <w:ilvl w:val="0"/>
          <w:numId w:val="4"/>
        </w:numPr>
      </w:pPr>
      <w:r>
        <w:rPr>
          <w:b/>
          <w:bCs/>
        </w:rPr>
        <w:t xml:space="preserve">LLM-as-judge: </w:t>
      </w:r>
      <w:r>
        <w:t xml:space="preserve">Given task context and agent's proposed routing: "Is this the appropriate routing? Should this have been escalated/not escalated?" Score appropriateness (1-5).</w:t>
      </w:r>
    </w:p>
    <w:p>
      <w:pPr>
        <w:spacing w:before="160"/>
      </w:pPr>
      <w:r>
        <w:rPr>
          <w:b/>
          <w:bCs/>
          <w:sz w:val="22"/>
          <w:szCs w:val="22"/>
        </w:rPr>
        <w:t xml:space="preserve">Evaluation Dataset Creation:</w:t>
      </w:r>
    </w:p>
    <w:p>
      <w:pPr>
        <w:pStyle w:val="ListParagraph"/>
        <w:numPr>
          <w:ilvl w:val="0"/>
          <w:numId w:val="4"/>
        </w:numPr>
      </w:pPr>
      <w:r>
        <w:t xml:space="preserve">Pull historical tasks where escalation decisions were made (both escalated and not escalated)</w:t>
      </w:r>
    </w:p>
    <w:p>
      <w:pPr>
        <w:pStyle w:val="ListParagraph"/>
        <w:numPr>
          <w:ilvl w:val="0"/>
          <w:numId w:val="4"/>
        </w:numPr>
      </w:pPr>
      <w:r>
        <w:t xml:space="preserve">Have operations experts label each: "correct to escalate," "correct to proceed," "should have escalated," "escalated unnecessarily"</w:t>
      </w:r>
    </w:p>
    <w:p>
      <w:pPr>
        <w:pStyle w:val="ListParagraph"/>
        <w:numPr>
          <w:ilvl w:val="0"/>
          <w:numId w:val="4"/>
        </w:numPr>
      </w:pPr>
      <w:r>
        <w:t xml:space="preserve">Balance the dataset: roughly equal examples of should-escalate and should-proceed</w:t>
      </w:r>
    </w:p>
    <w:p>
      <w:pPr>
        <w:pStyle w:val="ListParagraph"/>
        <w:numPr>
          <w:ilvl w:val="0"/>
          <w:numId w:val="4"/>
        </w:numPr>
      </w:pPr>
      <w:r>
        <w:t xml:space="preserve">Include boundary cases where the correct decision is genuinely ambiguous</w:t>
      </w:r>
    </w:p>
    <w:p>
      <w:pPr>
        <w:pStyle w:val="Heading3"/>
      </w:pPr>
      <w:r>
        <w:t xml:space="preserve">Objective 3: Execution Efficiency</w:t>
      </w:r>
    </w:p>
    <w:p>
      <w:pPr>
        <w:spacing w:before="120" w:after="60"/>
      </w:pPr>
      <w:r>
        <w:rPr>
          <w:b/>
          <w:bCs/>
          <w:sz w:val="22"/>
          <w:szCs w:val="22"/>
        </w:rPr>
        <w:t xml:space="preserve">Primary Metric: </w:t>
      </w:r>
      <w:r>
        <w:rPr>
          <w:sz w:val="22"/>
          <w:szCs w:val="22"/>
        </w:rPr>
        <w:t xml:space="preserve">Action Economy = (Minimum required steps) / (Agent's proposed steps) for correct completions</w:t>
      </w:r>
    </w:p>
    <w:p>
      <w:pPr>
        <w:spacing w:before="120" w:after="60"/>
      </w:pPr>
      <w:r>
        <w:rPr>
          <w:b/>
          <w:bCs/>
          <w:sz w:val="22"/>
          <w:szCs w:val="22"/>
        </w:rPr>
        <w:t xml:space="preserve">Secondary Metrics: </w:t>
      </w:r>
      <w:r>
        <w:rPr>
          <w:sz w:val="22"/>
          <w:szCs w:val="22"/>
        </w:rPr>
        <w:t xml:space="preserve">Token efficiency, unnecessary action rate, redundant validation rate</w:t>
      </w:r>
    </w:p>
    <w:p>
      <w:pPr>
        <w:spacing w:before="120" w:after="120"/>
      </w:pPr>
      <w:r>
        <w:rPr>
          <w:sz w:val="22"/>
          <w:szCs w:val="22"/>
        </w:rPr>
        <w:t xml:space="preserve">Example: If the ground-truth flow requires 5 steps and the agent uses 10, Action Economy = 0.5. This metric is only computed on correct completions—correctness first, then efficiency.</w:t>
      </w:r>
    </w:p>
    <w:p>
      <w:pPr>
        <w:spacing w:before="160"/>
      </w:pPr>
      <w:r>
        <w:rPr>
          <w:b/>
          <w:bCs/>
          <w:sz w:val="22"/>
          <w:szCs w:val="22"/>
        </w:rPr>
        <w:t xml:space="preserve">Evaluation Technique:</w:t>
      </w:r>
    </w:p>
    <w:p>
      <w:pPr>
        <w:spacing w:before="120" w:after="120"/>
      </w:pPr>
      <w:r>
        <w:rPr>
          <w:sz w:val="22"/>
          <w:szCs w:val="22"/>
        </w:rPr>
        <w:t xml:space="preserve">Deterministic comparison: For tasks where the agent produces a correct output, count steps taken vs. minimum required (from ground truth). Penalize unnecessary steps, redundant checks, or verbose reasoning that increases token cost without improving outcomes.</w:t>
      </w:r>
    </w:p>
    <w:p>
      <w:r>
        <w:br w:type="page"/>
      </w:r>
    </w:p>
    <w:p>
      <w:pPr>
        <w:pStyle w:val="Heading1"/>
      </w:pPr>
      <w:r>
        <w:t xml:space="preserve">3. Knowledge &amp; RAG Agents</w:t>
      </w:r>
    </w:p>
    <w:p>
      <w:pPr>
        <w:pStyle w:val="ExecutiveSummary"/>
      </w:pPr>
      <w:r>
        <w:rPr>
          <w:b/>
          <w:bCs/>
        </w:rPr>
        <w:t xml:space="preserve">RAG agents must be measured on trustworthiness, not just answer generation. </w:t>
      </w:r>
      <w:r>
        <w:t xml:space="preserve">TraiGent enables you to separately optimize retrieval quality, answer accuracy, and—critically—the ability to abstain when knowledge is insufficient. Confident wrong answers erode trust far more than honest uncertainty.</w:t>
      </w:r>
    </w:p>
    <w:p>
      <w:pPr>
        <w:pStyle w:val="Heading2"/>
      </w:pPr>
      <w:r>
        <w:t xml:space="preserve">What You Tune</w:t>
      </w:r>
    </w:p>
    <w:p>
      <w:pPr>
        <w:pStyle w:val="ListParagraph"/>
        <w:numPr>
          <w:ilvl w:val="0"/>
          <w:numId w:val="4"/>
        </w:numPr>
      </w:pPr>
      <w:r>
        <w:t xml:space="preserve">Retrieval parameters: top-k, similarity thresholds, reranker weights, hybrid search balance</w:t>
      </w:r>
    </w:p>
    <w:p>
      <w:pPr>
        <w:pStyle w:val="ListParagraph"/>
        <w:numPr>
          <w:ilvl w:val="0"/>
          <w:numId w:val="4"/>
        </w:numPr>
      </w:pPr>
      <w:r>
        <w:t xml:space="preserve">Chunking strategy: size, overlap, semantic vs. structural boundaries</w:t>
      </w:r>
    </w:p>
    <w:p>
      <w:pPr>
        <w:pStyle w:val="ListParagraph"/>
        <w:numPr>
          <w:ilvl w:val="0"/>
          <w:numId w:val="4"/>
        </w:numPr>
      </w:pPr>
      <w:r>
        <w:t xml:space="preserve">Answer generation: citation requirements, confidence thresholds, abstention triggers</w:t>
      </w:r>
    </w:p>
    <w:p>
      <w:pPr>
        <w:pStyle w:val="ListParagraph"/>
        <w:numPr>
          <w:ilvl w:val="0"/>
          <w:numId w:val="4"/>
        </w:numPr>
      </w:pPr>
      <w:r>
        <w:t xml:space="preserve">Hallucination safeguards: grounding enforcement, fact-checking prompts</w:t>
      </w:r>
    </w:p>
    <w:p>
      <w:pPr>
        <w:pStyle w:val="Heading2"/>
      </w:pPr>
      <w:r>
        <w:t xml:space="preserve">Objectives &amp; Evaluation</w:t>
      </w:r>
    </w:p>
    <w:p>
      <w:pPr>
        <w:shd w:fill="FFF5F5" w:val="clear"/>
        <w:spacing w:before="200" w:after="200"/>
        <w:ind w:left="360" w:right="360"/>
      </w:pPr>
      <w:r>
        <w:rPr>
          <w:b/>
          <w:bCs/>
          <w:sz w:val="22"/>
          <w:szCs w:val="22"/>
        </w:rPr>
        <w:t xml:space="preserve">Two failure modes to watch: </w:t>
      </w:r>
      <w:r>
        <w:rPr>
          <w:sz w:val="22"/>
          <w:szCs w:val="22"/>
        </w:rPr>
        <w:t xml:space="preserve">(1) "Correct but ungrounded"—answer is true but not supported by retrieved documents (model using parametric knowledge). (2) "Grounded but wrong"—answer accurately summarizes retrieved docs, but those docs are incorrect or outdated. Both erode trust differently.</w:t>
      </w:r>
    </w:p>
    <w:p>
      <w:pPr>
        <w:pStyle w:val="Heading3"/>
      </w:pPr>
      <w:r>
        <w:t xml:space="preserve">Objective 1: Answer Accuracy &amp; Grounding</w:t>
      </w:r>
    </w:p>
    <w:p>
      <w:pPr>
        <w:spacing w:before="120" w:after="60"/>
      </w:pPr>
      <w:r>
        <w:rPr>
          <w:b/>
          <w:bCs/>
          <w:sz w:val="22"/>
          <w:szCs w:val="22"/>
        </w:rPr>
        <w:t xml:space="preserve">Primary Metric: </w:t>
      </w:r>
      <w:r>
        <w:rPr>
          <w:sz w:val="22"/>
          <w:szCs w:val="22"/>
        </w:rPr>
        <w:t xml:space="preserve">Grounded Accuracy = % answers that are both correct AND fully supported by cited passages</w:t>
      </w:r>
    </w:p>
    <w:p>
      <w:pPr>
        <w:spacing w:before="120" w:after="60"/>
      </w:pPr>
      <w:r>
        <w:rPr>
          <w:b/>
          <w:bCs/>
          <w:sz w:val="22"/>
          <w:szCs w:val="22"/>
        </w:rPr>
        <w:t xml:space="preserve">Secondary Metrics: </w:t>
      </w:r>
      <w:r>
        <w:rPr>
          <w:sz w:val="22"/>
          <w:szCs w:val="22"/>
        </w:rPr>
        <w:t xml:space="preserve">Correctness rate (independent of grounding), faithfulness rate (independent of correctness), citation precision</w:t>
      </w:r>
    </w:p>
    <w:p>
      <w:pPr>
        <w:spacing w:before="160" w:after="120"/>
        <w:ind w:left="360"/>
      </w:pPr>
      <w:r>
        <w:rPr>
          <w:b/>
          <w:bCs/>
          <w:i/>
          <w:iCs/>
          <w:color w:val="2c5282"/>
          <w:sz w:val="22"/>
          <w:szCs w:val="22"/>
        </w:rPr>
        <w:t xml:space="preserve">Why this matters: </w:t>
      </w:r>
      <w:r>
        <w:rPr>
          <w:i/>
          <w:iCs/>
          <w:color w:val="4a5568"/>
          <w:sz w:val="22"/>
          <w:szCs w:val="22"/>
        </w:rPr>
        <w:t xml:space="preserve">Separating correctness from faithfulness reveals different failure modes. An answer can be true but unfaithful (using parametric knowledge) or faithful but incorrect (accurately summarizing wrong documents).</w:t>
      </w:r>
    </w:p>
    <w:p>
      <w:pPr>
        <w:spacing w:before="160"/>
      </w:pPr>
      <w:r>
        <w:rPr>
          <w:b/>
          <w:bCs/>
          <w:sz w:val="22"/>
          <w:szCs w:val="22"/>
        </w:rPr>
        <w:t xml:space="preserve">Evaluation Technique:</w:t>
      </w:r>
    </w:p>
    <w:p>
      <w:pPr>
        <w:pStyle w:val="ListParagraph"/>
        <w:numPr>
          <w:ilvl w:val="0"/>
          <w:numId w:val="4"/>
        </w:numPr>
      </w:pPr>
      <w:r>
        <w:rPr>
          <w:b/>
          <w:bCs/>
        </w:rPr>
        <w:t xml:space="preserve">LLM-as-judge (correctness): </w:t>
      </w:r>
      <w:r>
        <w:t xml:space="preserve">Given question, agent answer, and gold answer: score Fully correct (3), Partially correct (2), Incorrect (1), Harmful/misleading (0).</w:t>
      </w:r>
    </w:p>
    <w:p>
      <w:pPr>
        <w:pStyle w:val="ListParagraph"/>
        <w:numPr>
          <w:ilvl w:val="0"/>
          <w:numId w:val="4"/>
        </w:numPr>
      </w:pPr>
      <w:r>
        <w:rPr>
          <w:b/>
          <w:bCs/>
        </w:rPr>
        <w:t xml:space="preserve">LLM-as-judge (faithfulness): </w:t>
      </w:r>
      <w:r>
        <w:t xml:space="preserve">Given answer and retrieved passages, verify each claim is directly supported. Score: Fully grounded (3), Mostly grounded (2), Contains unsupported claims (1), Fabricated (0).</w:t>
      </w:r>
    </w:p>
    <w:p>
      <w:pPr>
        <w:pStyle w:val="ListParagraph"/>
        <w:numPr>
          <w:ilvl w:val="0"/>
          <w:numId w:val="4"/>
        </w:numPr>
      </w:pPr>
      <w:r>
        <w:rPr>
          <w:b/>
          <w:bCs/>
        </w:rPr>
        <w:t xml:space="preserve">Citation verification: </w:t>
      </w:r>
      <w:r>
        <w:t xml:space="preserve">Programmatically check that cited passage IDs exist and quoted text appears in source (fuzzy match for paraphrases).</w:t>
      </w:r>
    </w:p>
    <w:p>
      <w:pPr>
        <w:spacing w:before="160"/>
      </w:pPr>
      <w:r>
        <w:rPr>
          <w:b/>
          <w:bCs/>
          <w:sz w:val="22"/>
          <w:szCs w:val="22"/>
        </w:rPr>
        <w:t xml:space="preserve">Evaluation Dataset Creation:</w:t>
      </w:r>
    </w:p>
    <w:p>
      <w:pPr>
        <w:pStyle w:val="ListParagraph"/>
        <w:numPr>
          <w:ilvl w:val="0"/>
          <w:numId w:val="4"/>
        </w:numPr>
      </w:pPr>
      <w:r>
        <w:rPr>
          <w:b/>
          <w:bCs/>
        </w:rPr>
        <w:t xml:space="preserve">Data source: </w:t>
      </w:r>
      <w:r>
        <w:t xml:space="preserve">Production query logs and internal documentation</w:t>
      </w:r>
    </w:p>
    <w:p>
      <w:pPr>
        <w:pStyle w:val="ListParagraph"/>
        <w:numPr>
          <w:ilvl w:val="0"/>
          <w:numId w:val="4"/>
        </w:numPr>
      </w:pPr>
      <w:r>
        <w:t xml:space="preserve">Sample real user queries stratified by topic and complexity</w:t>
      </w:r>
    </w:p>
    <w:p>
      <w:pPr>
        <w:pStyle w:val="ListParagraph"/>
        <w:numPr>
          <w:ilvl w:val="0"/>
          <w:numId w:val="4"/>
        </w:numPr>
      </w:pPr>
      <w:r>
        <w:t xml:space="preserve">Have domain experts provide gold-standard answers with source references</w:t>
      </w:r>
    </w:p>
    <w:p>
      <w:pPr>
        <w:pStyle w:val="ListParagraph"/>
        <w:numPr>
          <w:ilvl w:val="0"/>
          <w:numId w:val="4"/>
        </w:numPr>
      </w:pPr>
      <w:r>
        <w:t xml:space="preserve">Synthetic augmentation: paraphrased questions, multi-hop reasoning, questions requiring synthesis across documents</w:t>
      </w:r>
    </w:p>
    <w:p>
      <w:pPr>
        <w:pStyle w:val="ListParagraph"/>
        <w:numPr>
          <w:ilvl w:val="0"/>
          <w:numId w:val="4"/>
        </w:numPr>
      </w:pPr>
      <w:r>
        <w:t xml:space="preserve">Temporal splits: include questions about recently updated content to catch staleness issues</w:t>
      </w:r>
    </w:p>
    <w:p>
      <w:pPr>
        <w:pStyle w:val="Heading3"/>
      </w:pPr>
      <w:r>
        <w:t xml:space="preserve">Objective 2: Retrieval Quality</w:t>
      </w:r>
    </w:p>
    <w:p>
      <w:pPr>
        <w:spacing w:before="120" w:after="60"/>
      </w:pPr>
      <w:r>
        <w:rPr>
          <w:b/>
          <w:bCs/>
          <w:sz w:val="22"/>
          <w:szCs w:val="22"/>
        </w:rPr>
        <w:t xml:space="preserve">Primary Metric: </w:t>
      </w:r>
      <w:r>
        <w:rPr>
          <w:sz w:val="22"/>
          <w:szCs w:val="22"/>
        </w:rPr>
        <w:t xml:space="preserve">Retrieval Success Rate = % queries where at least one relevant document appears in top-k</w:t>
      </w:r>
    </w:p>
    <w:p>
      <w:pPr>
        <w:spacing w:before="120" w:after="60"/>
      </w:pPr>
      <w:r>
        <w:rPr>
          <w:b/>
          <w:bCs/>
          <w:sz w:val="22"/>
          <w:szCs w:val="22"/>
        </w:rPr>
        <w:t xml:space="preserve">Secondary Metrics: </w:t>
      </w:r>
      <w:r>
        <w:rPr>
          <w:sz w:val="22"/>
          <w:szCs w:val="22"/>
        </w:rPr>
        <w:t xml:space="preserve">MRR (Mean Reciprocal Rank—average of 1/rank of first relevant result), NDCG@k (ranking quality metric), retrieval latency</w:t>
      </w:r>
    </w:p>
    <w:p>
      <w:pPr>
        <w:spacing w:before="160" w:after="120"/>
        <w:ind w:left="360"/>
      </w:pPr>
      <w:r>
        <w:rPr>
          <w:b/>
          <w:bCs/>
          <w:i/>
          <w:iCs/>
          <w:color w:val="2c5282"/>
          <w:sz w:val="22"/>
          <w:szCs w:val="22"/>
        </w:rPr>
        <w:t xml:space="preserve">Why this matters: </w:t>
      </w:r>
      <w:r>
        <w:rPr>
          <w:i/>
          <w:iCs/>
          <w:color w:val="4a5568"/>
          <w:sz w:val="22"/>
          <w:szCs w:val="22"/>
        </w:rPr>
        <w:t xml:space="preserve">If retrieval fails, the best generation model cannot compensate. Optimizing generation without first fixing retrieval is ineffective.</w:t>
      </w:r>
    </w:p>
    <w:p>
      <w:pPr>
        <w:spacing w:before="160"/>
      </w:pPr>
      <w:r>
        <w:rPr>
          <w:b/>
          <w:bCs/>
          <w:sz w:val="22"/>
          <w:szCs w:val="22"/>
        </w:rPr>
        <w:t xml:space="preserve">Evaluation Technique:</w:t>
      </w:r>
    </w:p>
    <w:p>
      <w:pPr>
        <w:pStyle w:val="ListParagraph"/>
        <w:numPr>
          <w:ilvl w:val="0"/>
          <w:numId w:val="4"/>
        </w:numPr>
      </w:pPr>
      <w:r>
        <w:rPr>
          <w:b/>
          <w:bCs/>
        </w:rPr>
        <w:t xml:space="preserve">Deterministic IR metrics: </w:t>
      </w:r>
      <w:r>
        <w:t xml:space="preserve">Compare retrieved document IDs against labeled relevant documents. Compute Precision@k, Recall@k, MRR.</w:t>
      </w:r>
    </w:p>
    <w:p>
      <w:pPr>
        <w:pStyle w:val="ListParagraph"/>
        <w:numPr>
          <w:ilvl w:val="0"/>
          <w:numId w:val="4"/>
        </w:numPr>
      </w:pPr>
      <w:r>
        <w:rPr>
          <w:b/>
          <w:bCs/>
        </w:rPr>
        <w:t xml:space="preserve">LLM-as-judge (relevance): </w:t>
      </w:r>
      <w:r>
        <w:t xml:space="preserve">For each retrieved chunk: "Does this passage contain information needed to answer the question?" Score: Irrelevant (0), Partially relevant (1), Highly relevant (2).</w:t>
      </w:r>
    </w:p>
    <w:p>
      <w:pPr>
        <w:spacing w:before="160"/>
      </w:pPr>
      <w:r>
        <w:rPr>
          <w:b/>
          <w:bCs/>
          <w:sz w:val="22"/>
          <w:szCs w:val="22"/>
        </w:rPr>
        <w:t xml:space="preserve">Evaluation Dataset Creation:</w:t>
      </w:r>
    </w:p>
    <w:p>
      <w:pPr>
        <w:pStyle w:val="ListParagraph"/>
        <w:numPr>
          <w:ilvl w:val="0"/>
          <w:numId w:val="4"/>
        </w:numPr>
      </w:pPr>
      <w:r>
        <w:t xml:space="preserve">For 200+ representative queries, have SMEs identify all relevant documents/sections</w:t>
      </w:r>
    </w:p>
    <w:p>
      <w:pPr>
        <w:pStyle w:val="ListParagraph"/>
        <w:numPr>
          <w:ilvl w:val="0"/>
          <w:numId w:val="4"/>
        </w:numPr>
      </w:pPr>
      <w:r>
        <w:t xml:space="preserve">Include hard negatives: documents that are topically related but don't answer the question (tests precision)</w:t>
      </w:r>
    </w:p>
    <w:p>
      <w:pPr>
        <w:pStyle w:val="ListParagraph"/>
        <w:numPr>
          <w:ilvl w:val="0"/>
          <w:numId w:val="4"/>
        </w:numPr>
      </w:pPr>
      <w:r>
        <w:t xml:space="preserve">Vocabulary variations: same question phrased differently (formal/informal, jargon/plain language)</w:t>
      </w:r>
    </w:p>
    <w:p>
      <w:pPr>
        <w:pStyle w:val="Heading3"/>
      </w:pPr>
      <w:r>
        <w:t xml:space="preserve">Objective 3: Appropriate Abstention</w:t>
      </w:r>
    </w:p>
    <w:p>
      <w:pPr>
        <w:spacing w:before="120" w:after="60"/>
      </w:pPr>
      <w:r>
        <w:rPr>
          <w:b/>
          <w:bCs/>
          <w:sz w:val="22"/>
          <w:szCs w:val="22"/>
        </w:rPr>
        <w:t xml:space="preserve">Primary Metric: </w:t>
      </w:r>
      <w:r>
        <w:rPr>
          <w:sz w:val="22"/>
          <w:szCs w:val="22"/>
        </w:rPr>
        <w:t xml:space="preserve">Abstention F1 = Balance of correctly abstaining when should AND answering when can</w:t>
      </w:r>
    </w:p>
    <w:p>
      <w:pPr>
        <w:spacing w:before="120" w:after="60"/>
      </w:pPr>
      <w:r>
        <w:rPr>
          <w:b/>
          <w:bCs/>
          <w:sz w:val="22"/>
          <w:szCs w:val="22"/>
        </w:rPr>
        <w:t xml:space="preserve">Secondary Metrics: </w:t>
      </w:r>
      <w:r>
        <w:rPr>
          <w:sz w:val="22"/>
          <w:szCs w:val="22"/>
        </w:rPr>
        <w:t xml:space="preserve">False confidence rate (answered incorrectly when should have abstained), false humility rate (abstained when could have answered correctly)</w:t>
      </w:r>
    </w:p>
    <w:p>
      <w:pPr>
        <w:spacing w:before="160" w:after="120"/>
        <w:ind w:left="360"/>
      </w:pPr>
      <w:r>
        <w:rPr>
          <w:b/>
          <w:bCs/>
          <w:i/>
          <w:iCs/>
          <w:color w:val="2c5282"/>
          <w:sz w:val="22"/>
          <w:szCs w:val="22"/>
        </w:rPr>
        <w:t xml:space="preserve">Why this matters: </w:t>
      </w:r>
      <w:r>
        <w:rPr>
          <w:i/>
          <w:iCs/>
          <w:color w:val="4a5568"/>
          <w:sz w:val="22"/>
          <w:szCs w:val="22"/>
        </w:rPr>
        <w:t xml:space="preserve">Users lose trust faster from confident wrong answers than from honest uncertainty. But over-abstention makes the system useless. The abstention threshold can itself be a tuned variable in TVL.</w:t>
      </w:r>
    </w:p>
    <w:p>
      <w:pPr>
        <w:spacing w:before="160"/>
      </w:pPr>
      <w:r>
        <w:rPr>
          <w:b/>
          <w:bCs/>
          <w:sz w:val="22"/>
          <w:szCs w:val="22"/>
        </w:rPr>
        <w:t xml:space="preserve">Evaluation Technique:</w:t>
      </w:r>
    </w:p>
    <w:p>
      <w:pPr>
        <w:pStyle w:val="ListParagraph"/>
        <w:numPr>
          <w:ilvl w:val="0"/>
          <w:numId w:val="4"/>
        </w:numPr>
      </w:pPr>
      <w:r>
        <w:rPr>
          <w:b/>
          <w:bCs/>
        </w:rPr>
        <w:t xml:space="preserve">Classification metrics: </w:t>
      </w:r>
      <w:r>
        <w:t xml:space="preserve">Treat abstention as binary classification. Compute precision, recall, F1 for the "should abstain" class at various confidence thresholds.</w:t>
      </w:r>
    </w:p>
    <w:p>
      <w:pPr>
        <w:pStyle w:val="ListParagraph"/>
        <w:numPr>
          <w:ilvl w:val="0"/>
          <w:numId w:val="4"/>
        </w:numPr>
      </w:pPr>
      <w:r>
        <w:rPr>
          <w:b/>
          <w:bCs/>
        </w:rPr>
        <w:t xml:space="preserve">Calibration analysis: </w:t>
      </w:r>
      <w:r>
        <w:t xml:space="preserve">When the agent expresses uncertainty, does actual accuracy correlate? Plot calibration curves to verify.</w:t>
      </w:r>
    </w:p>
    <w:p>
      <w:pPr>
        <w:spacing w:before="160"/>
      </w:pPr>
      <w:r>
        <w:rPr>
          <w:b/>
          <w:bCs/>
          <w:sz w:val="22"/>
          <w:szCs w:val="22"/>
        </w:rPr>
        <w:t xml:space="preserve">Evaluation Dataset Creation:</w:t>
      </w:r>
    </w:p>
    <w:p>
      <w:pPr>
        <w:pStyle w:val="ListParagraph"/>
        <w:numPr>
          <w:ilvl w:val="0"/>
          <w:numId w:val="4"/>
        </w:numPr>
      </w:pPr>
      <w:r>
        <w:rPr>
          <w:b/>
          <w:bCs/>
        </w:rPr>
        <w:t xml:space="preserve">Unanswerable questions: </w:t>
      </w:r>
      <w:r>
        <w:t xml:space="preserve">Generate queries about topics not in your knowledge base. Example: "What is the vacation policy for the London office?" when no London office exists.</w:t>
      </w:r>
    </w:p>
    <w:p>
      <w:pPr>
        <w:pStyle w:val="ListParagraph"/>
        <w:numPr>
          <w:ilvl w:val="0"/>
          <w:numId w:val="4"/>
        </w:numPr>
      </w:pPr>
      <w:r>
        <w:rPr>
          <w:b/>
          <w:bCs/>
        </w:rPr>
        <w:t xml:space="preserve">Outdated content: </w:t>
      </w:r>
      <w:r>
        <w:t xml:space="preserve">Questions where the correct answer has changed since documents were written</w:t>
      </w:r>
    </w:p>
    <w:p>
      <w:pPr>
        <w:pStyle w:val="ListParagraph"/>
        <w:numPr>
          <w:ilvl w:val="0"/>
          <w:numId w:val="4"/>
        </w:numPr>
      </w:pPr>
      <w:r>
        <w:rPr>
          <w:b/>
          <w:bCs/>
        </w:rPr>
        <w:t xml:space="preserve">Ambiguous queries: </w:t>
      </w:r>
      <w:r>
        <w:t xml:space="preserve">Questions that could be interpreted multiple ways, requiring clarification</w:t>
      </w:r>
    </w:p>
    <w:p>
      <w:pPr>
        <w:pStyle w:val="ListParagraph"/>
        <w:numPr>
          <w:ilvl w:val="0"/>
          <w:numId w:val="4"/>
        </w:numPr>
      </w:pPr>
      <w:r>
        <w:rPr>
          <w:b/>
          <w:bCs/>
        </w:rPr>
        <w:t xml:space="preserve">Boundary cases: </w:t>
      </w:r>
      <w:r>
        <w:t xml:space="preserve">Questions partially answerable from the knowledge base</w:t>
      </w:r>
    </w:p>
    <w:p>
      <w:r>
        <w:br w:type="page"/>
      </w:r>
    </w:p>
    <w:p>
      <w:pPr>
        <w:pStyle w:val="Heading1"/>
      </w:pPr>
      <w:r>
        <w:t xml:space="preserve">4. Product &amp; Technical Agents</w:t>
      </w:r>
    </w:p>
    <w:p>
      <w:pPr>
        <w:pStyle w:val="ExecutiveSummary"/>
      </w:pPr>
      <w:r>
        <w:rPr>
          <w:b/>
          <w:bCs/>
        </w:rPr>
        <w:t xml:space="preserve">Code agents can be evaluated immediately via test suites, static analysis, and LLM-judged readability—no deployment required. </w:t>
      </w:r>
      <w:r>
        <w:t xml:space="preserve">TraiGent runs generated code against deterministic quality checks (tests, linters, security scanners) and calibrated LLM judges for style and maintainability, enabling rapid iteration across thousands of configurations.</w:t>
      </w:r>
    </w:p>
    <w:p>
      <w:pPr>
        <w:pStyle w:val="Heading2"/>
      </w:pPr>
      <w:r>
        <w:t xml:space="preserve">What You Tune</w:t>
      </w:r>
    </w:p>
    <w:p>
      <w:pPr>
        <w:pStyle w:val="ListParagraph"/>
        <w:numPr>
          <w:ilvl w:val="0"/>
          <w:numId w:val="4"/>
        </w:numPr>
      </w:pPr>
      <w:r>
        <w:t xml:space="preserve">Coding style: language idioms, naming conventions, documentation density</w:t>
      </w:r>
    </w:p>
    <w:p>
      <w:pPr>
        <w:pStyle w:val="ListParagraph"/>
        <w:numPr>
          <w:ilvl w:val="0"/>
          <w:numId w:val="4"/>
        </w:numPr>
      </w:pPr>
      <w:r>
        <w:t xml:space="preserve">Solution approach: test-first vs. implementation-first, refactor vs. rewrite thresholds</w:t>
      </w:r>
    </w:p>
    <w:p>
      <w:pPr>
        <w:pStyle w:val="ListParagraph"/>
        <w:numPr>
          <w:ilvl w:val="0"/>
          <w:numId w:val="4"/>
        </w:numPr>
      </w:pPr>
      <w:r>
        <w:t xml:space="preserve">Tool integration: which linters, static analyzers, and CI checks to incorporate</w:t>
      </w:r>
    </w:p>
    <w:p>
      <w:pPr>
        <w:pStyle w:val="ListParagraph"/>
        <w:numPr>
          <w:ilvl w:val="0"/>
          <w:numId w:val="4"/>
        </w:numPr>
      </w:pPr>
      <w:r>
        <w:t xml:space="preserve">Exploration depth: single solution vs. multiple alternatives with tradeoff analysis</w:t>
      </w:r>
    </w:p>
    <w:p>
      <w:pPr>
        <w:pStyle w:val="Heading2"/>
      </w:pPr>
      <w:r>
        <w:t xml:space="preserve">Objectives &amp; Evaluation</w:t>
      </w:r>
    </w:p>
    <w:p>
      <w:pPr>
        <w:pStyle w:val="Heading3"/>
      </w:pPr>
      <w:r>
        <w:t xml:space="preserve">Objective 1: Functional Correctness</w:t>
      </w:r>
    </w:p>
    <w:p>
      <w:pPr>
        <w:spacing w:before="120" w:after="60"/>
      </w:pPr>
      <w:r>
        <w:rPr>
          <w:b/>
          <w:bCs/>
          <w:sz w:val="22"/>
          <w:szCs w:val="22"/>
        </w:rPr>
        <w:t xml:space="preserve">Primary Metric: </w:t>
      </w:r>
      <w:r>
        <w:rPr>
          <w:sz w:val="22"/>
          <w:szCs w:val="22"/>
        </w:rPr>
        <w:t xml:space="preserve">Weighted Test Pass Rate = Σ(test_weight × pass) / Σ(test_weight)</w:t>
      </w:r>
    </w:p>
    <w:p>
      <w:pPr>
        <w:spacing w:before="120" w:after="60"/>
      </w:pPr>
      <w:r>
        <w:rPr>
          <w:b/>
          <w:bCs/>
          <w:sz w:val="22"/>
          <w:szCs w:val="22"/>
        </w:rPr>
        <w:t xml:space="preserve">Secondary Metrics: </w:t>
      </w:r>
      <w:r>
        <w:rPr>
          <w:sz w:val="22"/>
          <w:szCs w:val="22"/>
        </w:rPr>
        <w:t xml:space="preserve">Critical path coverage, regression rate, edge case handling</w:t>
      </w:r>
    </w:p>
    <w:p>
      <w:pPr>
        <w:spacing w:before="160" w:after="120"/>
        <w:ind w:left="360"/>
      </w:pPr>
      <w:r>
        <w:rPr>
          <w:b/>
          <w:bCs/>
          <w:i/>
          <w:iCs/>
          <w:color w:val="2c5282"/>
          <w:sz w:val="22"/>
          <w:szCs w:val="22"/>
        </w:rPr>
        <w:t xml:space="preserve">Why this matters: </w:t>
      </w:r>
      <w:r>
        <w:rPr>
          <w:i/>
          <w:iCs/>
          <w:color w:val="4a5568"/>
          <w:sz w:val="22"/>
          <w:szCs w:val="22"/>
        </w:rPr>
        <w:t xml:space="preserve">Not all tests are equal. A failing unit test for a helper function is less severe than a failing integration test for the payment flow. Weighted metrics reflect actual business risk.</w:t>
      </w:r>
    </w:p>
    <w:p>
      <w:pPr>
        <w:spacing w:before="160"/>
      </w:pPr>
      <w:r>
        <w:rPr>
          <w:b/>
          <w:bCs/>
          <w:sz w:val="22"/>
          <w:szCs w:val="22"/>
        </w:rPr>
        <w:t xml:space="preserve">Evaluation Technique:</w:t>
      </w:r>
    </w:p>
    <w:p>
      <w:pPr>
        <w:pStyle w:val="ListParagraph"/>
        <w:numPr>
          <w:ilvl w:val="0"/>
          <w:numId w:val="4"/>
        </w:numPr>
      </w:pPr>
      <w:r>
        <w:rPr>
          <w:b/>
          <w:bCs/>
        </w:rPr>
        <w:t xml:space="preserve">Deterministic (CI pipeline): </w:t>
      </w:r>
      <w:r>
        <w:t xml:space="preserve">Run full test suite. Weight tests by: criticality tier, code path importance, historical correlation with production incidents.</w:t>
      </w:r>
    </w:p>
    <w:p>
      <w:pPr>
        <w:pStyle w:val="ListParagraph"/>
        <w:numPr>
          <w:ilvl w:val="0"/>
          <w:numId w:val="4"/>
        </w:numPr>
      </w:pPr>
      <w:r>
        <w:rPr>
          <w:b/>
          <w:bCs/>
        </w:rPr>
        <w:t xml:space="preserve">Mutation testing: </w:t>
      </w:r>
      <w:r>
        <w:t xml:space="preserve">Introduce controlled bugs; measure whether tests catch them. Low mutation score indicates tests pass but don't verify behavior.</w:t>
      </w:r>
    </w:p>
    <w:p>
      <w:pPr>
        <w:pStyle w:val="ListParagraph"/>
        <w:numPr>
          <w:ilvl w:val="0"/>
          <w:numId w:val="4"/>
        </w:numPr>
      </w:pPr>
      <w:r>
        <w:rPr>
          <w:b/>
          <w:bCs/>
        </w:rPr>
        <w:t xml:space="preserve">Semantic correctness: </w:t>
      </w:r>
      <w:r>
        <w:t xml:space="preserve">For complex logic, use LLM-as-judge to verify implementation matches the spec (catches cases where tests are incomplete).</w:t>
      </w:r>
    </w:p>
    <w:p>
      <w:pPr>
        <w:spacing w:before="160"/>
      </w:pPr>
      <w:r>
        <w:rPr>
          <w:b/>
          <w:bCs/>
          <w:sz w:val="22"/>
          <w:szCs w:val="22"/>
        </w:rPr>
        <w:t xml:space="preserve">Evaluation Dataset Creation:</w:t>
      </w:r>
    </w:p>
    <w:p>
      <w:pPr>
        <w:pStyle w:val="ListParagraph"/>
        <w:numPr>
          <w:ilvl w:val="0"/>
          <w:numId w:val="4"/>
        </w:numPr>
      </w:pPr>
      <w:r>
        <w:t xml:space="preserve">Existing test suites as baseline</w:t>
      </w:r>
    </w:p>
    <w:p>
      <w:pPr>
        <w:pStyle w:val="ListParagraph"/>
        <w:numPr>
          <w:ilvl w:val="0"/>
          <w:numId w:val="4"/>
        </w:numPr>
      </w:pPr>
      <w:r>
        <w:t xml:space="preserve">Golden tests: Hand-crafted tests for critical paths with known-correct expected outputs</w:t>
      </w:r>
    </w:p>
    <w:p>
      <w:pPr>
        <w:pStyle w:val="ListParagraph"/>
        <w:numPr>
          <w:ilvl w:val="0"/>
          <w:numId w:val="4"/>
        </w:numPr>
      </w:pPr>
      <w:r>
        <w:t xml:space="preserve">Historical bugs: Regression tests derived from past production incidents</w:t>
      </w:r>
    </w:p>
    <w:p>
      <w:pPr>
        <w:pStyle w:val="ListParagraph"/>
        <w:numPr>
          <w:ilvl w:val="0"/>
          <w:numId w:val="4"/>
        </w:numPr>
      </w:pPr>
      <w:r>
        <w:t xml:space="preserve">Adversarial inputs: Boundary conditions, malformed data, concurrency scenarios</w:t>
      </w:r>
    </w:p>
    <w:p>
      <w:pPr>
        <w:pStyle w:val="Heading3"/>
      </w:pPr>
      <w:r>
        <w:t xml:space="preserve">Objective 2: Code Quality &amp; Security</w:t>
      </w:r>
    </w:p>
    <w:p>
      <w:pPr>
        <w:spacing w:before="120" w:after="60"/>
      </w:pPr>
      <w:r>
        <w:rPr>
          <w:b/>
          <w:bCs/>
          <w:sz w:val="22"/>
          <w:szCs w:val="22"/>
        </w:rPr>
        <w:t xml:space="preserve">Primary Metric: </w:t>
      </w:r>
      <w:r>
        <w:rPr>
          <w:sz w:val="22"/>
          <w:szCs w:val="22"/>
        </w:rPr>
        <w:t xml:space="preserve">Quality Score = f(static analysis issues, complexity, security vulnerabilities, maintainability index)</w:t>
      </w:r>
    </w:p>
    <w:p>
      <w:pPr>
        <w:spacing w:before="120" w:after="60"/>
      </w:pPr>
      <w:r>
        <w:rPr>
          <w:b/>
          <w:bCs/>
          <w:sz w:val="22"/>
          <w:szCs w:val="22"/>
        </w:rPr>
        <w:t xml:space="preserve">Secondary Metrics: </w:t>
      </w:r>
      <w:r>
        <w:rPr>
          <w:sz w:val="22"/>
          <w:szCs w:val="22"/>
        </w:rPr>
        <w:t xml:space="preserve">Cyclomatic complexity, dependency freshness, SAST findings by severity</w:t>
      </w:r>
    </w:p>
    <w:p>
      <w:pPr>
        <w:spacing w:before="160" w:after="120"/>
        <w:ind w:left="360"/>
      </w:pPr>
      <w:r>
        <w:rPr>
          <w:b/>
          <w:bCs/>
          <w:i/>
          <w:iCs/>
          <w:color w:val="2c5282"/>
          <w:sz w:val="22"/>
          <w:szCs w:val="22"/>
        </w:rPr>
        <w:t xml:space="preserve">Why this matters: </w:t>
      </w:r>
      <w:r>
        <w:rPr>
          <w:i/>
          <w:iCs/>
          <w:color w:val="4a5568"/>
          <w:sz w:val="22"/>
          <w:szCs w:val="22"/>
        </w:rPr>
        <w:t xml:space="preserve">Code that works today but is unmaintainable creates compounding technical debt. Security vulnerabilities in generated code can be catastrophic. Quality is not optional.</w:t>
      </w:r>
    </w:p>
    <w:p>
      <w:pPr>
        <w:spacing w:before="160"/>
      </w:pPr>
      <w:r>
        <w:rPr>
          <w:b/>
          <w:bCs/>
          <w:sz w:val="22"/>
          <w:szCs w:val="22"/>
        </w:rPr>
        <w:t xml:space="preserve">Evaluation Technique:</w:t>
      </w:r>
    </w:p>
    <w:p>
      <w:pPr>
        <w:pStyle w:val="ListParagraph"/>
        <w:numPr>
          <w:ilvl w:val="0"/>
          <w:numId w:val="4"/>
        </w:numPr>
      </w:pPr>
      <w:r>
        <w:rPr>
          <w:b/>
          <w:bCs/>
        </w:rPr>
        <w:t xml:space="preserve">Static analysis: </w:t>
      </w:r>
      <w:r>
        <w:t xml:space="preserve">Run linters (ESLint, Pylint), type checkers (TypeScript, mypy), complexity analyzers. Count issues per LOC by severity.</w:t>
      </w:r>
    </w:p>
    <w:p>
      <w:pPr>
        <w:pStyle w:val="ListParagraph"/>
        <w:numPr>
          <w:ilvl w:val="0"/>
          <w:numId w:val="4"/>
        </w:numPr>
      </w:pPr>
      <w:r>
        <w:rPr>
          <w:b/>
          <w:bCs/>
        </w:rPr>
        <w:t xml:space="preserve">Security scanning: </w:t>
      </w:r>
      <w:r>
        <w:t xml:space="preserve">SAST tools (e.g., Semgrep, CodeQL), dependency vulnerability scanning. Block any configuration that introduces critical/high findings.</w:t>
      </w:r>
    </w:p>
    <w:p>
      <w:pPr>
        <w:pStyle w:val="ListParagraph"/>
        <w:numPr>
          <w:ilvl w:val="0"/>
          <w:numId w:val="4"/>
        </w:numPr>
      </w:pPr>
      <w:r>
        <w:rPr>
          <w:b/>
          <w:bCs/>
        </w:rPr>
        <w:t xml:space="preserve">LLM-as-judge (readability): </w:t>
      </w:r>
      <w:r>
        <w:t xml:space="preserve">Show code to evaluator LLM: rate clarity (1-5), modularity (1-5), naming quality (1-5), documentation adequacy (1-5). This approximates senior code review for pre-screening.</w:t>
      </w:r>
    </w:p>
    <w:p>
      <w:pPr>
        <w:spacing w:before="160"/>
      </w:pPr>
      <w:r>
        <w:rPr>
          <w:b/>
          <w:bCs/>
          <w:sz w:val="22"/>
          <w:szCs w:val="22"/>
        </w:rPr>
        <w:t xml:space="preserve">Evaluation Dataset Creation:</w:t>
      </w:r>
    </w:p>
    <w:p>
      <w:pPr>
        <w:pStyle w:val="ListParagraph"/>
        <w:numPr>
          <w:ilvl w:val="0"/>
          <w:numId w:val="4"/>
        </w:numPr>
      </w:pPr>
      <w:r>
        <w:t xml:space="preserve">Exemplar PRs: PRs that received strong positive code review feedback from senior engineers</w:t>
      </w:r>
    </w:p>
    <w:p>
      <w:pPr>
        <w:pStyle w:val="ListParagraph"/>
        <w:numPr>
          <w:ilvl w:val="0"/>
          <w:numId w:val="4"/>
        </w:numPr>
      </w:pPr>
      <w:r>
        <w:t xml:space="preserve">Anti-patterns: PRs that required significant rework or introduced bugs post-merge</w:t>
      </w:r>
    </w:p>
    <w:p>
      <w:pPr>
        <w:pStyle w:val="ListParagraph"/>
        <w:numPr>
          <w:ilvl w:val="0"/>
          <w:numId w:val="4"/>
        </w:numPr>
      </w:pPr>
      <w:r>
        <w:t xml:space="preserve">Security test cases: Known vulnerable patterns (SQL injection, XSS, etc.) to verify detection</w:t>
      </w:r>
    </w:p>
    <w:p>
      <w:pPr>
        <w:pStyle w:val="Heading3"/>
      </w:pPr>
      <w:r>
        <w:t xml:space="preserve">Objective 3: Solution Efficiency</w:t>
      </w:r>
    </w:p>
    <w:p>
      <w:pPr>
        <w:spacing w:before="120" w:after="60"/>
      </w:pPr>
      <w:r>
        <w:rPr>
          <w:b/>
          <w:bCs/>
          <w:sz w:val="22"/>
          <w:szCs w:val="22"/>
        </w:rPr>
        <w:t xml:space="preserve">Primary Metric: </w:t>
      </w:r>
      <w:r>
        <w:rPr>
          <w:sz w:val="22"/>
          <w:szCs w:val="22"/>
        </w:rPr>
        <w:t xml:space="preserve">Solution Economy = Quality achieved / Resources consumed (tokens, complexity, LOC)</w:t>
      </w:r>
    </w:p>
    <w:p>
      <w:pPr>
        <w:spacing w:before="120" w:after="60"/>
      </w:pPr>
      <w:r>
        <w:rPr>
          <w:b/>
          <w:bCs/>
          <w:sz w:val="22"/>
          <w:szCs w:val="22"/>
        </w:rPr>
        <w:t xml:space="preserve">Secondary Metrics: </w:t>
      </w:r>
      <w:r>
        <w:rPr>
          <w:sz w:val="22"/>
          <w:szCs w:val="22"/>
        </w:rPr>
        <w:t xml:space="preserve">Token efficiency (quality per 1K tokens), code conciseness, over-engineering rate</w:t>
      </w:r>
    </w:p>
    <w:p>
      <w:pPr>
        <w:spacing w:before="160" w:after="120"/>
        <w:ind w:left="360"/>
      </w:pPr>
      <w:r>
        <w:rPr>
          <w:b/>
          <w:bCs/>
          <w:i/>
          <w:iCs/>
          <w:color w:val="2c5282"/>
          <w:sz w:val="22"/>
          <w:szCs w:val="22"/>
        </w:rPr>
        <w:t xml:space="preserve">Why this matters: </w:t>
      </w:r>
      <w:r>
        <w:rPr>
          <w:i/>
          <w:iCs/>
          <w:color w:val="4a5568"/>
          <w:sz w:val="22"/>
          <w:szCs w:val="22"/>
        </w:rPr>
        <w:t xml:space="preserve">Two solutions might both pass tests, but one uses 3x the tokens and produces 2x the code. TraiGent can find configurations that achieve equivalent quality with less resource consumption.</w:t>
      </w:r>
    </w:p>
    <w:p>
      <w:pPr>
        <w:spacing w:before="160"/>
      </w:pPr>
      <w:r>
        <w:rPr>
          <w:b/>
          <w:bCs/>
          <w:sz w:val="22"/>
          <w:szCs w:val="22"/>
        </w:rPr>
        <w:t xml:space="preserve">Evaluation Technique:</w:t>
      </w:r>
    </w:p>
    <w:p>
      <w:pPr>
        <w:spacing w:before="120" w:after="120"/>
      </w:pPr>
      <w:r>
        <w:rPr>
          <w:sz w:val="22"/>
          <w:szCs w:val="22"/>
        </w:rPr>
        <w:t xml:space="preserve">Deterministic measurement: For each evaluation task, record tokens consumed, lines of code generated, and cyclomatic complexity. Compute efficiency ratios for solutions that pass correctness thresholds. Compare across configurations to find Pareto-optimal points.</w:t>
      </w:r>
    </w:p>
    <w:p>
      <w:pPr>
        <w:spacing w:before="160"/>
      </w:pPr>
      <w:r>
        <w:rPr>
          <w:b/>
          <w:bCs/>
          <w:sz w:val="22"/>
          <w:szCs w:val="22"/>
        </w:rPr>
        <w:t xml:space="preserve">Evaluation Dataset Creation:</w:t>
      </w:r>
    </w:p>
    <w:p>
      <w:pPr>
        <w:pStyle w:val="ListParagraph"/>
        <w:numPr>
          <w:ilvl w:val="0"/>
          <w:numId w:val="4"/>
        </w:numPr>
      </w:pPr>
      <w:r>
        <w:t xml:space="preserve">Coding tasks with reference solutions: Include optimal/minimal implementations as baselines</w:t>
      </w:r>
    </w:p>
    <w:p>
      <w:pPr>
        <w:pStyle w:val="ListParagraph"/>
        <w:numPr>
          <w:ilvl w:val="0"/>
          <w:numId w:val="4"/>
        </w:numPr>
      </w:pPr>
      <w:r>
        <w:t xml:space="preserve">Varying complexity: Simple utilities, medium-complexity features, complex algorithmic challenges</w:t>
      </w:r>
    </w:p>
    <w:p>
      <w:pPr>
        <w:pStyle w:val="ListParagraph"/>
        <w:numPr>
          <w:ilvl w:val="0"/>
          <w:numId w:val="4"/>
        </w:numPr>
      </w:pPr>
      <w:r>
        <w:t xml:space="preserve">Over-engineering traps: Tasks where simple solutions exist but agents tend to over-complicate</w:t>
      </w:r>
    </w:p>
    <w:p>
      <w:r>
        <w:br w:type="page"/>
      </w:r>
    </w:p>
    <w:p>
      <w:pPr>
        <w:pStyle w:val="Heading1"/>
      </w:pPr>
      <w:r>
        <w:t xml:space="preserve">5. Customer Support Agents</w:t>
      </w:r>
    </w:p>
    <w:p>
      <w:pPr>
        <w:pStyle w:val="ExecutiveSummary"/>
      </w:pPr>
      <w:r>
        <w:rPr>
          <w:b/>
          <w:bCs/>
        </w:rPr>
        <w:t xml:space="preserve">Support agents can be evaluated by comparing responses to expert-written ground truth—no waiting for ticket outcomes. </w:t>
      </w:r>
      <w:r>
        <w:t xml:space="preserve">TraiGent builds evaluation datasets with labeled correct resolutions and calibrated LLM judges for tone quality, enabling optimization of resolution accuracy, customer experience, and escalation decisions simultaneously.</w:t>
      </w:r>
    </w:p>
    <w:p>
      <w:pPr>
        <w:pStyle w:val="Heading2"/>
      </w:pPr>
      <w:r>
        <w:t xml:space="preserve">What You Tune</w:t>
      </w:r>
    </w:p>
    <w:p>
      <w:pPr>
        <w:pStyle w:val="ListParagraph"/>
        <w:numPr>
          <w:ilvl w:val="0"/>
          <w:numId w:val="4"/>
        </w:numPr>
      </w:pPr>
      <w:r>
        <w:t xml:space="preserve">Tone calibration: formality level, empathy expressions, persona consistency</w:t>
      </w:r>
    </w:p>
    <w:p>
      <w:pPr>
        <w:pStyle w:val="ListParagraph"/>
        <w:numPr>
          <w:ilvl w:val="0"/>
          <w:numId w:val="4"/>
        </w:numPr>
      </w:pPr>
      <w:r>
        <w:t xml:space="preserve">Policy flexibility: when to grant exceptions, refund thresholds, escalation triggers</w:t>
      </w:r>
    </w:p>
    <w:p>
      <w:pPr>
        <w:pStyle w:val="ListParagraph"/>
        <w:numPr>
          <w:ilvl w:val="0"/>
          <w:numId w:val="4"/>
        </w:numPr>
      </w:pPr>
      <w:r>
        <w:t xml:space="preserve">Conversation strategy: clarification-first vs. solution-first, multi-turn handling</w:t>
      </w:r>
    </w:p>
    <w:p>
      <w:pPr>
        <w:pStyle w:val="ListParagraph"/>
        <w:numPr>
          <w:ilvl w:val="0"/>
          <w:numId w:val="4"/>
        </w:numPr>
      </w:pPr>
      <w:r>
        <w:t xml:space="preserve">Handoff thresholds: confidence levels, topic complexity, emotional escalation detection</w:t>
      </w:r>
    </w:p>
    <w:p>
      <w:pPr>
        <w:pStyle w:val="Heading2"/>
      </w:pPr>
      <w:r>
        <w:t xml:space="preserve">Objectives &amp; Evaluation</w:t>
      </w:r>
    </w:p>
    <w:p>
      <w:pPr>
        <w:pStyle w:val="Heading3"/>
      </w:pPr>
      <w:r>
        <w:t xml:space="preserve">Objective 1: Resolution Quality</w:t>
      </w:r>
    </w:p>
    <w:p>
      <w:pPr>
        <w:spacing w:before="120" w:after="60"/>
      </w:pPr>
      <w:r>
        <w:rPr>
          <w:b/>
          <w:bCs/>
          <w:sz w:val="22"/>
          <w:szCs w:val="22"/>
        </w:rPr>
        <w:t xml:space="preserve">Primary Metric: </w:t>
      </w:r>
      <w:r>
        <w:rPr>
          <w:sz w:val="22"/>
          <w:szCs w:val="22"/>
        </w:rPr>
        <w:t xml:space="preserve">Resolution Accuracy = % responses that correctly address the customer's issue (vs. ground truth)</w:t>
      </w:r>
    </w:p>
    <w:p>
      <w:pPr>
        <w:spacing w:before="120" w:after="60"/>
      </w:pPr>
      <w:r>
        <w:rPr>
          <w:b/>
          <w:bCs/>
          <w:sz w:val="22"/>
          <w:szCs w:val="22"/>
        </w:rPr>
        <w:t xml:space="preserve">Secondary Metrics: </w:t>
      </w:r>
      <w:r>
        <w:rPr>
          <w:sz w:val="22"/>
          <w:szCs w:val="22"/>
        </w:rPr>
        <w:t xml:space="preserve">Completeness score, policy compliance rate, factual accuracy</w:t>
      </w:r>
    </w:p>
    <w:p>
      <w:pPr>
        <w:spacing w:before="160" w:after="120"/>
        <w:ind w:left="360"/>
      </w:pPr>
      <w:r>
        <w:rPr>
          <w:b/>
          <w:bCs/>
          <w:i/>
          <w:iCs/>
          <w:color w:val="2c5282"/>
          <w:sz w:val="22"/>
          <w:szCs w:val="22"/>
        </w:rPr>
        <w:t xml:space="preserve">Why this matters: </w:t>
      </w:r>
      <w:r>
        <w:rPr>
          <w:i/>
          <w:iCs/>
          <w:color w:val="4a5568"/>
          <w:sz w:val="22"/>
          <w:szCs w:val="22"/>
        </w:rPr>
        <w:t xml:space="preserve">Waiting for ticket reopens conflates response quality with external factors. Scoring against expert-written ground truth enables immediate evaluation of every response.</w:t>
      </w:r>
    </w:p>
    <w:p>
      <w:pPr>
        <w:spacing w:before="160"/>
      </w:pPr>
      <w:r>
        <w:rPr>
          <w:b/>
          <w:bCs/>
          <w:sz w:val="22"/>
          <w:szCs w:val="22"/>
        </w:rPr>
        <w:t xml:space="preserve">Evaluation Technique:</w:t>
      </w:r>
    </w:p>
    <w:p>
      <w:pPr>
        <w:pStyle w:val="ListParagraph"/>
        <w:numPr>
          <w:ilvl w:val="0"/>
          <w:numId w:val="4"/>
        </w:numPr>
      </w:pPr>
      <w:r>
        <w:rPr>
          <w:b/>
          <w:bCs/>
        </w:rPr>
        <w:t xml:space="preserve">Ground-truth comparison: </w:t>
      </w:r>
      <w:r>
        <w:t xml:space="preserve">For evaluation examples with expert-written "gold" responses, score similarity and correctness of generated response vs. gold.</w:t>
      </w:r>
    </w:p>
    <w:p>
      <w:pPr>
        <w:pStyle w:val="ListParagraph"/>
        <w:numPr>
          <w:ilvl w:val="0"/>
          <w:numId w:val="4"/>
        </w:numPr>
      </w:pPr>
      <w:r>
        <w:rPr>
          <w:b/>
          <w:bCs/>
        </w:rPr>
        <w:t xml:space="preserve">LLM-as-judge (correctness): </w:t>
      </w:r>
      <w:r>
        <w:t xml:space="preserve">Given: customer query, agent response, internal policy docs, and issue category. "Does this response correctly resolve the issue? Is it factually accurate? Does it comply with policy?" Score 1-5 on each dimension.</w:t>
      </w:r>
    </w:p>
    <w:p>
      <w:pPr>
        <w:pStyle w:val="ListParagraph"/>
        <w:numPr>
          <w:ilvl w:val="0"/>
          <w:numId w:val="4"/>
        </w:numPr>
      </w:pPr>
      <w:r>
        <w:rPr>
          <w:b/>
          <w:bCs/>
        </w:rPr>
        <w:t xml:space="preserve">Deterministic policy checks: </w:t>
      </w:r>
      <w:r>
        <w:t xml:space="preserve">Rule-based validation for policy compliance (refund limits, required disclaimers, prohibited promises).</w:t>
      </w:r>
    </w:p>
    <w:p>
      <w:pPr>
        <w:spacing w:before="160"/>
      </w:pPr>
      <w:r>
        <w:rPr>
          <w:b/>
          <w:bCs/>
          <w:sz w:val="22"/>
          <w:szCs w:val="22"/>
        </w:rPr>
        <w:t xml:space="preserve">Evaluation Dataset Creation:</w:t>
      </w:r>
    </w:p>
    <w:p>
      <w:pPr>
        <w:pStyle w:val="ListParagraph"/>
        <w:numPr>
          <w:ilvl w:val="0"/>
          <w:numId w:val="4"/>
        </w:numPr>
      </w:pPr>
      <w:r>
        <w:rPr>
          <w:b/>
          <w:bCs/>
        </w:rPr>
        <w:t xml:space="preserve">Data source: </w:t>
      </w:r>
      <w:r>
        <w:t xml:space="preserve">Customer support ticket history and chat logs</w:t>
      </w:r>
    </w:p>
    <w:p>
      <w:pPr>
        <w:pStyle w:val="ListParagraph"/>
        <w:numPr>
          <w:ilvl w:val="0"/>
          <w:numId w:val="4"/>
        </w:numPr>
      </w:pPr>
      <w:r>
        <w:t xml:space="preserve">Collect 300+ customer queries stratified by: issue type, complexity, customer segment</w:t>
      </w:r>
    </w:p>
    <w:p>
      <w:pPr>
        <w:pStyle w:val="ListParagraph"/>
        <w:numPr>
          <w:ilvl w:val="0"/>
          <w:numId w:val="4"/>
        </w:numPr>
      </w:pPr>
      <w:r>
        <w:t xml:space="preserve">Have senior support agents write "gold standard" responses as ground truth</w:t>
      </w:r>
    </w:p>
    <w:p>
      <w:pPr>
        <w:pStyle w:val="ListParagraph"/>
        <w:numPr>
          <w:ilvl w:val="0"/>
          <w:numId w:val="4"/>
        </w:numPr>
      </w:pPr>
      <w:r>
        <w:t xml:space="preserve">Include edge cases: policy exceptions, multi-issue tickets, unusual account situations</w:t>
      </w:r>
    </w:p>
    <w:p>
      <w:pPr>
        <w:pStyle w:val="ListParagraph"/>
        <w:numPr>
          <w:ilvl w:val="0"/>
          <w:numId w:val="4"/>
        </w:numPr>
      </w:pPr>
      <w:r>
        <w:t xml:space="preserve">Label expected behavior for each: should resolve, should clarify, should escalate</w:t>
      </w:r>
    </w:p>
    <w:p>
      <w:pPr>
        <w:pStyle w:val="Heading3"/>
      </w:pPr>
      <w:r>
        <w:t xml:space="preserve">Objective 2: Tone &amp; Customer Experience</w:t>
      </w:r>
    </w:p>
    <w:p>
      <w:pPr>
        <w:spacing w:before="120" w:after="60"/>
      </w:pPr>
      <w:r>
        <w:rPr>
          <w:b/>
          <w:bCs/>
          <w:sz w:val="22"/>
          <w:szCs w:val="22"/>
        </w:rPr>
        <w:t xml:space="preserve">Primary Metric: </w:t>
      </w:r>
      <w:r>
        <w:rPr>
          <w:sz w:val="22"/>
          <w:szCs w:val="22"/>
        </w:rPr>
        <w:t xml:space="preserve">Tone Quality Score = Weighted average of empathy (1-5), clarity (1-5), professionalism (1-5)</w:t>
      </w:r>
    </w:p>
    <w:p>
      <w:pPr>
        <w:spacing w:before="120" w:after="60"/>
      </w:pPr>
      <w:r>
        <w:rPr>
          <w:b/>
          <w:bCs/>
          <w:sz w:val="22"/>
          <w:szCs w:val="22"/>
        </w:rPr>
        <w:t xml:space="preserve">Secondary Metrics: </w:t>
      </w:r>
      <w:r>
        <w:rPr>
          <w:sz w:val="22"/>
          <w:szCs w:val="22"/>
        </w:rPr>
        <w:t xml:space="preserve">Reading level appropriateness, response length optimization, personalization quality</w:t>
      </w:r>
    </w:p>
    <w:p>
      <w:pPr>
        <w:spacing w:before="160" w:after="120"/>
        <w:ind w:left="360"/>
      </w:pPr>
      <w:r>
        <w:rPr>
          <w:b/>
          <w:bCs/>
          <w:i/>
          <w:iCs/>
          <w:color w:val="2c5282"/>
          <w:sz w:val="22"/>
          <w:szCs w:val="22"/>
        </w:rPr>
        <w:t xml:space="preserve">Why this matters: </w:t>
      </w:r>
      <w:r>
        <w:rPr>
          <w:i/>
          <w:iCs/>
          <w:color w:val="4a5568"/>
          <w:sz w:val="22"/>
          <w:szCs w:val="22"/>
        </w:rPr>
        <w:t xml:space="preserve">A technically correct response delivered coldly damages customer relationships. Tone quality can be scored immediately via LLM-as-judge, calibrated against historical CSAT data where available.</w:t>
      </w:r>
    </w:p>
    <w:p>
      <w:pPr>
        <w:spacing w:before="160"/>
      </w:pPr>
      <w:r>
        <w:rPr>
          <w:b/>
          <w:bCs/>
          <w:sz w:val="22"/>
          <w:szCs w:val="22"/>
        </w:rPr>
        <w:t xml:space="preserve">Evaluation Technique:</w:t>
      </w:r>
    </w:p>
    <w:p>
      <w:pPr>
        <w:pStyle w:val="ListParagraph"/>
        <w:numPr>
          <w:ilvl w:val="0"/>
          <w:numId w:val="4"/>
        </w:numPr>
      </w:pPr>
      <w:r>
        <w:rPr>
          <w:b/>
          <w:bCs/>
        </w:rPr>
        <w:t xml:space="preserve">LLM-as-judge (tone): </w:t>
      </w:r>
      <w:r>
        <w:t xml:space="preserve">Given customer query (with emotional context) and agent response, score: Empathy (1-5), Clarity (1-5), Professionalism (1-5), Appropriate length (1-5). Use anchored rubrics.</w:t>
      </w:r>
    </w:p>
    <w:p>
      <w:pPr>
        <w:pStyle w:val="ListParagraph"/>
        <w:numPr>
          <w:ilvl w:val="0"/>
          <w:numId w:val="4"/>
        </w:numPr>
      </w:pPr>
      <w:r>
        <w:rPr>
          <w:b/>
          <w:bCs/>
        </w:rPr>
        <w:t xml:space="preserve">CSAT calibration: </w:t>
      </w:r>
      <w:r>
        <w:t xml:space="preserve">Where historical CSAT scores exist, regress LLM tone predictions against actual scores. Adjust rubric until correlation &gt; 0.7 to ensure LLM-as-judge ratings predict real user satisfaction.</w:t>
      </w:r>
    </w:p>
    <w:p>
      <w:pPr>
        <w:pStyle w:val="ListParagraph"/>
        <w:numPr>
          <w:ilvl w:val="0"/>
          <w:numId w:val="4"/>
        </w:numPr>
      </w:pPr>
      <w:r>
        <w:rPr>
          <w:b/>
          <w:bCs/>
        </w:rPr>
        <w:t xml:space="preserve">Comparative evaluation: </w:t>
      </w:r>
      <w:r>
        <w:t xml:space="preserve">For evaluation examples with expert responses, ask LLM to compare generated vs. expert on tone quality.</w:t>
      </w:r>
    </w:p>
    <w:p>
      <w:pPr>
        <w:spacing w:before="160"/>
      </w:pPr>
      <w:r>
        <w:rPr>
          <w:b/>
          <w:bCs/>
          <w:sz w:val="22"/>
          <w:szCs w:val="22"/>
        </w:rPr>
        <w:t xml:space="preserve">Evaluation Dataset Creation:</w:t>
      </w:r>
    </w:p>
    <w:p>
      <w:pPr>
        <w:pStyle w:val="ListParagraph"/>
        <w:numPr>
          <w:ilvl w:val="0"/>
          <w:numId w:val="4"/>
        </w:numPr>
      </w:pPr>
      <w:r>
        <w:t xml:space="preserve">Include customer emotional states: angry, confused, anxious, frustrated, neutral, appreciative</w:t>
      </w:r>
    </w:p>
    <w:p>
      <w:pPr>
        <w:pStyle w:val="ListParagraph"/>
        <w:numPr>
          <w:ilvl w:val="0"/>
          <w:numId w:val="4"/>
        </w:numPr>
      </w:pPr>
      <w:r>
        <w:t xml:space="preserve">Calibration set: Historical tickets with actual CSAT scores to calibrate LLM-judge rubrics</w:t>
      </w:r>
    </w:p>
    <w:p>
      <w:pPr>
        <w:pStyle w:val="ListParagraph"/>
        <w:numPr>
          <w:ilvl w:val="0"/>
          <w:numId w:val="4"/>
        </w:numPr>
      </w:pPr>
      <w:r>
        <w:t xml:space="preserve">Edge cases: unreasonable demands, abusive language, edge-of-policy requests</w:t>
      </w:r>
    </w:p>
    <w:p>
      <w:pPr>
        <w:pStyle w:val="Heading3"/>
      </w:pPr>
      <w:r>
        <w:t xml:space="preserve">Objective 3: Escalation Decision Quality</w:t>
      </w:r>
    </w:p>
    <w:p>
      <w:pPr>
        <w:spacing w:before="120" w:after="60"/>
      </w:pPr>
      <w:r>
        <w:rPr>
          <w:b/>
          <w:bCs/>
          <w:sz w:val="22"/>
          <w:szCs w:val="22"/>
        </w:rPr>
        <w:t xml:space="preserve">Primary Metric: </w:t>
      </w:r>
      <w:r>
        <w:rPr>
          <w:sz w:val="22"/>
          <w:szCs w:val="22"/>
        </w:rPr>
        <w:t xml:space="preserve">Escalation Accuracy = % of escalation decisions matching expert-labeled correct decisions</w:t>
      </w:r>
    </w:p>
    <w:p>
      <w:pPr>
        <w:spacing w:before="120" w:after="60"/>
      </w:pPr>
      <w:r>
        <w:rPr>
          <w:b/>
          <w:bCs/>
          <w:sz w:val="22"/>
          <w:szCs w:val="22"/>
        </w:rPr>
        <w:t xml:space="preserve">Secondary Metrics: </w:t>
      </w:r>
      <w:r>
        <w:rPr>
          <w:sz w:val="22"/>
          <w:szCs w:val="22"/>
        </w:rPr>
        <w:t xml:space="preserve">False escalation rate (escalated when shouldn't), missed escalation rate (didn't escalate when should)</w:t>
      </w:r>
    </w:p>
    <w:p>
      <w:pPr>
        <w:spacing w:before="120" w:after="120"/>
      </w:pPr>
      <w:r>
        <w:rPr>
          <w:sz w:val="22"/>
          <w:szCs w:val="22"/>
        </w:rPr>
        <w:t xml:space="preserve">Note: This guide focuses on binary escalation (escalate vs. handle). For multi-tier routing (L1 vs. L2 vs. specialist team), extend the classification to multiple classes with the same evaluation pattern.</w:t>
      </w:r>
    </w:p>
    <w:p>
      <w:pPr>
        <w:spacing w:before="160"/>
      </w:pPr>
      <w:r>
        <w:rPr>
          <w:b/>
          <w:bCs/>
          <w:sz w:val="22"/>
          <w:szCs w:val="22"/>
        </w:rPr>
        <w:t xml:space="preserve">Evaluation Technique:</w:t>
      </w:r>
    </w:p>
    <w:p>
      <w:pPr>
        <w:pStyle w:val="ListParagraph"/>
        <w:numPr>
          <w:ilvl w:val="0"/>
          <w:numId w:val="4"/>
        </w:numPr>
      </w:pPr>
      <w:r>
        <w:rPr>
          <w:b/>
          <w:bCs/>
        </w:rPr>
        <w:t xml:space="preserve">Classification metrics: </w:t>
      </w:r>
      <w:r>
        <w:t xml:space="preserve">For each example labeled "should escalate" or "should handle," check if agent's decision matches. Compute precision, recall, F1 for each class.</w:t>
      </w:r>
    </w:p>
    <w:p>
      <w:pPr>
        <w:pStyle w:val="ListParagraph"/>
        <w:numPr>
          <w:ilvl w:val="0"/>
          <w:numId w:val="4"/>
        </w:numPr>
      </w:pPr>
      <w:r>
        <w:rPr>
          <w:b/>
          <w:bCs/>
        </w:rPr>
        <w:t xml:space="preserve">LLM-as-judge: </w:t>
      </w:r>
      <w:r>
        <w:t xml:space="preserve">Given conversation context and agent's escalation decision: "Based on issue complexity and customer state, is this the appropriate routing?" Score appropriateness (1-5).</w:t>
      </w:r>
    </w:p>
    <w:p>
      <w:pPr>
        <w:spacing w:before="160"/>
      </w:pPr>
      <w:r>
        <w:rPr>
          <w:b/>
          <w:bCs/>
          <w:sz w:val="22"/>
          <w:szCs w:val="22"/>
        </w:rPr>
        <w:t xml:space="preserve">Evaluation Dataset Creation:</w:t>
      </w:r>
    </w:p>
    <w:p>
      <w:pPr>
        <w:pStyle w:val="ListParagraph"/>
        <w:numPr>
          <w:ilvl w:val="0"/>
          <w:numId w:val="4"/>
        </w:numPr>
      </w:pPr>
      <w:r>
        <w:t xml:space="preserve">Pull historical conversations where escalation decisions were made</w:t>
      </w:r>
    </w:p>
    <w:p>
      <w:pPr>
        <w:pStyle w:val="ListParagraph"/>
        <w:numPr>
          <w:ilvl w:val="0"/>
          <w:numId w:val="4"/>
        </w:numPr>
      </w:pPr>
      <w:r>
        <w:t xml:space="preserve">Have support managers label each: "correct to escalate," "correct to handle," "should have escalated," "escalated unnecessarily"</w:t>
      </w:r>
    </w:p>
    <w:p>
      <w:pPr>
        <w:pStyle w:val="ListParagraph"/>
        <w:numPr>
          <w:ilvl w:val="0"/>
          <w:numId w:val="4"/>
        </w:numPr>
      </w:pPr>
      <w:r>
        <w:t xml:space="preserve">Balance the dataset: roughly equal should-escalate and should-handle examples</w:t>
      </w:r>
    </w:p>
    <w:p>
      <w:pPr>
        <w:pStyle w:val="ListParagraph"/>
        <w:numPr>
          <w:ilvl w:val="0"/>
          <w:numId w:val="4"/>
        </w:numPr>
      </w:pPr>
      <w:r>
        <w:t xml:space="preserve">Include boundary cases: complex issues where reasonable experts might disagree</w:t>
      </w:r>
    </w:p>
    <w:p>
      <w:r>
        <w:br w:type="page"/>
      </w:r>
    </w:p>
    <w:p>
      <w:pPr>
        <w:pStyle w:val="Heading1"/>
      </w:pPr>
      <w:r>
        <w:t xml:space="preserve">Implementation Checklist</w:t>
      </w:r>
    </w:p>
    <w:p>
      <w:pPr>
        <w:spacing w:before="120" w:after="120"/>
      </w:pPr>
      <w:r>
        <w:rPr>
          <w:sz w:val="22"/>
          <w:szCs w:val="22"/>
        </w:rPr>
        <w:t xml:space="preserve">Follow this checklist to implement TraiGent optimization for your agent:</w:t>
      </w:r>
    </w:p>
    <w:p>
      <w:pPr>
        <w:pStyle w:val="Heading3"/>
      </w:pPr>
      <w:r>
        <w:t xml:space="preserve">1. Choose Your Agent Type</w:t>
      </w:r>
    </w:p>
    <w:p>
      <w:pPr>
        <w:pStyle w:val="ListParagraph"/>
        <w:numPr>
          <w:ilvl w:val="0"/>
          <w:numId w:val="4"/>
        </w:numPr>
      </w:pPr>
      <w:r>
        <w:t xml:space="preserve">Identify which section(s) of this guide apply to your use case</w:t>
      </w:r>
    </w:p>
    <w:p>
      <w:pPr>
        <w:pStyle w:val="ListParagraph"/>
        <w:numPr>
          <w:ilvl w:val="0"/>
          <w:numId w:val="4"/>
        </w:numPr>
      </w:pPr>
      <w:r>
        <w:t xml:space="preserve">Review the Quick Reference table for primary metrics</w:t>
      </w:r>
    </w:p>
    <w:p>
      <w:pPr>
        <w:pStyle w:val="Heading3"/>
      </w:pPr>
      <w:r>
        <w:t xml:space="preserve">2. Define Objectives</w:t>
      </w:r>
    </w:p>
    <w:p>
      <w:pPr>
        <w:pStyle w:val="ListParagraph"/>
        <w:numPr>
          <w:ilvl w:val="0"/>
          <w:numId w:val="4"/>
        </w:numPr>
      </w:pPr>
      <w:r>
        <w:t xml:space="preserve">Select 2-4 objectives from the relevant section</w:t>
      </w:r>
    </w:p>
    <w:p>
      <w:pPr>
        <w:pStyle w:val="ListParagraph"/>
        <w:numPr>
          <w:ilvl w:val="0"/>
          <w:numId w:val="4"/>
        </w:numPr>
      </w:pPr>
      <w:r>
        <w:t xml:space="preserve">Define primary and secondary metrics for each</w:t>
      </w:r>
    </w:p>
    <w:p>
      <w:pPr>
        <w:pStyle w:val="ListParagraph"/>
        <w:numPr>
          <w:ilvl w:val="0"/>
          <w:numId w:val="4"/>
        </w:numPr>
      </w:pPr>
      <w:r>
        <w:t xml:space="preserve">Decide relative weights if optimizing multiple objectives</w:t>
      </w:r>
    </w:p>
    <w:p>
      <w:pPr>
        <w:pStyle w:val="Heading3"/>
      </w:pPr>
      <w:r>
        <w:t xml:space="preserve">3. Build Evaluation Dataset</w:t>
      </w:r>
    </w:p>
    <w:p>
      <w:pPr>
        <w:pStyle w:val="ListParagraph"/>
        <w:numPr>
          <w:ilvl w:val="0"/>
          <w:numId w:val="4"/>
        </w:numPr>
      </w:pPr>
      <w:r>
        <w:t xml:space="preserve">Source representative examples from production logs</w:t>
      </w:r>
    </w:p>
    <w:p>
      <w:pPr>
        <w:pStyle w:val="ListParagraph"/>
        <w:numPr>
          <w:ilvl w:val="0"/>
          <w:numId w:val="4"/>
        </w:numPr>
      </w:pPr>
      <w:r>
        <w:t xml:space="preserve">Add SME-written gold answers for ground-truth comparison</w:t>
      </w:r>
    </w:p>
    <w:p>
      <w:pPr>
        <w:pStyle w:val="ListParagraph"/>
        <w:numPr>
          <w:ilvl w:val="0"/>
          <w:numId w:val="4"/>
        </w:numPr>
      </w:pPr>
      <w:r>
        <w:t xml:space="preserve">Include edge cases and failure modes from historical data</w:t>
      </w:r>
    </w:p>
    <w:p>
      <w:pPr>
        <w:pStyle w:val="ListParagraph"/>
        <w:numPr>
          <w:ilvl w:val="0"/>
          <w:numId w:val="4"/>
        </w:numPr>
      </w:pPr>
      <w:r>
        <w:t xml:space="preserve">Target 200+ examples for statistical significance</w:t>
      </w:r>
    </w:p>
    <w:p>
      <w:pPr>
        <w:pStyle w:val="Heading3"/>
      </w:pPr>
      <w:r>
        <w:t xml:space="preserve">4. Implement Scoring</w:t>
      </w:r>
    </w:p>
    <w:p>
      <w:pPr>
        <w:pStyle w:val="ListParagraph"/>
        <w:numPr>
          <w:ilvl w:val="0"/>
          <w:numId w:val="4"/>
        </w:numPr>
      </w:pPr>
      <w:r>
        <w:t xml:space="preserve">Set up deterministic checks (tests, validators, regex rules)</w:t>
      </w:r>
    </w:p>
    <w:p>
      <w:pPr>
        <w:pStyle w:val="ListParagraph"/>
        <w:numPr>
          <w:ilvl w:val="0"/>
          <w:numId w:val="4"/>
        </w:numPr>
      </w:pPr>
      <w:r>
        <w:t xml:space="preserve">Write LLM-as-judge rubrics with explicit anchors</w:t>
      </w:r>
    </w:p>
    <w:p>
      <w:pPr>
        <w:pStyle w:val="ListParagraph"/>
        <w:numPr>
          <w:ilvl w:val="0"/>
          <w:numId w:val="4"/>
        </w:numPr>
      </w:pPr>
      <w:r>
        <w:t xml:space="preserve">Calibrate LLM-as-judge against human ratings (target Cohen's κ &gt; 0.7)</w:t>
      </w:r>
    </w:p>
    <w:p>
      <w:pPr>
        <w:pStyle w:val="Heading3"/>
      </w:pPr>
      <w:r>
        <w:t xml:space="preserve">5. Map to TVL</w:t>
      </w:r>
    </w:p>
    <w:p>
      <w:pPr>
        <w:pStyle w:val="ListParagraph"/>
        <w:numPr>
          <w:ilvl w:val="0"/>
          <w:numId w:val="4"/>
        </w:numPr>
      </w:pPr>
      <w:r>
        <w:t xml:space="preserve">Define objectives in your TVL spec</w:t>
      </w:r>
    </w:p>
    <w:p>
      <w:pPr>
        <w:pStyle w:val="ListParagraph"/>
        <w:numPr>
          <w:ilvl w:val="0"/>
          <w:numId w:val="4"/>
        </w:numPr>
      </w:pPr>
      <w:r>
        <w:t xml:space="preserve">Map tunable parameters to tvars (configuration space)</w:t>
      </w:r>
    </w:p>
    <w:p>
      <w:pPr>
        <w:pStyle w:val="ListParagraph"/>
        <w:numPr>
          <w:ilvl w:val="0"/>
          <w:numId w:val="4"/>
        </w:numPr>
      </w:pPr>
      <w:r>
        <w:t xml:space="preserve">Connect scoring functions to TVL evaluation hooks</w:t>
      </w:r>
    </w:p>
    <w:p>
      <w:pPr>
        <w:pStyle w:val="Heading3"/>
      </w:pPr>
      <w:r>
        <w:t xml:space="preserve">6. Run Optimization</w:t>
      </w:r>
    </w:p>
    <w:p>
      <w:pPr>
        <w:pStyle w:val="ListParagraph"/>
        <w:numPr>
          <w:ilvl w:val="0"/>
          <w:numId w:val="4"/>
        </w:numPr>
      </w:pPr>
      <w:r>
        <w:t xml:space="preserve">Execute TraiGent optimization loop</w:t>
      </w:r>
    </w:p>
    <w:p>
      <w:pPr>
        <w:pStyle w:val="ListParagraph"/>
        <w:numPr>
          <w:ilvl w:val="0"/>
          <w:numId w:val="4"/>
        </w:numPr>
      </w:pPr>
      <w:r>
        <w:t xml:space="preserve">Review Pareto front for quality/cost/latency tradeoffs</w:t>
      </w:r>
    </w:p>
    <w:p>
      <w:pPr>
        <w:pStyle w:val="ListParagraph"/>
        <w:numPr>
          <w:ilvl w:val="0"/>
          <w:numId w:val="4"/>
        </w:numPr>
      </w:pPr>
      <w:r>
        <w:t xml:space="preserve">Select configuration for deployment based on your priorities</w:t>
      </w:r>
    </w:p>
    <w:p>
      <w:r>
        <w:br w:type="page"/>
      </w:r>
    </w:p>
    <w:p>
      <w:pPr>
        <w:pStyle w:val="Heading1"/>
      </w:pPr>
      <w:r>
        <w:t xml:space="preserve">Glossary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CCCCCC" w:sz="1"/>
              <w:left w:val="single" w:color="CCCCCC" w:sz="1"/>
              <w:bottom w:val="single" w:color="CCCCCC" w:sz="1"/>
              <w:right w:val="single" w:color="CCCCCC" w:sz="1"/>
            </w:tcBorders>
            <w:shd w:fill="1a365d" w:val="clear"/>
          </w:tcPr>
          <w:p>
            <w:r>
              <w:rPr>
                <w:b/>
                <w:bCs/>
                <w:color w:val="FFFFFF"/>
                <w:sz w:val="22"/>
                <w:szCs w:val="22"/>
              </w:rPr>
              <w:t xml:space="preserve">Term</w:t>
            </w:r>
          </w:p>
        </w:tc>
        <w:tc>
          <w:tcPr>
            <w:tcW w:type="dxa" w:w="6600"/>
            <w:tcBorders>
              <w:top w:val="single" w:color="CCCCCC" w:sz="1"/>
              <w:left w:val="single" w:color="CCCCCC" w:sz="1"/>
              <w:bottom w:val="single" w:color="CCCCCC" w:sz="1"/>
              <w:right w:val="single" w:color="CCCCCC" w:sz="1"/>
            </w:tcBorders>
            <w:shd w:fill="1a365d" w:val="clear"/>
          </w:tcPr>
          <w:p>
            <w:r>
              <w:rPr>
                <w:b/>
                <w:bCs/>
                <w:color w:val="FFFFFF"/>
                <w:sz w:val="22"/>
                <w:szCs w:val="22"/>
              </w:rPr>
              <w:t xml:space="preserve">Definition</w:t>
            </w:r>
          </w:p>
        </w:tc>
      </w:tr>
      <w:tr>
        <w:tc>
          <w:tcPr>
            <w:tcW w:type="dxa" w:w="2400"/>
            <w:tcBorders>
              <w:top w:val="single" w:color="CCCCCC" w:sz="1"/>
              <w:left w:val="single" w:color="CCCCCC" w:sz="1"/>
              <w:bottom w:val="single" w:color="CCCCCC" w:sz="1"/>
              <w:right w:val="single" w:color="CCCCCC" w:sz="1"/>
            </w:tcBorders>
          </w:tcPr>
          <w:p>
            <w:r>
              <w:rPr>
                <w:b/>
                <w:bCs/>
                <w:color w:val="000000"/>
                <w:sz w:val="20"/>
                <w:szCs w:val="20"/>
              </w:rPr>
              <w:t xml:space="preserve">Cohen's κ</w:t>
            </w:r>
          </w:p>
        </w:tc>
        <w:tc>
          <w:tcPr>
            <w:tcW w:type="dxa" w:w="6600"/>
            <w:tcBorders>
              <w:top w:val="single" w:color="CCCCCC" w:sz="1"/>
              <w:left w:val="single" w:color="CCCCCC" w:sz="1"/>
              <w:bottom w:val="single" w:color="CCCCCC" w:sz="1"/>
              <w:right w:val="single" w:color="CCCCCC" w:sz="1"/>
            </w:tcBorders>
          </w:tcPr>
          <w:p>
            <w:r>
              <w:rPr>
                <w:b w:val="false"/>
                <w:bCs w:val="false"/>
                <w:color w:val="000000"/>
                <w:sz w:val="20"/>
                <w:szCs w:val="20"/>
              </w:rPr>
              <w:t xml:space="preserve">Inter-rater reliability metric measuring agreement between two raters beyond chance. &gt;0.7 typically indicates good agreement.</w:t>
            </w:r>
          </w:p>
        </w:tc>
      </w:tr>
      <w:tr>
        <w:tc>
          <w:tcPr>
            <w:tcW w:type="dxa" w:w="2400"/>
            <w:tcBorders>
              <w:top w:val="single" w:color="CCCCCC" w:sz="1"/>
              <w:left w:val="single" w:color="CCCCCC" w:sz="1"/>
              <w:bottom w:val="single" w:color="CCCCCC" w:sz="1"/>
              <w:right w:val="single" w:color="CCCCCC" w:sz="1"/>
            </w:tcBorders>
          </w:tcPr>
          <w:p>
            <w:r>
              <w:rPr>
                <w:b/>
                <w:bCs/>
                <w:color w:val="000000"/>
                <w:sz w:val="20"/>
                <w:szCs w:val="20"/>
              </w:rPr>
              <w:t xml:space="preserve">Evaluation Dataset</w:t>
            </w:r>
          </w:p>
        </w:tc>
        <w:tc>
          <w:tcPr>
            <w:tcW w:type="dxa" w:w="6600"/>
            <w:tcBorders>
              <w:top w:val="single" w:color="CCCCCC" w:sz="1"/>
              <w:left w:val="single" w:color="CCCCCC" w:sz="1"/>
              <w:bottom w:val="single" w:color="CCCCCC" w:sz="1"/>
              <w:right w:val="single" w:color="CCCCCC" w:sz="1"/>
            </w:tcBorders>
          </w:tcPr>
          <w:p>
            <w:r>
              <w:rPr>
                <w:b w:val="false"/>
                <w:bCs w:val="false"/>
                <w:color w:val="000000"/>
                <w:sz w:val="20"/>
                <w:szCs w:val="20"/>
              </w:rPr>
              <w:t xml:space="preserve">A curated set of inputs + expected outputs (or labels) used to score agent configurations. Also called "eval set."</w:t>
            </w:r>
          </w:p>
        </w:tc>
      </w:tr>
      <w:tr>
        <w:tc>
          <w:tcPr>
            <w:tcW w:type="dxa" w:w="2400"/>
            <w:tcBorders>
              <w:top w:val="single" w:color="CCCCCC" w:sz="1"/>
              <w:left w:val="single" w:color="CCCCCC" w:sz="1"/>
              <w:bottom w:val="single" w:color="CCCCCC" w:sz="1"/>
              <w:right w:val="single" w:color="CCCCCC" w:sz="1"/>
            </w:tcBorders>
          </w:tcPr>
          <w:p>
            <w:r>
              <w:rPr>
                <w:b/>
                <w:bCs/>
                <w:color w:val="000000"/>
                <w:sz w:val="20"/>
                <w:szCs w:val="20"/>
              </w:rPr>
              <w:t xml:space="preserve">F1 Score</w:t>
            </w:r>
          </w:p>
        </w:tc>
        <w:tc>
          <w:tcPr>
            <w:tcW w:type="dxa" w:w="6600"/>
            <w:tcBorders>
              <w:top w:val="single" w:color="CCCCCC" w:sz="1"/>
              <w:left w:val="single" w:color="CCCCCC" w:sz="1"/>
              <w:bottom w:val="single" w:color="CCCCCC" w:sz="1"/>
              <w:right w:val="single" w:color="CCCCCC" w:sz="1"/>
            </w:tcBorders>
          </w:tcPr>
          <w:p>
            <w:r>
              <w:rPr>
                <w:b w:val="false"/>
                <w:bCs w:val="false"/>
                <w:color w:val="000000"/>
                <w:sz w:val="20"/>
                <w:szCs w:val="20"/>
              </w:rPr>
              <w:t xml:space="preserve">Harmonic mean of precision and recall, balancing both metrics. Ranges 0-1; higher is better.</w:t>
            </w:r>
          </w:p>
        </w:tc>
      </w:tr>
      <w:tr>
        <w:tc>
          <w:tcPr>
            <w:tcW w:type="dxa" w:w="2400"/>
            <w:tcBorders>
              <w:top w:val="single" w:color="CCCCCC" w:sz="1"/>
              <w:left w:val="single" w:color="CCCCCC" w:sz="1"/>
              <w:bottom w:val="single" w:color="CCCCCC" w:sz="1"/>
              <w:right w:val="single" w:color="CCCCCC" w:sz="1"/>
            </w:tcBorders>
          </w:tcPr>
          <w:p>
            <w:r>
              <w:rPr>
                <w:b/>
                <w:bCs/>
                <w:color w:val="000000"/>
                <w:sz w:val="20"/>
                <w:szCs w:val="20"/>
              </w:rPr>
              <w:t xml:space="preserve">LLM-as-judge</w:t>
            </w:r>
          </w:p>
        </w:tc>
        <w:tc>
          <w:tcPr>
            <w:tcW w:type="dxa" w:w="6600"/>
            <w:tcBorders>
              <w:top w:val="single" w:color="CCCCCC" w:sz="1"/>
              <w:left w:val="single" w:color="CCCCCC" w:sz="1"/>
              <w:bottom w:val="single" w:color="CCCCCC" w:sz="1"/>
              <w:right w:val="single" w:color="CCCCCC" w:sz="1"/>
            </w:tcBorders>
          </w:tcPr>
          <w:p>
            <w:r>
              <w:rPr>
                <w:b w:val="false"/>
                <w:bCs w:val="false"/>
                <w:color w:val="000000"/>
                <w:sz w:val="20"/>
                <w:szCs w:val="20"/>
              </w:rPr>
              <w:t xml:space="preserve">Using a language model to score outputs against a rubric, enabling automated evaluation of subjective qualities.</w:t>
            </w:r>
          </w:p>
        </w:tc>
      </w:tr>
      <w:tr>
        <w:tc>
          <w:tcPr>
            <w:tcW w:type="dxa" w:w="2400"/>
            <w:tcBorders>
              <w:top w:val="single" w:color="CCCCCC" w:sz="1"/>
              <w:left w:val="single" w:color="CCCCCC" w:sz="1"/>
              <w:bottom w:val="single" w:color="CCCCCC" w:sz="1"/>
              <w:right w:val="single" w:color="CCCCCC" w:sz="1"/>
            </w:tcBorders>
          </w:tcPr>
          <w:p>
            <w:r>
              <w:rPr>
                <w:b/>
                <w:bCs/>
                <w:color w:val="000000"/>
                <w:sz w:val="20"/>
                <w:szCs w:val="20"/>
              </w:rPr>
              <w:t xml:space="preserve">MRR</w:t>
            </w:r>
          </w:p>
        </w:tc>
        <w:tc>
          <w:tcPr>
            <w:tcW w:type="dxa" w:w="6600"/>
            <w:tcBorders>
              <w:top w:val="single" w:color="CCCCCC" w:sz="1"/>
              <w:left w:val="single" w:color="CCCCCC" w:sz="1"/>
              <w:bottom w:val="single" w:color="CCCCCC" w:sz="1"/>
              <w:right w:val="single" w:color="CCCCCC" w:sz="1"/>
            </w:tcBorders>
          </w:tcPr>
          <w:p>
            <w:r>
              <w:rPr>
                <w:b w:val="false"/>
                <w:bCs w:val="false"/>
                <w:color w:val="000000"/>
                <w:sz w:val="20"/>
                <w:szCs w:val="20"/>
              </w:rPr>
              <w:t xml:space="preserve">Mean Reciprocal Rank. Average of 1/rank of first relevant result across queries. Measures ranking quality.</w:t>
            </w:r>
          </w:p>
        </w:tc>
      </w:tr>
      <w:tr>
        <w:tc>
          <w:tcPr>
            <w:tcW w:type="dxa" w:w="2400"/>
            <w:tcBorders>
              <w:top w:val="single" w:color="CCCCCC" w:sz="1"/>
              <w:left w:val="single" w:color="CCCCCC" w:sz="1"/>
              <w:bottom w:val="single" w:color="CCCCCC" w:sz="1"/>
              <w:right w:val="single" w:color="CCCCCC" w:sz="1"/>
            </w:tcBorders>
          </w:tcPr>
          <w:p>
            <w:r>
              <w:rPr>
                <w:b/>
                <w:bCs/>
                <w:color w:val="000000"/>
                <w:sz w:val="20"/>
                <w:szCs w:val="20"/>
              </w:rPr>
              <w:t xml:space="preserve">NDCG@k</w:t>
            </w:r>
          </w:p>
        </w:tc>
        <w:tc>
          <w:tcPr>
            <w:tcW w:type="dxa" w:w="6600"/>
            <w:tcBorders>
              <w:top w:val="single" w:color="CCCCCC" w:sz="1"/>
              <w:left w:val="single" w:color="CCCCCC" w:sz="1"/>
              <w:bottom w:val="single" w:color="CCCCCC" w:sz="1"/>
              <w:right w:val="single" w:color="CCCCCC" w:sz="1"/>
            </w:tcBorders>
          </w:tcPr>
          <w:p>
            <w:r>
              <w:rPr>
                <w:b w:val="false"/>
                <w:bCs w:val="false"/>
                <w:color w:val="000000"/>
                <w:sz w:val="20"/>
                <w:szCs w:val="20"/>
              </w:rPr>
              <w:t xml:space="preserve">Normalized Discounted Cumulative Gain at k. Measures ranking quality accounting for position and graded relevance.</w:t>
            </w:r>
          </w:p>
        </w:tc>
      </w:tr>
      <w:tr>
        <w:tc>
          <w:tcPr>
            <w:tcW w:type="dxa" w:w="2400"/>
            <w:tcBorders>
              <w:top w:val="single" w:color="CCCCCC" w:sz="1"/>
              <w:left w:val="single" w:color="CCCCCC" w:sz="1"/>
              <w:bottom w:val="single" w:color="CCCCCC" w:sz="1"/>
              <w:right w:val="single" w:color="CCCCCC" w:sz="1"/>
            </w:tcBorders>
          </w:tcPr>
          <w:p>
            <w:r>
              <w:rPr>
                <w:b/>
                <w:bCs/>
                <w:color w:val="000000"/>
                <w:sz w:val="20"/>
                <w:szCs w:val="20"/>
              </w:rPr>
              <w:t xml:space="preserve">Pareto Front</w:t>
            </w:r>
          </w:p>
        </w:tc>
        <w:tc>
          <w:tcPr>
            <w:tcW w:type="dxa" w:w="6600"/>
            <w:tcBorders>
              <w:top w:val="single" w:color="CCCCCC" w:sz="1"/>
              <w:left w:val="single" w:color="CCCCCC" w:sz="1"/>
              <w:bottom w:val="single" w:color="CCCCCC" w:sz="1"/>
              <w:right w:val="single" w:color="CCCCCC" w:sz="1"/>
            </w:tcBorders>
          </w:tcPr>
          <w:p>
            <w:r>
              <w:rPr>
                <w:b w:val="false"/>
                <w:bCs w:val="false"/>
                <w:color w:val="000000"/>
                <w:sz w:val="20"/>
                <w:szCs w:val="20"/>
              </w:rPr>
              <w:t xml:space="preserve">The set of configurations where no objective can be improved without worsening another. Represents optimal tradeoffs.</w:t>
            </w:r>
          </w:p>
        </w:tc>
      </w:tr>
      <w:tr>
        <w:tc>
          <w:tcPr>
            <w:tcW w:type="dxa" w:w="2400"/>
            <w:tcBorders>
              <w:top w:val="single" w:color="CCCCCC" w:sz="1"/>
              <w:left w:val="single" w:color="CCCCCC" w:sz="1"/>
              <w:bottom w:val="single" w:color="CCCCCC" w:sz="1"/>
              <w:right w:val="single" w:color="CCCCCC" w:sz="1"/>
            </w:tcBorders>
          </w:tcPr>
          <w:p>
            <w:r>
              <w:rPr>
                <w:b/>
                <w:bCs/>
                <w:color w:val="000000"/>
                <w:sz w:val="20"/>
                <w:szCs w:val="20"/>
              </w:rPr>
              <w:t xml:space="preserve">TVL</w:t>
            </w:r>
          </w:p>
        </w:tc>
        <w:tc>
          <w:tcPr>
            <w:tcW w:type="dxa" w:w="6600"/>
            <w:tcBorders>
              <w:top w:val="single" w:color="CCCCCC" w:sz="1"/>
              <w:left w:val="single" w:color="CCCCCC" w:sz="1"/>
              <w:bottom w:val="single" w:color="CCCCCC" w:sz="1"/>
              <w:right w:val="single" w:color="CCCCCC" w:sz="1"/>
            </w:tcBorders>
          </w:tcPr>
          <w:p>
            <w:r>
              <w:rPr>
                <w:b w:val="false"/>
                <w:bCs w:val="false"/>
                <w:color w:val="000000"/>
                <w:sz w:val="20"/>
                <w:szCs w:val="20"/>
              </w:rPr>
              <w:t xml:space="preserve">TraiGent's specification language for declaratively defining objectives, metrics, and tunable variables.</w:t>
            </w:r>
          </w:p>
        </w:tc>
      </w:tr>
      <w:tr>
        <w:tc>
          <w:tcPr>
            <w:tcW w:type="dxa" w:w="2400"/>
            <w:tcBorders>
              <w:top w:val="single" w:color="CCCCCC" w:sz="1"/>
              <w:left w:val="single" w:color="CCCCCC" w:sz="1"/>
              <w:bottom w:val="single" w:color="CCCCCC" w:sz="1"/>
              <w:right w:val="single" w:color="CCCCCC" w:sz="1"/>
            </w:tcBorders>
          </w:tcPr>
          <w:p>
            <w:r>
              <w:rPr>
                <w:b/>
                <w:bCs/>
                <w:color w:val="000000"/>
                <w:sz w:val="20"/>
                <w:szCs w:val="20"/>
              </w:rPr>
              <w:t xml:space="preserve">tvars</w:t>
            </w:r>
          </w:p>
        </w:tc>
        <w:tc>
          <w:tcPr>
            <w:tcW w:type="dxa" w:w="6600"/>
            <w:tcBorders>
              <w:top w:val="single" w:color="CCCCCC" w:sz="1"/>
              <w:left w:val="single" w:color="CCCCCC" w:sz="1"/>
              <w:bottom w:val="single" w:color="CCCCCC" w:sz="1"/>
              <w:right w:val="single" w:color="CCCCCC" w:sz="1"/>
            </w:tcBorders>
          </w:tcPr>
          <w:p>
            <w:r>
              <w:rPr>
                <w:b w:val="false"/>
                <w:bCs w:val="false"/>
                <w:color w:val="000000"/>
                <w:sz w:val="20"/>
                <w:szCs w:val="20"/>
              </w:rPr>
              <w:t xml:space="preserve">Tunable variables in TVL. The parameters TraiGent explores during optimization (prompts, thresholds, model settings).</w:t>
            </w:r>
          </w:p>
        </w:tc>
      </w:tr>
    </w:tbl>
    <w:p>
      <w:pPr>
        <w:spacing w:before="400"/>
      </w:pPr>
    </w:p>
    <w:p>
      <w:pPr>
        <w:pStyle w:val="Heading1"/>
      </w:pPr>
      <w:r>
        <w:t xml:space="preserve">Getting Started with TraiGent</w:t>
      </w:r>
    </w:p>
    <w:p>
      <w:pPr>
        <w:spacing w:before="120" w:after="120"/>
      </w:pPr>
      <w:r>
        <w:rPr>
          <w:sz w:val="22"/>
          <w:szCs w:val="22"/>
        </w:rPr>
        <w:t xml:space="preserve">Once you've defined your evaluation dataset and metrics using this guide, TraiGent's SDK and UI help you find the best parameters for each agent—often with zero code changes to your existing logic.</w:t>
      </w:r>
    </w:p>
    <w:p>
      <w:pPr>
        <w:spacing w:before="200"/>
      </w:pPr>
      <w:r>
        <w:rPr>
          <w:b/>
          <w:bCs/>
          <w:sz w:val="22"/>
          <w:szCs w:val="22"/>
        </w:rPr>
        <w:t xml:space="preserve">Next steps:</w:t>
      </w:r>
    </w:p>
    <w:p>
      <w:pPr>
        <w:pStyle w:val="ListParagraph"/>
        <w:numPr>
          <w:ilvl w:val="0"/>
          <w:numId w:val="4"/>
        </w:numPr>
      </w:pPr>
      <w:r>
        <w:t xml:space="preserve">Review the TVL specification reference for detailed syntax</w:t>
      </w:r>
    </w:p>
    <w:p>
      <w:pPr>
        <w:pStyle w:val="ListParagraph"/>
        <w:numPr>
          <w:ilvl w:val="0"/>
          <w:numId w:val="4"/>
        </w:numPr>
      </w:pPr>
      <w:r>
        <w:t xml:space="preserve">Explore example configurations in the TraiGent SDK</w:t>
      </w:r>
    </w:p>
    <w:p>
      <w:pPr>
        <w:pStyle w:val="ListParagraph"/>
        <w:numPr>
          <w:ilvl w:val="0"/>
          <w:numId w:val="4"/>
        </w:numPr>
      </w:pPr>
      <w:r>
        <w:t xml:space="preserve">Contact us for a technical deep-dive with your team</w:t>
      </w:r>
    </w:p>
    <w:p>
      <w:pPr>
        <w:spacing w:before="300"/>
      </w:pPr>
      <w:r>
        <w:rPr>
          <w:sz w:val="22"/>
          <w:szCs w:val="22"/>
        </w:rPr>
        <w:t xml:space="preserve">Contact: </w:t>
      </w:r>
      <w:r>
        <w:rPr>
          <w:b/>
          <w:bCs/>
          <w:sz w:val="22"/>
          <w:szCs w:val="22"/>
        </w:rPr>
        <w:t xml:space="preserve">hello@traigent.com</w:t>
      </w:r>
    </w:p>
    <w:p>
      <w:pPr>
        <w:spacing w:before="100"/>
      </w:pPr>
      <w:r>
        <w:rPr>
          <w:sz w:val="22"/>
          <w:szCs w:val="22"/>
        </w:rPr>
        <w:t xml:space="preserve">Documentation: </w:t>
      </w:r>
      <w:r>
        <w:rPr>
          <w:b/>
          <w:bCs/>
          <w:sz w:val="22"/>
          <w:szCs w:val="22"/>
        </w:rPr>
        <w:t xml:space="preserve">docs.traigent.com</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8096"/>
        <w:sz w:val="18"/>
        <w:szCs w:val="18"/>
      </w:rPr>
      <w:t xml:space="preserve">Page </w:t>
    </w:r>
    <w:r>
      <w:rPr>
        <w:color w:val="718096"/>
        <w:sz w:val="18"/>
        <w:szCs w:val="18"/>
      </w:rPr>
      <w:fldChar w:fldCharType="begin"/>
      <w:instrText xml:space="preserve">PAGE</w:instrText>
      <w:fldChar w:fldCharType="separate"/>
      <w:fldChar w:fldCharType="end"/>
    </w:r>
    <w:r>
      <w:rPr>
        <w:color w:val="718096"/>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18096"/>
        <w:sz w:val="18"/>
        <w:szCs w:val="18"/>
      </w:rPr>
      <w:t xml:space="preserve">Traigent | AI Agent Optimization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52"/>
      <w:szCs w:val="52"/>
    </w:rPr>
  </w:style>
  <w:style w:type="paragraph" w:styleId="Heading1">
    <w:name w:val="Heading 1"/>
    <w:basedOn w:val="Normal"/>
    <w:next w:val="Normal"/>
    <w:qFormat/>
    <w:pPr>
      <w:spacing w:before="36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5282"/>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2d3748"/>
      <w:sz w:val="24"/>
      <w:szCs w:val="24"/>
    </w:rPr>
  </w:style>
  <w:style w:type="paragraph" w:styleId="ExecutiveSummary">
    <w:name w:val="Executive Summary"/>
    <w:basedOn w:val="Normal"/>
    <w:pPr>
      <w:spacing w:before="120" w:after="200"/>
      <w:ind w:left="360" w:right="360"/>
    </w:pPr>
    <w:rPr>
      <w:rFonts w:ascii="Arial" w:cs="Arial" w:eastAsia="Arial" w:hAnsi="Arial"/>
      <w:i/>
      <w:i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2025-12-11T15:52:39.519Z</dcterms:created>
  <dcterms:modified xsi:type="dcterms:W3CDTF">2025-12-11T15:52:39.520Z</dcterms:modified>
</cp:coreProperties>
</file>

<file path=docProps/custom.xml><?xml version="1.0" encoding="utf-8"?>
<Properties xmlns="http://schemas.openxmlformats.org/officeDocument/2006/custom-properties" xmlns:vt="http://schemas.openxmlformats.org/officeDocument/2006/docPropsVTypes"/>
</file>