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Ira — Digital Blueprints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Threat Model v1.0</w:t>
      </w:r>
    </w:p>
    <w:p>
      <w:pPr>
        <w:spacing w:after="2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CrossroadCode  |  Ira-Digital-Blueprints  |  May 20, 2026  |  CONFIDENTIAL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System Overview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Ira is an agentic pipeline that maps an organization's data into a digital blueprint and uses that blueprint to train multiple open source language models on organization-specific knowledge, culture, and standards. Ira operates in a hybrid deployment model — processing occurs on-premise for data sovereignty with optional cloud components for model training scale.</w:t>
      </w:r>
    </w:p>
    <w:p>
      <w:r>
        <w:t xml:space="preserve"/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Primary value proposition: organizations eliminate token overhead from generic LLM responses and replace them with models that understand their specific context, terminology, and workflows. Full data sovereignty — no organizational data leaves the on-premise boundary without explicit authorization.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Pipeline Stages</w:t>
      </w:r>
    </w:p>
    <w:p>
      <w:pPr>
        <w:spacing w:after="10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Document Ingestion — organizational data ingested, parsed, and validated</w:t>
      </w:r>
    </w:p>
    <w:p>
      <w:pPr>
        <w:spacing w:after="10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Blueprint Construction — agentic mapping of data structures, workflows, and knowledge</w:t>
      </w:r>
    </w:p>
    <w:p>
      <w:pPr>
        <w:spacing w:after="10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Model Selection — open source model selection based on org requirements</w:t>
      </w:r>
    </w:p>
    <w:p>
      <w:pPr>
        <w:spacing w:after="10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Training Pipeline — fine-tuning on blueprint-derived datasets</w:t>
      </w:r>
    </w:p>
    <w:p>
      <w:pPr>
        <w:spacing w:after="10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Evaluation — model output validation against org standards</w:t>
      </w:r>
    </w:p>
    <w:p>
      <w:pPr>
        <w:spacing w:after="10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Deployment — trained models deployed on-premise or hybrid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Target Organizations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Any organization seeking to reduce token overhead and eliminate generic LLM responses — including but not limited to churches, nonprofits, schools, law firms, medical practices, and small-to-medium businesses. FERPA, HIPAA, and attorney-client privilege considerations apply to specific verticals.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The Lethal Trifecta — Risk Declaration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9C0006"/>
          <w:sz w:val="22"/>
          <w:szCs w:val="22"/>
        </w:rPr>
        <w:t xml:space="preserve">Ira operates at the intersection of three conditions identified by OWASP as the highest-risk combination in agentic AI systems: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Ira Exposure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Access to sensitive organizational data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Blueprint contains complete organizational data map — workflows, terminology, personnel structures, and operational knowledge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Exposure to untrusted content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ingestion pipeline processes third-party and user-submitted content that may contain malicious instructions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Ability to communicate externally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Hybrid deployment model includes cloud training pipelines and external model APIs with potential for data egress</w:t>
            </w:r>
          </w:p>
        </w:tc>
      </w:tr>
    </w:tbl>
    <w:p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color w:val="9C0006"/>
          <w:sz w:val="22"/>
          <w:szCs w:val="22"/>
        </w:rPr>
        <w:t xml:space="preserve">This combination has produced CVSS 9.3–9.4 vulnerabilities in production agentic deployments (2025–2026). All three conditions must be actively managed throughout Ira's development and deployment lifecycle.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Threat Model Matrix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10 identified threats across 5 pipeline layers. Severity rated Critical/High/Medium based on likelihood × impact.</w:t>
      </w:r>
    </w:p>
    <w:p>
      <w:r>
        <w:t xml:space="preserve"/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440"/>
        <w:gridCol w:w="2160"/>
        <w:gridCol w:w="1000"/>
        <w:gridCol w:w="2160"/>
        <w:gridCol w:w="9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ASI Ref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IRA-T01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Ingestion Poisoning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Layer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Malicious or manipulated documents injected into Ira's ingestion pipeline corrupt the digital blueprint and bias all downstream model training.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Critical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Hash-verify all ingested documents via codebank.py. RealAgentID sign ingestion agent sessions. Quarantine flagged documents before processing.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ASI04, ASI06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IRA-T02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 Injection via Org Data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Orchestration Layer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Embedded instructions in ingested organizational documents hijack agent goal, causing Ira to exfiltrate data, modify blueprints, or take unauthorized actions.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Critical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validator.py prompt validation layer. Sanitize all document content before it enters agent context. Enforce input/output schemas per agent role.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ASI01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IRA-T03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Blueprint Exfiltration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Layer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digital blueprint contains a complete map of organizational data structures, workflows, and knowledge. Unauthorized access or exfiltration exposes sensitive org intelligence.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Critical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Encrypt blueprints at rest and in transit. RealAgentID controls blueprint access. trail.py logs every blueprint read/write. Outbound data classification via trail.py hooks.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ASI07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IRA-T04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Training Data Poisoning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 Layer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Compromised training data causes fine-tuned models to produce biased, incorrect, or malicious outputs that appear legitimate to the organization.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Critical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codebank.py signs all training datasets before use. Hash-verify datasets at training start. Maintain clean/dirty dataset separation with RealAgentID-gated access.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ASI04, ASI06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IRA-T05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Identity Spoofing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Mesh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compromised or rogue agent impersonates a trusted Ira pipeline agent to intercept data, inject outputs, or gain elevated privileges.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RealAgentID mandatory for all Ira agents. TTL-based session expiry. Replay attack blocking. No agent operates without a valid signed identity.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ASI03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IRA-T06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Supply Chain Compromise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malicious Python package introduced during development or deployment executes arbitrary code within Ira's environment, compromising the pipeline.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guardian.py enforces signed package registry and pip hook. All dependencies hash-verified before install. Redis mesh alerts on any blocked attempt.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ASI06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IRA-T07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Cascading Pipeline Failure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Orchestration Layer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fault in one Ira agent (ingestion, blueprint builder, trainer, evaluator) propagates across the pipeline causing silent data corruption or system-wide failure.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trail.py hash-chained logging enables propagation tracing. Implement circuit breaker logic — agents failing above threshold are quarantined. Stage-gate validation between pipeline phases.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ASI08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IRA-T08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Unauthorized Blueprint Access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Layer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 internal or external actor gains unauthorized read access to organizational blueprints, exposing sensitive data mappings without detection.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RealAgentID-gated blueprint access. Role-based permissions per agent identity. trail.py logs all access events. Anomaly detection on access patterns.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ASI03, ASI10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IRA-T09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Hybrid Cloud Data Leakage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transiting between on-premise and cloud components of Ira's hybrid deployment is intercepted or leaked through misconfigured endpoints.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Enforce TLS 1.3 on all hybrid transit. RealAgentID signs all cross-boundary agent communications. Audit all cloud egress via trail.py.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ASI07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IRA-T10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Resource Exhaustion / Token Abuse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 agent or external actor drives excessive API calls, token consumption, or compute usage, causing denial of service or runaway costs.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quota.py Redis-based per-agent rate limiting. Hard caps on token consumption per session. Automatic quarantine on quota breach.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ASI05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Trust Stack Integration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Ira's security posture is built on the TrailStax + RealAgentID trust stack: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Ira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Threats Addressed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RealAgentID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Cryptographic identity for all Ira agents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IRA-T05, IRA-T08 — agent spoofing and unauthorized access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trail.py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Hash-chained audit log for all pipeline events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IRA-T03, IRA-T07, IRA-T09 — exfiltration forensics, cascade tracing, hybrid audit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codebank.py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Signed registry for all datasets and model commits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IRA-T01, IRA-T04 — ingestion poisoning, training data integrity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guardian.py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Pre-install package verification and pip hook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IRA-T06 — supply chain compromise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validator.py (planned)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 validation and intent verification 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IRA-T02 — prompt injection via org data (HIGHEST PRIORITY)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quota.py (planned)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Redis-based per-agent resource quotas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IRA-T10 — resource exhaustion and token abuse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Compliance Alignment</w:t>
      </w:r>
    </w:p>
    <w:p>
      <w:pPr>
        <w:spacing w:after="10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NIST SP 800-53 Rev 5 — SI-10 (Input Validation), AU-2 (Audit Events), SC-8 (Transmission Confidentiality)</w:t>
      </w:r>
    </w:p>
    <w:p>
      <w:pPr>
        <w:spacing w:after="10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NIST AI RMF — GOVERN 1.1, MAP 1.5, MEASURE 2.5 (AI risk measurement)</w:t>
      </w:r>
    </w:p>
    <w:p>
      <w:pPr>
        <w:spacing w:after="10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OWASP Top 10 for Agentic Applications — ASI01, ASI03, ASI04, ASI05, ASI06, ASI07, ASI08</w:t>
      </w:r>
    </w:p>
    <w:p>
      <w:pPr>
        <w:spacing w:after="10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NIST SP 800-161 — Supply chain risk management via guardian.py</w:t>
      </w:r>
    </w:p>
    <w:p>
      <w:pPr>
        <w:spacing w:after="10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FERPA — RealAgentID as identity backbone for student data access control (EdTech vertical)</w:t>
      </w:r>
    </w:p>
    <w:p>
      <w:pPr>
        <w:spacing w:after="10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HIPAA — Audit trail via trail.py for medical practice vertical (future)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Immediate Action Items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9C0006"/>
          <w:sz w:val="22"/>
          <w:szCs w:val="22"/>
        </w:rPr>
        <w:t xml:space="preserve">Before Ira processes any production organizational data:</w:t>
      </w:r>
    </w:p>
    <w:p>
      <w:r>
        <w:t xml:space="preserve"/>
      </w:r>
    </w:p>
    <w:p>
      <w:pPr>
        <w:spacing w:after="10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Build validator.py — prompt injection is the highest severity unmitigated threat (IRA-T02)</w:t>
      </w:r>
    </w:p>
    <w:p>
      <w:pPr>
        <w:spacing w:after="10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Implement document sanitization in the ingestion pipeline before content enters agent context</w:t>
      </w:r>
    </w:p>
    <w:p>
      <w:pPr>
        <w:spacing w:after="10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Encrypt blueprint storage at rest — AES-256 minimum</w:t>
      </w:r>
    </w:p>
    <w:p>
      <w:pPr>
        <w:spacing w:after="10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Enforce TLS 1.3 on all hybrid cloud transit</w:t>
      </w:r>
    </w:p>
    <w:p>
      <w:pPr>
        <w:spacing w:after="10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RealAgentID integration mandatory for all active Ira agents</w:t>
      </w:r>
    </w:p>
    <w:p>
      <w:pPr>
        <w:spacing w:after="10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Build quota.py Redis rate limiting before any cloud training runs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Ira-Digital-Blueprints  |  CrossroadCode  |  github.com/Ira-Digital-Blueprints/Ira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TrailStax trust stack: github.com/TrailStax/StaxVault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9C0006"/>
          <w:sz w:val="18"/>
          <w:szCs w:val="18"/>
        </w:rPr>
        <w:t xml:space="preserve">Threat Model v1.0 — Review required before production deployment</w:t>
      </w:r>
    </w:p>
    <w:sectPr>
      <w:pgSz w:w="15840" w:h="12240" w:orient="portrait"/>
      <w:pgMar w:top="1440" w:right="900" w:bottom="14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2026-05-20T11:45:48.715Z</dcterms:created>
  <dcterms:modified xsi:type="dcterms:W3CDTF">2026-05-20T11:45:48.716Z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