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BC1B" w14:textId="436F6326" w:rsidR="00444043" w:rsidRPr="00444043" w:rsidRDefault="00444043" w:rsidP="00444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AF3E63" w14:textId="222D7C08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Note to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Kevin</w:t>
      </w:r>
    </w:p>
    <w:p w14:paraId="20A667A0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Sleepgenic is</w:t>
      </w:r>
    </w:p>
    <w:p w14:paraId="2AE22664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Cash-pay async sleep telehealth platform. Delaware LLC already formed. The model is identical in architecture to Medvi — the company that did $401 million in Year 1 revenue with two employees. Brand and patient acquisition on top, licensed clinical infrastructure underneath. We are a technology platform. We do not practice medicine.</w:t>
      </w:r>
    </w:p>
    <w:p w14:paraId="40E785D2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Patients complete a 10-question intake, pay $149/month, and receive a licensed provider review within 24 hours — resulting in a CBT-I protocol, a prescription where clinically indicated, or both. No waitlist. No insurance. No specialist referral. The traditional pathway to a sleep prescription costs $1,000–4,000 and takes 9–18 months. Ours takes 24 hours.</w:t>
      </w:r>
    </w:p>
    <w:p w14:paraId="0D05ABAC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sleep over GLP-1</w:t>
      </w:r>
    </w:p>
    <w:p w14:paraId="2D97ABEB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Medvi's model is now under serious regulatory pressure — FDA warning letters, DOJ referrals, class action litigation — all driven by compounded drug exposure. Sleep medicine has none of that. Trazodone is a decades-old generic. Orexin antagonists are FDA-approved branded drugs. Zero compounding risk.</w:t>
      </w:r>
    </w:p>
    <w:p w14:paraId="2EAB2652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clinical backend partner</w:t>
      </w:r>
    </w:p>
    <w:p w14:paraId="76E9EA5B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We are in discussions with OpenLoop Health (openloophealth.com) — the same infrastructure powering Medvi and 120+ other telehealth brands. 20,000+ licensed providers, 50-state coverage, SOC 2 certified. The commercial structure we are seeking is strictly pay-per-patient — no minimum volume commitments, no fixed fees, full flexibility to scale up or down. This is critical. The business model requires variable cost structure throughout.</w:t>
      </w:r>
    </w:p>
    <w:p w14:paraId="06D0ABB5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need from an attorney</w:t>
      </w:r>
    </w:p>
    <w:p w14:paraId="0E5801F8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Same ask as before — someone who has specifically done DTC telehealth platform deals. Not general healthcare law, not general corporate. The specific documents needed in order of priority:</w:t>
      </w:r>
    </w:p>
    <w:p w14:paraId="615037F2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One — MSA with OpenLoop. Key items: per-patient fee structure confirmed as variable with no minimums, 24-hour async review SLA and remedies if missed, liability and indemnification, no exclusivity in the sleep category, clean termination and data portability rights.</w:t>
      </w:r>
    </w:p>
    <w:p w14:paraId="5D7F293C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Two — BAA with OpenLoop. Standard HIPAA Business Associate Agreement. Key items: breach notification timeline, liability cap, audit rights.</w:t>
      </w:r>
    </w:p>
    <w:p w14:paraId="725DD955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Three — Patient-facing Terms of Service and Privacy Policy. Must establish Sleepgenic as a technology platform, not a medical provider. All clinical decisions made by independent licensed providers. Cash-pay only, no insurance billing. Async care delivery consent.</w:t>
      </w:r>
    </w:p>
    <w:p w14:paraId="1567795C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Four — HIPAA vendor BAA stack. Supabase, Stripe, and Resend all need signed BAAs before real patient data is collected. All three provide these on demand — just need them executed and filed.</w:t>
      </w:r>
    </w:p>
    <w:p w14:paraId="3DA76C0E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Five — Physician Advisor Agreement if a licensed MD joins in an advisory capacity. One page. Defines role, protects both parties, confirms Sleepgenic is the technology platform and the physician is an independent clinical reviewer.</w:t>
      </w:r>
    </w:p>
    <w:p w14:paraId="5AE92050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and risk profile</w:t>
      </w:r>
    </w:p>
    <w:p w14:paraId="3C8984FD" w14:textId="77777777" w:rsidR="00444043" w:rsidRPr="00444043" w:rsidRDefault="00444043" w:rsidP="0044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043">
        <w:rPr>
          <w:rFonts w:ascii="Times New Roman" w:eastAsia="Times New Roman" w:hAnsi="Times New Roman" w:cs="Times New Roman"/>
          <w:kern w:val="0"/>
          <w14:ligatures w14:val="none"/>
        </w:rPr>
        <w:t>I am targeting a 45–60 day launch window from MSA signing. The build is already underway. The business requires less than $10,000 in startup capital. Downside is structurally limited — no inventory, no fixed clinical costs, no long-term commitments. The attorney needs to be able to move fast once the OpenLoop call confirms the partnership.</w:t>
      </w:r>
    </w:p>
    <w:p w14:paraId="5ECC73BF" w14:textId="77777777" w:rsidR="00587840" w:rsidRPr="00444043" w:rsidRDefault="00587840" w:rsidP="00444043"/>
    <w:sectPr w:rsidR="00587840" w:rsidRPr="00444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BD"/>
    <w:rsid w:val="00444043"/>
    <w:rsid w:val="00587840"/>
    <w:rsid w:val="007D0CF1"/>
    <w:rsid w:val="00D342E7"/>
    <w:rsid w:val="00E01B6A"/>
    <w:rsid w:val="00F547BD"/>
    <w:rsid w:val="00F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5B67"/>
  <w15:chartTrackingRefBased/>
  <w15:docId w15:val="{99E66826-4AB6-4084-88A2-ADB555E2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Ye</dc:creator>
  <cp:keywords/>
  <dc:description/>
  <cp:lastModifiedBy>Michael Ye</cp:lastModifiedBy>
  <cp:revision>3</cp:revision>
  <dcterms:created xsi:type="dcterms:W3CDTF">2026-04-07T16:01:00Z</dcterms:created>
  <dcterms:modified xsi:type="dcterms:W3CDTF">2026-04-07T21:12:00Z</dcterms:modified>
</cp:coreProperties>
</file>