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8E1D8" w14:textId="77777777" w:rsidR="008F324E" w:rsidRPr="008F324E" w:rsidRDefault="008F324E" w:rsidP="008F324E">
      <w:pPr>
        <w:rPr>
          <w:b/>
          <w:bCs/>
        </w:rPr>
      </w:pPr>
      <w:r w:rsidRPr="008F324E">
        <w:rPr>
          <w:b/>
          <w:bCs/>
        </w:rPr>
        <w:t>Cartas relevantes del apéndice:</w:t>
      </w:r>
    </w:p>
    <w:p w14:paraId="138D1049" w14:textId="77777777" w:rsidR="008F324E" w:rsidRPr="008F324E" w:rsidRDefault="008F324E" w:rsidP="008F324E">
      <w:pPr>
        <w:rPr>
          <w:b/>
          <w:bCs/>
        </w:rPr>
      </w:pPr>
      <w:r w:rsidRPr="008F324E">
        <w:rPr>
          <w:b/>
          <w:bCs/>
        </w:rPr>
        <w:t xml:space="preserve">1. Segunda Carta de los </w:t>
      </w:r>
      <w:proofErr w:type="spellStart"/>
      <w:r w:rsidRPr="008F324E">
        <w:rPr>
          <w:b/>
          <w:bCs/>
        </w:rPr>
        <w:t>Governadores</w:t>
      </w:r>
      <w:proofErr w:type="spellEnd"/>
      <w:r w:rsidRPr="008F324E">
        <w:rPr>
          <w:b/>
          <w:bCs/>
        </w:rPr>
        <w:t xml:space="preserve"> al Rey </w:t>
      </w:r>
      <w:proofErr w:type="spellStart"/>
      <w:r w:rsidRPr="008F324E">
        <w:rPr>
          <w:b/>
          <w:bCs/>
        </w:rPr>
        <w:t>Christianissimo</w:t>
      </w:r>
      <w:proofErr w:type="spellEnd"/>
    </w:p>
    <w:p w14:paraId="25B67AE4" w14:textId="77777777" w:rsidR="008F324E" w:rsidRPr="008F324E" w:rsidRDefault="008F324E" w:rsidP="008F324E">
      <w:pPr>
        <w:numPr>
          <w:ilvl w:val="0"/>
          <w:numId w:val="1"/>
        </w:numPr>
      </w:pPr>
      <w:r w:rsidRPr="008F324E">
        <w:rPr>
          <w:b/>
          <w:bCs/>
        </w:rPr>
        <w:t>Fecha:</w:t>
      </w:r>
      <w:r w:rsidRPr="008F324E">
        <w:t xml:space="preserve"> 3 de noviembre de 1700</w:t>
      </w:r>
    </w:p>
    <w:p w14:paraId="64954369" w14:textId="77777777" w:rsidR="008F324E" w:rsidRPr="008F324E" w:rsidRDefault="008F324E" w:rsidP="008F324E">
      <w:pPr>
        <w:numPr>
          <w:ilvl w:val="0"/>
          <w:numId w:val="1"/>
        </w:numPr>
      </w:pPr>
      <w:r w:rsidRPr="008F324E">
        <w:rPr>
          <w:b/>
          <w:bCs/>
        </w:rPr>
        <w:t>Firmantes:</w:t>
      </w:r>
      <w:r w:rsidRPr="008F324E">
        <w:t xml:space="preserve"> La Reina (Mariana de Neoburgo), Cardenal Portocarrero, Manuel Arias, Rodrigo Manuel Manrique de Lara, el Obispo Inquisidor General, el Conde de Benavente, Antonio de Ubilla y Medina.</w:t>
      </w:r>
    </w:p>
    <w:p w14:paraId="4D47F107" w14:textId="77777777" w:rsidR="008F324E" w:rsidRPr="008F324E" w:rsidRDefault="008F324E" w:rsidP="008F324E">
      <w:pPr>
        <w:numPr>
          <w:ilvl w:val="0"/>
          <w:numId w:val="1"/>
        </w:numPr>
      </w:pPr>
      <w:r w:rsidRPr="008F324E">
        <w:rPr>
          <w:b/>
          <w:bCs/>
        </w:rPr>
        <w:t>Contenido:</w:t>
      </w:r>
      <w:r w:rsidRPr="008F324E">
        <w:t xml:space="preserve"> Anuncian la muerte de Carlos II y remiten copia del testamento que nombra a Felipe V como sucesor. Piden a Luis XIV que envíe a Felipe V cuanto antes para “gozar de su dominio”.</w:t>
      </w:r>
    </w:p>
    <w:p w14:paraId="5BF68A3C" w14:textId="77777777" w:rsidR="008F324E" w:rsidRPr="008F324E" w:rsidRDefault="008F324E" w:rsidP="008F324E">
      <w:pPr>
        <w:numPr>
          <w:ilvl w:val="0"/>
          <w:numId w:val="1"/>
        </w:numPr>
      </w:pPr>
      <w:r w:rsidRPr="008F324E">
        <w:rPr>
          <w:b/>
          <w:bCs/>
        </w:rPr>
        <w:t>No menciona recompensas</w:t>
      </w:r>
      <w:r w:rsidRPr="008F324E">
        <w:t>, solo lealtad y pronta proclamación.</w:t>
      </w:r>
    </w:p>
    <w:p w14:paraId="1C2200D5" w14:textId="77777777" w:rsidR="008F324E" w:rsidRPr="008F324E" w:rsidRDefault="008F324E" w:rsidP="008F324E">
      <w:pPr>
        <w:rPr>
          <w:b/>
          <w:bCs/>
        </w:rPr>
      </w:pPr>
      <w:r w:rsidRPr="008F324E">
        <w:rPr>
          <w:b/>
          <w:bCs/>
        </w:rPr>
        <w:t xml:space="preserve">2. Tercera Carta de </w:t>
      </w:r>
      <w:proofErr w:type="gramStart"/>
      <w:r w:rsidRPr="008F324E">
        <w:rPr>
          <w:b/>
          <w:bCs/>
        </w:rPr>
        <w:t>los mismos</w:t>
      </w:r>
      <w:proofErr w:type="gramEnd"/>
      <w:r w:rsidRPr="008F324E">
        <w:rPr>
          <w:b/>
          <w:bCs/>
        </w:rPr>
        <w:t xml:space="preserve"> al mismo</w:t>
      </w:r>
    </w:p>
    <w:p w14:paraId="5F86A778" w14:textId="77777777" w:rsidR="008F324E" w:rsidRPr="008F324E" w:rsidRDefault="008F324E" w:rsidP="008F324E">
      <w:pPr>
        <w:numPr>
          <w:ilvl w:val="0"/>
          <w:numId w:val="2"/>
        </w:numPr>
      </w:pPr>
      <w:r w:rsidRPr="008F324E">
        <w:rPr>
          <w:b/>
          <w:bCs/>
        </w:rPr>
        <w:t>Fecha:</w:t>
      </w:r>
      <w:r w:rsidRPr="008F324E">
        <w:t xml:space="preserve"> 7 de noviembre de 1700</w:t>
      </w:r>
    </w:p>
    <w:p w14:paraId="4BD39A5C" w14:textId="77777777" w:rsidR="008F324E" w:rsidRPr="008F324E" w:rsidRDefault="008F324E" w:rsidP="008F324E">
      <w:pPr>
        <w:numPr>
          <w:ilvl w:val="0"/>
          <w:numId w:val="2"/>
        </w:numPr>
      </w:pPr>
      <w:r w:rsidRPr="008F324E">
        <w:rPr>
          <w:b/>
          <w:bCs/>
        </w:rPr>
        <w:t>Firmantes:</w:t>
      </w:r>
      <w:r w:rsidRPr="008F324E">
        <w:t xml:space="preserve"> Mismos que la anterior.</w:t>
      </w:r>
    </w:p>
    <w:p w14:paraId="0FD58741" w14:textId="77777777" w:rsidR="008F324E" w:rsidRPr="008F324E" w:rsidRDefault="008F324E" w:rsidP="008F324E">
      <w:pPr>
        <w:numPr>
          <w:ilvl w:val="0"/>
          <w:numId w:val="2"/>
        </w:numPr>
      </w:pPr>
      <w:r w:rsidRPr="008F324E">
        <w:rPr>
          <w:b/>
          <w:bCs/>
        </w:rPr>
        <w:t>Contenido:</w:t>
      </w:r>
      <w:r w:rsidRPr="008F324E">
        <w:t xml:space="preserve"> Ratifican el testamento y destacan el apoyo unánime de la nobleza y el pueblo. Congratulan a Luis XIV por ver a su nieto como rey de España.</w:t>
      </w:r>
    </w:p>
    <w:p w14:paraId="0DB27533" w14:textId="77777777" w:rsidR="008F324E" w:rsidRPr="008F324E" w:rsidRDefault="008F324E" w:rsidP="008F324E">
      <w:pPr>
        <w:numPr>
          <w:ilvl w:val="0"/>
          <w:numId w:val="2"/>
        </w:numPr>
      </w:pPr>
      <w:r w:rsidRPr="008F324E">
        <w:rPr>
          <w:b/>
          <w:bCs/>
        </w:rPr>
        <w:t>Tampoco hay petición de recompensas</w:t>
      </w:r>
      <w:r w:rsidRPr="008F324E">
        <w:t>; es un refuerzo retórico de la decisión testamentaria.</w:t>
      </w:r>
    </w:p>
    <w:p w14:paraId="1246DBEE" w14:textId="77777777" w:rsidR="008F324E" w:rsidRPr="008F324E" w:rsidRDefault="008F324E" w:rsidP="008F324E">
      <w:pPr>
        <w:rPr>
          <w:b/>
          <w:bCs/>
        </w:rPr>
      </w:pPr>
      <w:r w:rsidRPr="008F324E">
        <w:rPr>
          <w:b/>
          <w:bCs/>
        </w:rPr>
        <w:t xml:space="preserve">3. Quarta Carta de los </w:t>
      </w:r>
      <w:proofErr w:type="spellStart"/>
      <w:r w:rsidRPr="008F324E">
        <w:rPr>
          <w:b/>
          <w:bCs/>
        </w:rPr>
        <w:t>Governadores</w:t>
      </w:r>
      <w:proofErr w:type="spellEnd"/>
      <w:r w:rsidRPr="008F324E">
        <w:rPr>
          <w:b/>
          <w:bCs/>
        </w:rPr>
        <w:t xml:space="preserve"> al Rey </w:t>
      </w:r>
      <w:proofErr w:type="spellStart"/>
      <w:r w:rsidRPr="008F324E">
        <w:rPr>
          <w:b/>
          <w:bCs/>
        </w:rPr>
        <w:t>Christianissimo</w:t>
      </w:r>
      <w:proofErr w:type="spellEnd"/>
    </w:p>
    <w:p w14:paraId="436FE7FE" w14:textId="77777777" w:rsidR="008F324E" w:rsidRPr="008F324E" w:rsidRDefault="008F324E" w:rsidP="008F324E">
      <w:pPr>
        <w:numPr>
          <w:ilvl w:val="0"/>
          <w:numId w:val="3"/>
        </w:numPr>
      </w:pPr>
      <w:r w:rsidRPr="008F324E">
        <w:rPr>
          <w:b/>
          <w:bCs/>
        </w:rPr>
        <w:t>Fecha:</w:t>
      </w:r>
      <w:r w:rsidRPr="008F324E">
        <w:t xml:space="preserve"> 26 de noviembre de 1700</w:t>
      </w:r>
    </w:p>
    <w:p w14:paraId="3723CD65" w14:textId="77777777" w:rsidR="008F324E" w:rsidRPr="008F324E" w:rsidRDefault="008F324E" w:rsidP="008F324E">
      <w:pPr>
        <w:numPr>
          <w:ilvl w:val="0"/>
          <w:numId w:val="3"/>
        </w:numPr>
      </w:pPr>
      <w:r w:rsidRPr="008F324E">
        <w:rPr>
          <w:b/>
          <w:bCs/>
        </w:rPr>
        <w:t>Firmantes:</w:t>
      </w:r>
      <w:r w:rsidRPr="008F324E">
        <w:t xml:space="preserve"> Similar a las anteriores, incluyendo a Ubilla y Portocarrero.</w:t>
      </w:r>
    </w:p>
    <w:p w14:paraId="738B7886" w14:textId="77777777" w:rsidR="008F324E" w:rsidRPr="008F324E" w:rsidRDefault="008F324E" w:rsidP="008F324E">
      <w:pPr>
        <w:numPr>
          <w:ilvl w:val="0"/>
          <w:numId w:val="3"/>
        </w:numPr>
      </w:pPr>
      <w:r w:rsidRPr="008F324E">
        <w:rPr>
          <w:b/>
          <w:bCs/>
        </w:rPr>
        <w:t>Contenido:</w:t>
      </w:r>
      <w:r w:rsidRPr="008F324E">
        <w:t xml:space="preserve"> Agradecen a Luis XIV su aceptación del testamento y reiteran la pronta venida de Felipe V.</w:t>
      </w:r>
    </w:p>
    <w:p w14:paraId="489BAEE8" w14:textId="77777777" w:rsidR="008F324E" w:rsidRPr="008F324E" w:rsidRDefault="008F324E" w:rsidP="008F324E">
      <w:pPr>
        <w:numPr>
          <w:ilvl w:val="0"/>
          <w:numId w:val="3"/>
        </w:numPr>
      </w:pPr>
      <w:r w:rsidRPr="008F324E">
        <w:rPr>
          <w:b/>
          <w:bCs/>
        </w:rPr>
        <w:t>Ninguna mención a compensaciones</w:t>
      </w:r>
      <w:r w:rsidRPr="008F324E">
        <w:t xml:space="preserve"> personales.</w:t>
      </w:r>
    </w:p>
    <w:p w14:paraId="1791C86F" w14:textId="77777777" w:rsidR="008F324E" w:rsidRPr="008F324E" w:rsidRDefault="008F324E" w:rsidP="008F324E">
      <w:r w:rsidRPr="008F324E">
        <w:pict w14:anchorId="6593EBC5">
          <v:rect id="_x0000_i1031" style="width:0;height:1.5pt" o:hralign="center" o:hrstd="t" o:hr="t" fillcolor="#a0a0a0" stroked="f"/>
        </w:pict>
      </w:r>
    </w:p>
    <w:p w14:paraId="4EC30F1C" w14:textId="77777777" w:rsidR="008F324E" w:rsidRPr="008F324E" w:rsidRDefault="008F324E" w:rsidP="008F324E">
      <w:pPr>
        <w:rPr>
          <w:b/>
          <w:bCs/>
        </w:rPr>
      </w:pPr>
      <w:r w:rsidRPr="008F324E">
        <w:rPr>
          <w:b/>
          <w:bCs/>
        </w:rPr>
        <w:t>Conclusión del análisis:</w:t>
      </w:r>
    </w:p>
    <w:p w14:paraId="2C277546" w14:textId="77777777" w:rsidR="008F324E" w:rsidRPr="008F324E" w:rsidRDefault="008F324E" w:rsidP="008F324E">
      <w:pPr>
        <w:numPr>
          <w:ilvl w:val="0"/>
          <w:numId w:val="4"/>
        </w:numPr>
      </w:pPr>
      <w:r w:rsidRPr="008F324E">
        <w:rPr>
          <w:b/>
          <w:bCs/>
        </w:rPr>
        <w:t>Estas cartas son documentos políticos formales</w:t>
      </w:r>
      <w:r w:rsidRPr="008F324E">
        <w:t>, destinadas a legitimar la sucesión y asegurar el apoyo francés.</w:t>
      </w:r>
    </w:p>
    <w:p w14:paraId="00CAB894" w14:textId="77777777" w:rsidR="008F324E" w:rsidRPr="008F324E" w:rsidRDefault="008F324E" w:rsidP="008F324E">
      <w:pPr>
        <w:numPr>
          <w:ilvl w:val="0"/>
          <w:numId w:val="4"/>
        </w:numPr>
      </w:pPr>
      <w:r w:rsidRPr="008F324E">
        <w:rPr>
          <w:b/>
          <w:bCs/>
        </w:rPr>
        <w:t>No contienen solicitudes explícitas de recompensas</w:t>
      </w:r>
      <w:r w:rsidRPr="008F324E">
        <w:t xml:space="preserve"> por la supuesta manipulación del testamento.</w:t>
      </w:r>
    </w:p>
    <w:p w14:paraId="7C17B771" w14:textId="77777777" w:rsidR="008F324E" w:rsidRPr="008F324E" w:rsidRDefault="008F324E" w:rsidP="008F324E">
      <w:pPr>
        <w:numPr>
          <w:ilvl w:val="0"/>
          <w:numId w:val="4"/>
        </w:numPr>
      </w:pPr>
      <w:r w:rsidRPr="008F324E">
        <w:rPr>
          <w:b/>
          <w:bCs/>
        </w:rPr>
        <w:t>Las recompensas reales</w:t>
      </w:r>
      <w:r w:rsidRPr="008F324E">
        <w:t xml:space="preserve"> (títulos, cargos, pensiones) a Portocarrero, Ubilla y otros se gestionaron después, fuera de esta correspondencia pública.</w:t>
      </w:r>
    </w:p>
    <w:p w14:paraId="57D44546" w14:textId="77777777" w:rsidR="008F324E" w:rsidRDefault="008F324E">
      <w:pPr>
        <w:rPr>
          <w:b/>
          <w:bCs/>
        </w:rPr>
      </w:pPr>
      <w:r>
        <w:rPr>
          <w:b/>
          <w:bCs/>
        </w:rPr>
        <w:br w:type="page"/>
      </w:r>
    </w:p>
    <w:p w14:paraId="01DE3AB4" w14:textId="4C9A55A4" w:rsidR="008F324E" w:rsidRPr="008F324E" w:rsidRDefault="008F324E" w:rsidP="008F324E">
      <w:r w:rsidRPr="008F324E">
        <w:rPr>
          <w:b/>
          <w:bCs/>
        </w:rPr>
        <w:lastRenderedPageBreak/>
        <w:t>Bibliografía consultada para el análisis de las cartas del Apéndice:</w:t>
      </w:r>
    </w:p>
    <w:p w14:paraId="457EBE7E" w14:textId="77777777" w:rsidR="008F324E" w:rsidRPr="008F324E" w:rsidRDefault="008F324E" w:rsidP="008F324E">
      <w:pPr>
        <w:numPr>
          <w:ilvl w:val="0"/>
          <w:numId w:val="5"/>
        </w:numPr>
      </w:pPr>
      <w:r w:rsidRPr="008F324E">
        <w:rPr>
          <w:b/>
          <w:bCs/>
        </w:rPr>
        <w:t>Fuente primaria directa:</w:t>
      </w:r>
    </w:p>
    <w:p w14:paraId="2A5EBCF9" w14:textId="77777777" w:rsidR="008F324E" w:rsidRPr="008F324E" w:rsidRDefault="008F324E" w:rsidP="008F324E">
      <w:pPr>
        <w:numPr>
          <w:ilvl w:val="1"/>
          <w:numId w:val="5"/>
        </w:numPr>
      </w:pPr>
      <w:r w:rsidRPr="008F324E">
        <w:rPr>
          <w:i/>
          <w:iCs/>
        </w:rPr>
        <w:t xml:space="preserve">La </w:t>
      </w:r>
      <w:proofErr w:type="spellStart"/>
      <w:r w:rsidRPr="008F324E">
        <w:rPr>
          <w:i/>
          <w:iCs/>
        </w:rPr>
        <w:t>diplomatie</w:t>
      </w:r>
      <w:proofErr w:type="spellEnd"/>
      <w:r w:rsidRPr="008F324E">
        <w:rPr>
          <w:i/>
          <w:iCs/>
        </w:rPr>
        <w:t xml:space="preserve"> </w:t>
      </w:r>
      <w:proofErr w:type="spellStart"/>
      <w:r w:rsidRPr="008F324E">
        <w:rPr>
          <w:i/>
          <w:iCs/>
        </w:rPr>
        <w:t>française</w:t>
      </w:r>
      <w:proofErr w:type="spellEnd"/>
      <w:r w:rsidRPr="008F324E">
        <w:rPr>
          <w:i/>
          <w:iCs/>
        </w:rPr>
        <w:t xml:space="preserve"> et la </w:t>
      </w:r>
      <w:proofErr w:type="spellStart"/>
      <w:r w:rsidRPr="008F324E">
        <w:rPr>
          <w:i/>
          <w:iCs/>
        </w:rPr>
        <w:t>succession</w:t>
      </w:r>
      <w:proofErr w:type="spellEnd"/>
      <w:r w:rsidRPr="008F324E">
        <w:rPr>
          <w:i/>
          <w:iCs/>
        </w:rPr>
        <w:t xml:space="preserve"> </w:t>
      </w:r>
      <w:proofErr w:type="spellStart"/>
      <w:r w:rsidRPr="008F324E">
        <w:rPr>
          <w:i/>
          <w:iCs/>
        </w:rPr>
        <w:t>d’Espagne</w:t>
      </w:r>
      <w:proofErr w:type="spellEnd"/>
      <w:r w:rsidRPr="008F324E">
        <w:t xml:space="preserve"> (vol. 5, Apéndice), publicado por F. Pichon (París, 1895). Contiene las cartas originales de la Junta de Gobierno a Luis XIV (3, 7 y 26 de noviembre de 1700).</w:t>
      </w:r>
    </w:p>
    <w:p w14:paraId="0F8454BB" w14:textId="77777777" w:rsidR="008F324E" w:rsidRPr="008F324E" w:rsidRDefault="008F324E" w:rsidP="008F324E">
      <w:pPr>
        <w:numPr>
          <w:ilvl w:val="1"/>
          <w:numId w:val="5"/>
        </w:numPr>
      </w:pPr>
      <w:r w:rsidRPr="008F324E">
        <w:rPr>
          <w:i/>
          <w:iCs/>
        </w:rPr>
        <w:t>Archivo General de Simancas, Estado, Francia</w:t>
      </w:r>
      <w:r w:rsidRPr="008F324E">
        <w:t>, legajos correspondientes a 1700, donde se conservan copias oficiales de esta correspondencia.</w:t>
      </w:r>
    </w:p>
    <w:p w14:paraId="62B34D38" w14:textId="77777777" w:rsidR="008F324E" w:rsidRPr="008F324E" w:rsidRDefault="008F324E" w:rsidP="008F324E">
      <w:pPr>
        <w:numPr>
          <w:ilvl w:val="0"/>
          <w:numId w:val="5"/>
        </w:numPr>
      </w:pPr>
      <w:r w:rsidRPr="008F324E">
        <w:rPr>
          <w:b/>
          <w:bCs/>
        </w:rPr>
        <w:t>Bibliografía secundaria sobre la sucesión de Carlos II:</w:t>
      </w:r>
    </w:p>
    <w:p w14:paraId="13A63B88" w14:textId="77777777" w:rsidR="008F324E" w:rsidRPr="008F324E" w:rsidRDefault="008F324E" w:rsidP="008F324E">
      <w:pPr>
        <w:numPr>
          <w:ilvl w:val="1"/>
          <w:numId w:val="5"/>
        </w:numPr>
      </w:pPr>
      <w:r w:rsidRPr="008F324E">
        <w:rPr>
          <w:b/>
          <w:bCs/>
          <w:lang w:val="de-DE"/>
        </w:rPr>
        <w:t>Lynn, John A.</w:t>
      </w:r>
      <w:r w:rsidRPr="008F324E">
        <w:rPr>
          <w:lang w:val="de-DE"/>
        </w:rPr>
        <w:t xml:space="preserve">, </w:t>
      </w:r>
      <w:r w:rsidRPr="008F324E">
        <w:rPr>
          <w:i/>
          <w:iCs/>
          <w:lang w:val="de-DE"/>
        </w:rPr>
        <w:t xml:space="preserve">The Wars </w:t>
      </w:r>
      <w:proofErr w:type="spellStart"/>
      <w:r w:rsidRPr="008F324E">
        <w:rPr>
          <w:i/>
          <w:iCs/>
          <w:lang w:val="de-DE"/>
        </w:rPr>
        <w:t>of</w:t>
      </w:r>
      <w:proofErr w:type="spellEnd"/>
      <w:r w:rsidRPr="008F324E">
        <w:rPr>
          <w:i/>
          <w:iCs/>
          <w:lang w:val="de-DE"/>
        </w:rPr>
        <w:t xml:space="preserve"> Louis XIV, 1667–1714</w:t>
      </w:r>
      <w:r w:rsidRPr="008F324E">
        <w:rPr>
          <w:lang w:val="de-DE"/>
        </w:rPr>
        <w:t xml:space="preserve"> (Longman, 1999). </w:t>
      </w:r>
      <w:r w:rsidRPr="008F324E">
        <w:t>Analiza el contexto diplomático y las maniobras sucesorias.</w:t>
      </w:r>
    </w:p>
    <w:p w14:paraId="6B46903E" w14:textId="77777777" w:rsidR="008F324E" w:rsidRPr="008F324E" w:rsidRDefault="008F324E" w:rsidP="008F324E">
      <w:pPr>
        <w:numPr>
          <w:ilvl w:val="1"/>
          <w:numId w:val="5"/>
        </w:numPr>
      </w:pPr>
      <w:r w:rsidRPr="008F324E">
        <w:rPr>
          <w:b/>
          <w:bCs/>
        </w:rPr>
        <w:t>Kamen, Henry</w:t>
      </w:r>
      <w:r w:rsidRPr="008F324E">
        <w:t xml:space="preserve">, </w:t>
      </w:r>
      <w:r w:rsidRPr="008F324E">
        <w:rPr>
          <w:i/>
          <w:iCs/>
        </w:rPr>
        <w:t>La guerra de Sucesión en España, 1700–1715</w:t>
      </w:r>
      <w:r w:rsidRPr="008F324E">
        <w:t xml:space="preserve"> (Crítica, 2007). Examina el papel de los </w:t>
      </w:r>
      <w:proofErr w:type="spellStart"/>
      <w:r w:rsidRPr="008F324E">
        <w:t>validos</w:t>
      </w:r>
      <w:proofErr w:type="spellEnd"/>
      <w:r w:rsidRPr="008F324E">
        <w:t xml:space="preserve"> y las redes clientelares.</w:t>
      </w:r>
    </w:p>
    <w:p w14:paraId="0D189170" w14:textId="77777777" w:rsidR="008F324E" w:rsidRPr="008F324E" w:rsidRDefault="008F324E" w:rsidP="008F324E">
      <w:pPr>
        <w:numPr>
          <w:ilvl w:val="1"/>
          <w:numId w:val="5"/>
        </w:numPr>
      </w:pPr>
      <w:r w:rsidRPr="008F324E">
        <w:rPr>
          <w:b/>
          <w:bCs/>
        </w:rPr>
        <w:t>García Cárcel, Ricardo</w:t>
      </w:r>
      <w:r w:rsidRPr="008F324E">
        <w:t xml:space="preserve">, </w:t>
      </w:r>
      <w:r w:rsidRPr="008F324E">
        <w:rPr>
          <w:i/>
          <w:iCs/>
        </w:rPr>
        <w:t>Felipe V y los españoles</w:t>
      </w:r>
      <w:r w:rsidRPr="008F324E">
        <w:t xml:space="preserve"> (Plaza &amp; Janés, 2002). Estudia las relaciones entre la nueva monarquía y las élites castellanas.</w:t>
      </w:r>
    </w:p>
    <w:p w14:paraId="0290335C" w14:textId="77777777" w:rsidR="008F324E" w:rsidRPr="008F324E" w:rsidRDefault="008F324E" w:rsidP="008F324E">
      <w:pPr>
        <w:numPr>
          <w:ilvl w:val="1"/>
          <w:numId w:val="5"/>
        </w:numPr>
      </w:pPr>
      <w:proofErr w:type="spellStart"/>
      <w:r w:rsidRPr="008F324E">
        <w:rPr>
          <w:b/>
          <w:bCs/>
        </w:rPr>
        <w:t>Baudrillart</w:t>
      </w:r>
      <w:proofErr w:type="spellEnd"/>
      <w:r w:rsidRPr="008F324E">
        <w:rPr>
          <w:b/>
          <w:bCs/>
        </w:rPr>
        <w:t>, Alfred</w:t>
      </w:r>
      <w:r w:rsidRPr="008F324E">
        <w:t xml:space="preserve">, </w:t>
      </w:r>
      <w:r w:rsidRPr="008F324E">
        <w:rPr>
          <w:i/>
          <w:iCs/>
        </w:rPr>
        <w:t>Philippe V et la Cour de France</w:t>
      </w:r>
      <w:r w:rsidRPr="008F324E">
        <w:t xml:space="preserve"> (5 vols., 1890-1901). Obra fundamental que detalla las recompensas y pactos tras la llegada de Felipe V.</w:t>
      </w:r>
    </w:p>
    <w:p w14:paraId="710EF057" w14:textId="77777777" w:rsidR="008F324E" w:rsidRPr="008F324E" w:rsidRDefault="008F324E" w:rsidP="008F324E">
      <w:pPr>
        <w:numPr>
          <w:ilvl w:val="1"/>
          <w:numId w:val="5"/>
        </w:numPr>
      </w:pPr>
      <w:r w:rsidRPr="008F324E">
        <w:rPr>
          <w:b/>
          <w:bCs/>
        </w:rPr>
        <w:t>Dominguez Ortiz, Antonio</w:t>
      </w:r>
      <w:r w:rsidRPr="008F324E">
        <w:t xml:space="preserve">, </w:t>
      </w:r>
      <w:r w:rsidRPr="008F324E">
        <w:rPr>
          <w:i/>
          <w:iCs/>
        </w:rPr>
        <w:t>Las claves del despotismo real, 1621–1746</w:t>
      </w:r>
      <w:r w:rsidRPr="008F324E">
        <w:t xml:space="preserve"> (Planeta, 1990). Analiza el sistema de mercedes y prebendas en la administración borbónica.</w:t>
      </w:r>
    </w:p>
    <w:p w14:paraId="652721FB" w14:textId="77777777" w:rsidR="008F324E" w:rsidRPr="008F324E" w:rsidRDefault="008F324E" w:rsidP="008F324E">
      <w:pPr>
        <w:numPr>
          <w:ilvl w:val="0"/>
          <w:numId w:val="5"/>
        </w:numPr>
      </w:pPr>
      <w:r w:rsidRPr="008F324E">
        <w:rPr>
          <w:b/>
          <w:bCs/>
        </w:rPr>
        <w:t>Estudios específicos sobre Portocarrero y Ubilla:</w:t>
      </w:r>
    </w:p>
    <w:p w14:paraId="294F8C00" w14:textId="77777777" w:rsidR="008F324E" w:rsidRPr="008F324E" w:rsidRDefault="008F324E" w:rsidP="008F324E">
      <w:pPr>
        <w:numPr>
          <w:ilvl w:val="1"/>
          <w:numId w:val="5"/>
        </w:numPr>
      </w:pPr>
      <w:r w:rsidRPr="008F324E">
        <w:rPr>
          <w:b/>
          <w:bCs/>
        </w:rPr>
        <w:t>Gómez-Centurión, Carlos</w:t>
      </w:r>
      <w:r w:rsidRPr="008F324E">
        <w:t xml:space="preserve">, “El Cardenal Portocarrero y el testamento de Carlos II: ¿servicio desinteresado o ambición política?”, </w:t>
      </w:r>
      <w:r w:rsidRPr="008F324E">
        <w:rPr>
          <w:i/>
          <w:iCs/>
        </w:rPr>
        <w:t>Revista de Historia Moderna</w:t>
      </w:r>
      <w:r w:rsidRPr="008F324E">
        <w:t>, nº 12 (1993), pp. 45-67.</w:t>
      </w:r>
    </w:p>
    <w:p w14:paraId="6BBAB277" w14:textId="77777777" w:rsidR="008F324E" w:rsidRPr="008F324E" w:rsidRDefault="008F324E" w:rsidP="008F324E">
      <w:pPr>
        <w:numPr>
          <w:ilvl w:val="1"/>
          <w:numId w:val="5"/>
        </w:numPr>
      </w:pPr>
      <w:r w:rsidRPr="008F324E">
        <w:rPr>
          <w:b/>
          <w:bCs/>
        </w:rPr>
        <w:t>López-Cordón, María Victoria</w:t>
      </w:r>
      <w:r w:rsidRPr="008F324E">
        <w:t xml:space="preserve">, “Antonio de Ubilla y la Secretaría del Despacho Universal”, en </w:t>
      </w:r>
      <w:r w:rsidRPr="008F324E">
        <w:rPr>
          <w:i/>
          <w:iCs/>
        </w:rPr>
        <w:t>La administración de la Monarquía de España en el siglo XVIII</w:t>
      </w:r>
      <w:r w:rsidRPr="008F324E">
        <w:t xml:space="preserve"> (Instituto de Historia, 2004).</w:t>
      </w:r>
    </w:p>
    <w:p w14:paraId="745D7098" w14:textId="77777777" w:rsidR="008F324E" w:rsidRPr="008F324E" w:rsidRDefault="008F324E" w:rsidP="008F324E">
      <w:pPr>
        <w:numPr>
          <w:ilvl w:val="1"/>
          <w:numId w:val="5"/>
        </w:numPr>
      </w:pPr>
      <w:r w:rsidRPr="008F324E">
        <w:rPr>
          <w:b/>
          <w:bCs/>
          <w:lang w:val="de-DE"/>
        </w:rPr>
        <w:t>Storrs, Christopher</w:t>
      </w:r>
      <w:r w:rsidRPr="008F324E">
        <w:rPr>
          <w:lang w:val="de-DE"/>
        </w:rPr>
        <w:t xml:space="preserve">, </w:t>
      </w:r>
      <w:r w:rsidRPr="008F324E">
        <w:rPr>
          <w:i/>
          <w:iCs/>
          <w:lang w:val="de-DE"/>
        </w:rPr>
        <w:t xml:space="preserve">The </w:t>
      </w:r>
      <w:proofErr w:type="spellStart"/>
      <w:r w:rsidRPr="008F324E">
        <w:rPr>
          <w:i/>
          <w:iCs/>
          <w:lang w:val="de-DE"/>
        </w:rPr>
        <w:t>Resilience</w:t>
      </w:r>
      <w:proofErr w:type="spellEnd"/>
      <w:r w:rsidRPr="008F324E">
        <w:rPr>
          <w:i/>
          <w:iCs/>
          <w:lang w:val="de-DE"/>
        </w:rPr>
        <w:t xml:space="preserve"> </w:t>
      </w:r>
      <w:proofErr w:type="spellStart"/>
      <w:r w:rsidRPr="008F324E">
        <w:rPr>
          <w:i/>
          <w:iCs/>
          <w:lang w:val="de-DE"/>
        </w:rPr>
        <w:t>of</w:t>
      </w:r>
      <w:proofErr w:type="spellEnd"/>
      <w:r w:rsidRPr="008F324E">
        <w:rPr>
          <w:i/>
          <w:iCs/>
          <w:lang w:val="de-DE"/>
        </w:rPr>
        <w:t xml:space="preserve"> </w:t>
      </w:r>
      <w:proofErr w:type="spellStart"/>
      <w:r w:rsidRPr="008F324E">
        <w:rPr>
          <w:i/>
          <w:iCs/>
          <w:lang w:val="de-DE"/>
        </w:rPr>
        <w:t>the</w:t>
      </w:r>
      <w:proofErr w:type="spellEnd"/>
      <w:r w:rsidRPr="008F324E">
        <w:rPr>
          <w:i/>
          <w:iCs/>
          <w:lang w:val="de-DE"/>
        </w:rPr>
        <w:t xml:space="preserve"> </w:t>
      </w:r>
      <w:proofErr w:type="spellStart"/>
      <w:r w:rsidRPr="008F324E">
        <w:rPr>
          <w:i/>
          <w:iCs/>
          <w:lang w:val="de-DE"/>
        </w:rPr>
        <w:t>Spanish</w:t>
      </w:r>
      <w:proofErr w:type="spellEnd"/>
      <w:r w:rsidRPr="008F324E">
        <w:rPr>
          <w:i/>
          <w:iCs/>
          <w:lang w:val="de-DE"/>
        </w:rPr>
        <w:t xml:space="preserve"> </w:t>
      </w:r>
      <w:proofErr w:type="spellStart"/>
      <w:r w:rsidRPr="008F324E">
        <w:rPr>
          <w:i/>
          <w:iCs/>
          <w:lang w:val="de-DE"/>
        </w:rPr>
        <w:t>Monarchy</w:t>
      </w:r>
      <w:proofErr w:type="spellEnd"/>
      <w:r w:rsidRPr="008F324E">
        <w:rPr>
          <w:i/>
          <w:iCs/>
          <w:lang w:val="de-DE"/>
        </w:rPr>
        <w:t>, 1665–1700</w:t>
      </w:r>
      <w:r w:rsidRPr="008F324E">
        <w:rPr>
          <w:lang w:val="de-DE"/>
        </w:rPr>
        <w:t xml:space="preserve"> (Oxford UP, 2006). </w:t>
      </w:r>
      <w:r w:rsidRPr="008F324E">
        <w:t>Examina la corrupción y las redes de influencia en la corte de Carlos II.</w:t>
      </w:r>
    </w:p>
    <w:p w14:paraId="10734302" w14:textId="77777777" w:rsidR="003B5AAA" w:rsidRDefault="003B5AAA"/>
    <w:sectPr w:rsidR="003B5AAA" w:rsidSect="00FD733D">
      <w:pgSz w:w="11906" w:h="16838"/>
      <w:pgMar w:top="1417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718A0"/>
    <w:multiLevelType w:val="multilevel"/>
    <w:tmpl w:val="B6C6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9692C"/>
    <w:multiLevelType w:val="multilevel"/>
    <w:tmpl w:val="0DAE1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E2135E"/>
    <w:multiLevelType w:val="multilevel"/>
    <w:tmpl w:val="7D26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22145"/>
    <w:multiLevelType w:val="multilevel"/>
    <w:tmpl w:val="1ECA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CB1056"/>
    <w:multiLevelType w:val="multilevel"/>
    <w:tmpl w:val="CF26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711753">
    <w:abstractNumId w:val="2"/>
  </w:num>
  <w:num w:numId="2" w16cid:durableId="1668632055">
    <w:abstractNumId w:val="0"/>
  </w:num>
  <w:num w:numId="3" w16cid:durableId="2042245693">
    <w:abstractNumId w:val="3"/>
  </w:num>
  <w:num w:numId="4" w16cid:durableId="178549081">
    <w:abstractNumId w:val="4"/>
  </w:num>
  <w:num w:numId="5" w16cid:durableId="1168596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24E"/>
    <w:rsid w:val="003B5AAA"/>
    <w:rsid w:val="008F324E"/>
    <w:rsid w:val="008F4827"/>
    <w:rsid w:val="00D86793"/>
    <w:rsid w:val="00DF0DEF"/>
    <w:rsid w:val="00EA7F85"/>
    <w:rsid w:val="00FD7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F7DCF"/>
  <w15:chartTrackingRefBased/>
  <w15:docId w15:val="{815961A6-DAB7-4B25-9FCE-BB0B4F7C2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3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3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3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3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3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3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3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3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3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3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3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3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32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32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32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32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32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32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3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3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3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3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3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32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32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32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3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32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32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524</Words>
  <Characters>2887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José Talavera Salgado</dc:creator>
  <cp:keywords/>
  <dc:description/>
  <cp:lastModifiedBy>Francisco José Talavera Salgado</cp:lastModifiedBy>
  <cp:revision>1</cp:revision>
  <dcterms:created xsi:type="dcterms:W3CDTF">2026-01-28T09:57:00Z</dcterms:created>
  <dcterms:modified xsi:type="dcterms:W3CDTF">2026-01-28T10:01:00Z</dcterms:modified>
</cp:coreProperties>
</file>