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C33A" w14:textId="77777777" w:rsidR="0087667C" w:rsidRDefault="0087667C" w:rsidP="0087667C">
      <w:r>
        <w:t>### Personajes relacionados con venenos en Bruselas (1696-1699) potencialmente implicados en la muerte de José Fernando de Baviera</w:t>
      </w:r>
    </w:p>
    <w:p w14:paraId="02A46343" w14:textId="77777777" w:rsidR="0087667C" w:rsidRDefault="0087667C" w:rsidP="0087667C"/>
    <w:p w14:paraId="7780B6FC" w14:textId="77777777" w:rsidR="0087667C" w:rsidRDefault="0087667C" w:rsidP="0087667C">
      <w:r>
        <w:t>José Fernando de Baviera (1692-1699), príncipe electoral de Baviera y heredero designado de Carlos II de España según los tratados de partición (1698), murió repentinamente el 6 de febrero de 1699 en Bruselas, a los 6 años. La causa oficial fue una crisis convulsiva grave, con síntomas como vómitos intensos, fiebres y convulsiones (posiblemente viruela, epilepsia o una infección aguda). Sin embargo, inmediatamente surgieron rumores de envenenamiento por toda Europa, atribuidos principalmente a agentes franceses de **Luis XIV**, quien buscaba eliminar obstáculos para colocar a su nieto Felipe de Anjou en el trono español. Estas sospechas nunca se probaron (no hubo autopsia concluyente ni evidencia toxicológica), pero persisten en historiografía popular y teorías conspirativas.</w:t>
      </w:r>
    </w:p>
    <w:p w14:paraId="1FF8E3DA" w14:textId="77777777" w:rsidR="0087667C" w:rsidRDefault="0087667C" w:rsidP="0087667C"/>
    <w:p w14:paraId="2A49E7CE" w14:textId="77777777" w:rsidR="0087667C" w:rsidRDefault="0087667C" w:rsidP="0087667C">
      <w:r>
        <w:t xml:space="preserve">Bruselas, capital de los Países Bajos Españoles, era un centro de intrigas diplomáticas. El gobernador era **Maximiliano II Manuel de Baviera** (padre del príncipe), aliado intermitente de Francia durante la Guerra de los Nueve Años. La corte albergaba exiliados, diplomáticos y figuras con reputación turbia. En el periodo 1696-1699, pocas personas están documentadas con vínculos directos a venenos, ya que el gran escándalo francés (Affaire des </w:t>
      </w:r>
      <w:proofErr w:type="spellStart"/>
      <w:r>
        <w:t>Poisons</w:t>
      </w:r>
      <w:proofErr w:type="spellEnd"/>
      <w:r>
        <w:t>, 1677-1682) había concluido, con la mayoría de implicados ejecutados o encarcelados.</w:t>
      </w:r>
    </w:p>
    <w:p w14:paraId="704E99DB" w14:textId="77777777" w:rsidR="0087667C" w:rsidRDefault="0087667C" w:rsidP="0087667C"/>
    <w:p w14:paraId="12716677" w14:textId="77777777" w:rsidR="0087667C" w:rsidRDefault="0087667C" w:rsidP="0087667C">
      <w:r>
        <w:t xml:space="preserve">#### Figura principal identificada: Olympe Mancini, condesa de </w:t>
      </w:r>
      <w:proofErr w:type="spellStart"/>
      <w:r>
        <w:t>Soissons</w:t>
      </w:r>
      <w:proofErr w:type="spellEnd"/>
      <w:r>
        <w:t xml:space="preserve"> (1638-1708)</w:t>
      </w:r>
    </w:p>
    <w:p w14:paraId="2374991B" w14:textId="77777777" w:rsidR="0087667C" w:rsidRDefault="0087667C" w:rsidP="0087667C">
      <w:r>
        <w:t>- **Residencia en Bruselas**: Exiliada desde 1680 en los Países Bajos Españoles (primero en diversas ciudades, luego establecida en Bruselas hasta su muerte en 1708). Las autoridades españolas la protegieron, negando su extradición a Francia.</w:t>
      </w:r>
    </w:p>
    <w:p w14:paraId="4B226B49" w14:textId="77777777" w:rsidR="0087667C" w:rsidRDefault="0087667C" w:rsidP="0087667C">
      <w:r>
        <w:t xml:space="preserve">- **Vínculo con venenos**: Una de las principales implicadas en el Affaire des </w:t>
      </w:r>
      <w:proofErr w:type="spellStart"/>
      <w:r>
        <w:t>Poisons</w:t>
      </w:r>
      <w:proofErr w:type="spellEnd"/>
      <w:r>
        <w:t xml:space="preserve">. Acusada de consultar a la envenenadora Catherine </w:t>
      </w:r>
      <w:proofErr w:type="spellStart"/>
      <w:r>
        <w:t>Deshayes</w:t>
      </w:r>
      <w:proofErr w:type="spellEnd"/>
      <w:r>
        <w:t xml:space="preserve"> (La </w:t>
      </w:r>
      <w:proofErr w:type="spellStart"/>
      <w:r>
        <w:t>Voisin</w:t>
      </w:r>
      <w:proofErr w:type="spellEnd"/>
      <w:r>
        <w:t xml:space="preserve">) para adquirir arsénico y otros tóxicos, supuestamente para eliminar rivales en la corte de Luis XIV (incluyendo rumores de intentos contra la reina o amantes del rey). Aunque nunca condenada formalmente, su nombre apareció en interrogatorios y huyó para evitar la Cámara </w:t>
      </w:r>
      <w:proofErr w:type="spellStart"/>
      <w:r>
        <w:t>Ardente</w:t>
      </w:r>
      <w:proofErr w:type="spellEnd"/>
      <w:r>
        <w:t xml:space="preserve"> (tribunal especial).</w:t>
      </w:r>
    </w:p>
    <w:p w14:paraId="027ABE7E" w14:textId="77777777" w:rsidR="0087667C" w:rsidRDefault="0087667C" w:rsidP="0087667C">
      <w:r>
        <w:t xml:space="preserve">- **Posible implicación en 1699**: No existe evidencia directa ni acusación contemporánea que la vincule a la muerte de José Fernando. Sin embargo, su presencia en Bruselas durante los hechos, su reputación como "envenenadora" cortesana y su origen italiano (los Mancini eran sobrinos del cardenal Mazarino, con tradición de intrigas) la convierten en una figura especulativa en teorías conspirativas. Algunas </w:t>
      </w:r>
      <w:r>
        <w:lastRenderedPageBreak/>
        <w:t xml:space="preserve">narraciones populares sugieren que exiliados del Affaire des </w:t>
      </w:r>
      <w:proofErr w:type="spellStart"/>
      <w:r>
        <w:t>Poisons</w:t>
      </w:r>
      <w:proofErr w:type="spellEnd"/>
      <w:r>
        <w:t xml:space="preserve"> podrían haber formado redes clandestinas en los Países Bajos, actuando como agentes encubiertos (pese a que Olympe era hostil a Luis XIV por su exilio). Su salón en Bruselas era un punto de encuentro para nobles y exiliados, lo que facilitaría contactos con la corte bávara.</w:t>
      </w:r>
    </w:p>
    <w:p w14:paraId="39EA9BA0" w14:textId="77777777" w:rsidR="0087667C" w:rsidRDefault="0087667C" w:rsidP="0087667C">
      <w:r>
        <w:t>- **Contexto**: En 1699 tenía unos 61 años y vivía con relativo bajo perfil, pero su pasado la mantenía bajo sospecha generalizada.</w:t>
      </w:r>
    </w:p>
    <w:p w14:paraId="78611746" w14:textId="77777777" w:rsidR="0087667C" w:rsidRDefault="0087667C" w:rsidP="0087667C"/>
    <w:p w14:paraId="3FC6DA95" w14:textId="77777777" w:rsidR="0087667C" w:rsidRDefault="0087667C" w:rsidP="0087667C">
      <w:r>
        <w:t>#### Otros posibles personajes o redes</w:t>
      </w:r>
    </w:p>
    <w:p w14:paraId="4ABC4D3C" w14:textId="77777777" w:rsidR="0087667C" w:rsidRDefault="0087667C" w:rsidP="0087667C">
      <w:r>
        <w:t xml:space="preserve">- **Exiliados menores del Affaire des </w:t>
      </w:r>
      <w:proofErr w:type="spellStart"/>
      <w:r>
        <w:t>Poisons</w:t>
      </w:r>
      <w:proofErr w:type="spellEnd"/>
      <w:r>
        <w:t xml:space="preserve">**: Algunos implicados secundarios (como nobles o proveedores de venenos) huyeron a los Países Bajos Españoles tras 1682. No hay nombres específicos documentados en Bruselas para 1696-1699 relacionados con este caso. Figuras como la marquesa de </w:t>
      </w:r>
      <w:proofErr w:type="spellStart"/>
      <w:r>
        <w:t>Brinvilliers</w:t>
      </w:r>
      <w:proofErr w:type="spellEnd"/>
      <w:r>
        <w:t xml:space="preserve"> (ejecutada en 1676) o La </w:t>
      </w:r>
      <w:proofErr w:type="spellStart"/>
      <w:r>
        <w:t>Voisin</w:t>
      </w:r>
      <w:proofErr w:type="spellEnd"/>
      <w:r>
        <w:t xml:space="preserve"> (quemada en 1680) ya estaban muertas; sus redes se disolvieron en gran parte.</w:t>
      </w:r>
    </w:p>
    <w:p w14:paraId="34EBDF19" w14:textId="77777777" w:rsidR="0087667C" w:rsidRDefault="0087667C" w:rsidP="0087667C">
      <w:r>
        <w:t>- **Agentes franceses o diplomáticos**: Las sospechas generales apuntan a la "partida francesa" en la corte de Bruselas (embajadores o espías de Luis XIV). No hay nombres concretos con vínculo a venenos. Maximiliano de Baviera tenía consejeros profranceses, pero ninguno asociado a toxicología.</w:t>
      </w:r>
    </w:p>
    <w:p w14:paraId="57DA95ED" w14:textId="77777777" w:rsidR="0087667C" w:rsidRDefault="0087667C" w:rsidP="0087667C">
      <w:r>
        <w:t>- **Envenenadores italianos o proveedores**: La tradición de venenos (como la Aqua Tofana) era italiana, y los Mancini tenían esa herencia cultural. Sin embargo, no se documentan proveedores activos en Bruselas en esa época específicos para este evento.</w:t>
      </w:r>
    </w:p>
    <w:p w14:paraId="77B688C0" w14:textId="77777777" w:rsidR="0087667C" w:rsidRDefault="0087667C" w:rsidP="0087667C"/>
    <w:p w14:paraId="30A91DEB" w14:textId="77777777" w:rsidR="0087667C" w:rsidRDefault="0087667C" w:rsidP="0087667C">
      <w:r>
        <w:t>#### Evaluación histórica</w:t>
      </w:r>
    </w:p>
    <w:p w14:paraId="62ED9710" w14:textId="77777777" w:rsidR="0087667C" w:rsidRDefault="0087667C" w:rsidP="0087667C">
      <w:r>
        <w:t>- **Rumores y motivación francesa**: Fuentes contemporáneas (diplomáticos ingleses, austriacos y españoles) difundieron la idea de envenenamiento para desacreditar a Francia. Autores modernos (como en libros españoles sobre la sucesión) lo presentan a veces como hecho: Luis XIV habría ordenado eliminar al príncipe para forzar la herencia indivisa a Felipe V. La muerte conveniente (justo tras los tratados de partición) alimentó esto.</w:t>
      </w:r>
    </w:p>
    <w:p w14:paraId="4FC920B8" w14:textId="77777777" w:rsidR="0087667C" w:rsidRDefault="0087667C" w:rsidP="0087667C">
      <w:r>
        <w:t>- **Ausencia de pruebas**: Historiadores mayoritarios (basados en crónicas y archivos) concluyen que fue una muerte natural en un niño expuesto a enfermedades cortesanas. No se identificaron sospechosos concretos ni se halló veneno.</w:t>
      </w:r>
    </w:p>
    <w:p w14:paraId="71F91FDD" w14:textId="77777777" w:rsidR="0087667C" w:rsidRDefault="0087667C" w:rsidP="0087667C">
      <w:r>
        <w:t xml:space="preserve">- **Contexto conspirativo**: En obras como las de Rita </w:t>
      </w:r>
      <w:proofErr w:type="spellStart"/>
      <w:r>
        <w:t>Monaldi</w:t>
      </w:r>
      <w:proofErr w:type="spellEnd"/>
      <w:r>
        <w:t xml:space="preserve"> y Francesco </w:t>
      </w:r>
      <w:proofErr w:type="spellStart"/>
      <w:r>
        <w:t>Sorti</w:t>
      </w:r>
      <w:proofErr w:type="spellEnd"/>
      <w:r>
        <w:t xml:space="preserve"> (serie sobre la sucesión española) o narraciones populares, se insinúa una cadena de eliminaciones (herederos habsbúrgicos y bávaros) orquestada por Versalles, posiblemente usando redes de exiliados con conocimiento de venenos.</w:t>
      </w:r>
    </w:p>
    <w:p w14:paraId="7D484623" w14:textId="77777777" w:rsidR="0087667C" w:rsidRDefault="0087667C" w:rsidP="0087667C"/>
    <w:p w14:paraId="338924AF" w14:textId="77777777" w:rsidR="0087667C" w:rsidRDefault="0087667C" w:rsidP="0087667C">
      <w:r>
        <w:t xml:space="preserve">En resumen, la única figura histórica con vínculo documentado a venenos y presencia confirmada en Bruselas desde 1696 es **Olympe Mancini, condesa de </w:t>
      </w:r>
      <w:proofErr w:type="spellStart"/>
      <w:r>
        <w:t>Soissons</w:t>
      </w:r>
      <w:proofErr w:type="spellEnd"/>
      <w:r>
        <w:t xml:space="preserve">**. Podría encajar teóricamente en un complot francés por su </w:t>
      </w:r>
      <w:proofErr w:type="spellStart"/>
      <w:r>
        <w:t>expertise</w:t>
      </w:r>
      <w:proofErr w:type="spellEnd"/>
      <w:r>
        <w:t xml:space="preserve"> pasada y ubicación, aunque sin evidencia directa. No se han identificado otros nombres específicos de "envenenadores" activos en ese lugar y periodo relacionados con el caso. </w:t>
      </w:r>
    </w:p>
    <w:p w14:paraId="385EC890" w14:textId="168626BF" w:rsidR="003B5AAA" w:rsidRDefault="0087667C" w:rsidP="0087667C">
      <w:r>
        <w:t>Para profundizar, recomiendo archivos diplomáticos de Viena o La Haya, o fuentes como las memorias de Saint-</w:t>
      </w:r>
      <w:proofErr w:type="spellStart"/>
      <w:r>
        <w:t>Simon</w:t>
      </w:r>
      <w:proofErr w:type="spellEnd"/>
      <w:r>
        <w:t>.</w:t>
      </w:r>
    </w:p>
    <w:p w14:paraId="7F1FD1E5" w14:textId="77777777" w:rsidR="00C417B2" w:rsidRDefault="00C417B2" w:rsidP="0087667C"/>
    <w:p w14:paraId="3BC02FDA" w14:textId="77777777" w:rsidR="00C417B2" w:rsidRDefault="00C417B2" w:rsidP="0087667C"/>
    <w:p w14:paraId="77E85C1D" w14:textId="77777777" w:rsidR="00C417B2" w:rsidRDefault="00C417B2" w:rsidP="00C417B2">
      <w:r>
        <w:t>### Personajes relacionados con venenos en Bruselas (1696-1699)</w:t>
      </w:r>
    </w:p>
    <w:p w14:paraId="2822AA4A" w14:textId="77777777" w:rsidR="00C417B2" w:rsidRDefault="00C417B2" w:rsidP="00C417B2"/>
    <w:p w14:paraId="54EBA622" w14:textId="77777777" w:rsidR="00C417B2" w:rsidRDefault="00C417B2" w:rsidP="00C417B2">
      <w:r>
        <w:t>#### Figura principal</w:t>
      </w:r>
    </w:p>
    <w:p w14:paraId="6F514A9A" w14:textId="77777777" w:rsidR="00C417B2" w:rsidRDefault="00C417B2" w:rsidP="00C417B2">
      <w:r>
        <w:t xml:space="preserve">- **Olympe Mancini, condesa de </w:t>
      </w:r>
      <w:proofErr w:type="spellStart"/>
      <w:r>
        <w:t>Soissons</w:t>
      </w:r>
      <w:proofErr w:type="spellEnd"/>
      <w:r>
        <w:t xml:space="preserve">** (1638-1708)  </w:t>
      </w:r>
    </w:p>
    <w:p w14:paraId="1CA7F780" w14:textId="77777777" w:rsidR="00C417B2" w:rsidRDefault="00C417B2" w:rsidP="00C417B2">
      <w:r>
        <w:t xml:space="preserve">  - Residencia: Exiliada en Bruselas desde 1680 (Países Bajos Españoles), con residencia estable hasta su muerte en 1708. Viajaba ocasionalmente, pero regresaba regularmente.  </w:t>
      </w:r>
    </w:p>
    <w:p w14:paraId="72CE9F39" w14:textId="77777777" w:rsidR="00C417B2" w:rsidRDefault="00C417B2" w:rsidP="00C417B2">
      <w:r>
        <w:t xml:space="preserve">  - Vínculo con venenos: Principal implicada en el **Affaire des </w:t>
      </w:r>
      <w:proofErr w:type="spellStart"/>
      <w:r>
        <w:t>Poisons</w:t>
      </w:r>
      <w:proofErr w:type="spellEnd"/>
      <w:r>
        <w:t xml:space="preserve">** (1677-1682) en Francia; acusada de adquirir tóxicos de La </w:t>
      </w:r>
      <w:proofErr w:type="spellStart"/>
      <w:r>
        <w:t>Voisin</w:t>
      </w:r>
      <w:proofErr w:type="spellEnd"/>
      <w:r>
        <w:t xml:space="preserve"> para eliminar rivales. Huyó para evitar juicio.  </w:t>
      </w:r>
    </w:p>
    <w:p w14:paraId="7BBF309C" w14:textId="77777777" w:rsidR="00C417B2" w:rsidRDefault="00C417B2" w:rsidP="00C417B2">
      <w:r>
        <w:t xml:space="preserve">  - Implicación en la muerte de José Fernando: Ninguna evidencia directa ni acusación contemporánea. Su presencia y reputación la hacen especulativa en teorías conspirativas, pero era hostil a Luis XIV (causa de su exilio).</w:t>
      </w:r>
    </w:p>
    <w:p w14:paraId="70B8C7E1" w14:textId="77777777" w:rsidR="00C417B2" w:rsidRDefault="00C417B2" w:rsidP="00C417B2"/>
    <w:p w14:paraId="7BD902A3" w14:textId="77777777" w:rsidR="00C417B2" w:rsidRDefault="00C417B2" w:rsidP="00C417B2">
      <w:r>
        <w:t>#### Otros posibles</w:t>
      </w:r>
    </w:p>
    <w:p w14:paraId="4F4729D0" w14:textId="77777777" w:rsidR="00C417B2" w:rsidRDefault="00C417B2" w:rsidP="00C417B2">
      <w:r>
        <w:t xml:space="preserve">- Exiliados secundarios del Affaire des </w:t>
      </w:r>
      <w:proofErr w:type="spellStart"/>
      <w:r>
        <w:t>Poisons</w:t>
      </w:r>
      <w:proofErr w:type="spellEnd"/>
      <w:r>
        <w:t xml:space="preserve">: Algunos nobles o proveedores huyeron a los Países Bajos tras 1682, pero no hay nombres específicos documentados en Bruselas para este periodo.  </w:t>
      </w:r>
    </w:p>
    <w:p w14:paraId="781C017A" w14:textId="77777777" w:rsidR="00C417B2" w:rsidRDefault="00C417B2" w:rsidP="00C417B2">
      <w:r>
        <w:t>- Agentes franceses: Sospechas generales de espías de Luis XIV en la corte de Bruselas (gobernador: Maximiliano II Manuel de Baviera), pero sin vínculos confirmados a venenos.</w:t>
      </w:r>
    </w:p>
    <w:p w14:paraId="65719B41" w14:textId="77777777" w:rsidR="00C417B2" w:rsidRDefault="00C417B2" w:rsidP="00C417B2"/>
    <w:p w14:paraId="525E0938" w14:textId="77777777" w:rsidR="00C417B2" w:rsidRDefault="00C417B2" w:rsidP="00C417B2">
      <w:r>
        <w:lastRenderedPageBreak/>
        <w:t>#### Contexto histórico</w:t>
      </w:r>
    </w:p>
    <w:p w14:paraId="7C9485CD" w14:textId="77777777" w:rsidR="00C417B2" w:rsidRDefault="00C417B2" w:rsidP="00C417B2">
      <w:r>
        <w:t xml:space="preserve">- Muerte de José Fernando (6 feb. 1699): Síntomas (convulsiones, vómitos) generaron rumores de envenenamiento por orden de Luis XIV para eliminar al heredero bávaro y favorecer a Felipe de Anjou.  </w:t>
      </w:r>
    </w:p>
    <w:p w14:paraId="68DE0F38" w14:textId="77777777" w:rsidR="00C417B2" w:rsidRDefault="00C417B2" w:rsidP="00C417B2">
      <w:r>
        <w:t xml:space="preserve">- Evaluación: Historiadores mayoritarios atribuyen muerte natural (posible viruela o infección). Rumores propagados por diplomáticos </w:t>
      </w:r>
      <w:proofErr w:type="spellStart"/>
      <w:r>
        <w:t>anti-franceses</w:t>
      </w:r>
      <w:proofErr w:type="spellEnd"/>
      <w:r>
        <w:t xml:space="preserve">; **sin pruebas ni sospechosos concretos identificados**.  </w:t>
      </w:r>
    </w:p>
    <w:p w14:paraId="29FABA07" w14:textId="77777777" w:rsidR="00C417B2" w:rsidRDefault="00C417B2" w:rsidP="00C417B2"/>
    <w:p w14:paraId="1A5D94E7" w14:textId="76CC249B" w:rsidR="00C417B2" w:rsidRDefault="00C417B2" w:rsidP="00C417B2">
      <w:r>
        <w:t>En resumen, **solo Olympe Mancini** tiene vínculo histórico documentado con venenos y presencia confirmada en Bruselas. No hay evidencia de implicación en el caso.</w:t>
      </w:r>
    </w:p>
    <w:p w14:paraId="10A5587B" w14:textId="77777777" w:rsidR="00C417B2" w:rsidRDefault="00C417B2">
      <w:r>
        <w:br w:type="page"/>
      </w:r>
    </w:p>
    <w:p w14:paraId="20496C6F" w14:textId="77777777" w:rsidR="00C417B2" w:rsidRPr="00C417B2" w:rsidRDefault="00C417B2" w:rsidP="00C417B2">
      <w:r w:rsidRPr="00C417B2">
        <w:lastRenderedPageBreak/>
        <w:t xml:space="preserve">Entendido, gracias por la observación. A </w:t>
      </w:r>
      <w:proofErr w:type="spellStart"/>
      <w:r w:rsidRPr="00C417B2">
        <w:t>part</w:t>
      </w:r>
      <w:proofErr w:type="spellEnd"/>
      <w:r w:rsidRPr="00C417B2">
        <w:t xml:space="preserve"> de ahora, en total un castellano correcto, claro y natural, sin mezclas ni anglicismos innecesarios. Evitar término cualquier lugar en "spanglish" y me </w:t>
      </w:r>
      <w:proofErr w:type="spellStart"/>
      <w:r w:rsidRPr="00C417B2">
        <w:t>chlororé</w:t>
      </w:r>
      <w:proofErr w:type="spellEnd"/>
      <w:r w:rsidRPr="00C417B2">
        <w:t xml:space="preserve"> de que las respuestas sean de </w:t>
      </w:r>
      <w:proofErr w:type="spellStart"/>
      <w:r w:rsidRPr="00C417B2">
        <w:t>easys</w:t>
      </w:r>
      <w:proofErr w:type="spellEnd"/>
      <w:r w:rsidRPr="00C417B2">
        <w:t xml:space="preserve"> de. Ender</w:t>
      </w:r>
    </w:p>
    <w:p w14:paraId="3BD1A6EE" w14:textId="77777777" w:rsidR="00C417B2" w:rsidRPr="00C417B2" w:rsidRDefault="00C417B2" w:rsidP="00C417B2">
      <w:r w:rsidRPr="00C417B2">
        <w:t xml:space="preserve">Si </w:t>
      </w:r>
      <w:proofErr w:type="spellStart"/>
      <w:r w:rsidRPr="00C417B2">
        <w:t>contrases</w:t>
      </w:r>
      <w:proofErr w:type="spellEnd"/>
      <w:r w:rsidRPr="00C417B2">
        <w:t xml:space="preserve"> que continuación con el tema anterior (personajes venenos </w:t>
      </w:r>
      <w:proofErr w:type="spellStart"/>
      <w:r w:rsidRPr="00C417B2">
        <w:t>cons</w:t>
      </w:r>
      <w:proofErr w:type="spellEnd"/>
      <w:r w:rsidRPr="00C417B2">
        <w:t xml:space="preserve"> en Bruselas, el testamento de Carlos II, la muerte de José Fernando de Baviera otros u aspectos de la precisión su español), solo dímelo y loé con mayor y </w:t>
      </w:r>
      <w:proofErr w:type="spellStart"/>
      <w:r w:rsidRPr="00C417B2">
        <w:t>lamentera</w:t>
      </w:r>
      <w:proofErr w:type="spellEnd"/>
      <w:r w:rsidRPr="00C417B2">
        <w:t xml:space="preserve"> en español estándar peninsular.</w:t>
      </w:r>
    </w:p>
    <w:p w14:paraId="45696172" w14:textId="77777777" w:rsidR="00C417B2" w:rsidRDefault="00C417B2" w:rsidP="00C417B2"/>
    <w:p w14:paraId="48098070" w14:textId="77777777" w:rsidR="00C417B2" w:rsidRPr="00C417B2" w:rsidRDefault="00C417B2" w:rsidP="00C417B2">
      <w:r w:rsidRPr="00C417B2">
        <w:t xml:space="preserve">Entendido, gracias por la observación. A </w:t>
      </w:r>
      <w:proofErr w:type="spellStart"/>
      <w:r w:rsidRPr="00C417B2">
        <w:t>part</w:t>
      </w:r>
      <w:proofErr w:type="spellEnd"/>
      <w:r w:rsidRPr="00C417B2">
        <w:t xml:space="preserve"> de ahora, en total un castellano correcto, claro y natural, sin mezclas ni anglicismos innecesarios. Evitar término cualquier lugar en "spanglish" y me </w:t>
      </w:r>
      <w:proofErr w:type="spellStart"/>
      <w:r w:rsidRPr="00C417B2">
        <w:t>chlororé</w:t>
      </w:r>
      <w:proofErr w:type="spellEnd"/>
      <w:r w:rsidRPr="00C417B2">
        <w:t xml:space="preserve"> de que las respuestas sean de </w:t>
      </w:r>
      <w:proofErr w:type="spellStart"/>
      <w:r w:rsidRPr="00C417B2">
        <w:t>easys</w:t>
      </w:r>
      <w:proofErr w:type="spellEnd"/>
      <w:r w:rsidRPr="00C417B2">
        <w:t xml:space="preserve"> de. Ender</w:t>
      </w:r>
    </w:p>
    <w:p w14:paraId="70261E14" w14:textId="77777777" w:rsidR="00C417B2" w:rsidRDefault="00C417B2" w:rsidP="00C417B2"/>
    <w:p w14:paraId="640C3BA7" w14:textId="6438AFC9" w:rsidR="00C417B2" w:rsidRPr="00C417B2" w:rsidRDefault="00C417B2" w:rsidP="00C417B2">
      <w:r w:rsidRPr="00C417B2">
        <w:t>Entendido, gracias por la observación. A part</w:t>
      </w:r>
      <w:r>
        <w:t>ir</w:t>
      </w:r>
      <w:r w:rsidRPr="00C417B2">
        <w:t xml:space="preserve"> de ahora, </w:t>
      </w:r>
      <w:r>
        <w:t xml:space="preserve">lo haré </w:t>
      </w:r>
      <w:r w:rsidRPr="00C417B2">
        <w:t>en un castellano total</w:t>
      </w:r>
      <w:r>
        <w:t>mente</w:t>
      </w:r>
      <w:r w:rsidRPr="00C417B2">
        <w:t xml:space="preserve"> </w:t>
      </w:r>
      <w:r w:rsidRPr="00C417B2">
        <w:t>correcto, claro y natural, sin mezclas ni anglicismos innecesarios. Evitar</w:t>
      </w:r>
      <w:r>
        <w:t>é</w:t>
      </w:r>
      <w:r w:rsidRPr="00C417B2">
        <w:t xml:space="preserve"> cualquier</w:t>
      </w:r>
      <w:r w:rsidRPr="00C417B2">
        <w:t xml:space="preserve"> </w:t>
      </w:r>
      <w:r w:rsidRPr="00C417B2">
        <w:t xml:space="preserve">término en "spanglish" y </w:t>
      </w:r>
      <w:r>
        <w:t xml:space="preserve">me aseguraré </w:t>
      </w:r>
      <w:r w:rsidRPr="00C417B2">
        <w:t xml:space="preserve">de que las respuestas sean de </w:t>
      </w:r>
      <w:r>
        <w:t xml:space="preserve">fáciles </w:t>
      </w:r>
      <w:r w:rsidRPr="00C417B2">
        <w:t xml:space="preserve">de. </w:t>
      </w:r>
      <w:r>
        <w:t>ente</w:t>
      </w:r>
      <w:r w:rsidRPr="00C417B2">
        <w:t>nder</w:t>
      </w:r>
    </w:p>
    <w:p w14:paraId="44596F80" w14:textId="0F98F890" w:rsidR="00C417B2" w:rsidRPr="00C417B2" w:rsidRDefault="00C417B2" w:rsidP="00C417B2">
      <w:r w:rsidRPr="00C417B2">
        <w:t xml:space="preserve">Si </w:t>
      </w:r>
      <w:proofErr w:type="spellStart"/>
      <w:r w:rsidRPr="00C417B2">
        <w:t>contrases</w:t>
      </w:r>
      <w:proofErr w:type="spellEnd"/>
      <w:r w:rsidRPr="00C417B2">
        <w:t xml:space="preserve"> que continuación con el tema anterior (personajes venenos </w:t>
      </w:r>
      <w:proofErr w:type="spellStart"/>
      <w:r w:rsidRPr="00C417B2">
        <w:t>cons</w:t>
      </w:r>
      <w:proofErr w:type="spellEnd"/>
      <w:r w:rsidRPr="00C417B2">
        <w:t xml:space="preserve"> en Bruselas, el testamento de Carlos II, la muerte de José Fernando de Baviera otros u aspectos de la precisión su español), solo dímelo y lo</w:t>
      </w:r>
      <w:r>
        <w:t xml:space="preserve"> har</w:t>
      </w:r>
      <w:r w:rsidRPr="00C417B2">
        <w:t xml:space="preserve">é con mayor y </w:t>
      </w:r>
      <w:proofErr w:type="spellStart"/>
      <w:r w:rsidRPr="00C417B2">
        <w:t>lamentera</w:t>
      </w:r>
      <w:proofErr w:type="spellEnd"/>
      <w:r w:rsidRPr="00C417B2">
        <w:t xml:space="preserve"> en español estándar peninsular.</w:t>
      </w:r>
    </w:p>
    <w:p w14:paraId="6188F909" w14:textId="77777777" w:rsidR="00C417B2" w:rsidRDefault="00C417B2" w:rsidP="00C417B2"/>
    <w:sectPr w:rsidR="00C417B2" w:rsidSect="00FD733D">
      <w:footerReference w:type="default" r:id="rId6"/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EE3A" w14:textId="77777777" w:rsidR="004E6D06" w:rsidRDefault="004E6D06" w:rsidP="0087667C">
      <w:pPr>
        <w:spacing w:after="0" w:line="240" w:lineRule="auto"/>
      </w:pPr>
      <w:r>
        <w:separator/>
      </w:r>
    </w:p>
  </w:endnote>
  <w:endnote w:type="continuationSeparator" w:id="0">
    <w:p w14:paraId="6DE4C0A4" w14:textId="77777777" w:rsidR="004E6D06" w:rsidRDefault="004E6D06" w:rsidP="00876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74292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076F35" w14:textId="0701DF74" w:rsidR="0087667C" w:rsidRDefault="0087667C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B9F71C3" w14:textId="77777777" w:rsidR="0087667C" w:rsidRDefault="008766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D603" w14:textId="77777777" w:rsidR="004E6D06" w:rsidRDefault="004E6D06" w:rsidP="0087667C">
      <w:pPr>
        <w:spacing w:after="0" w:line="240" w:lineRule="auto"/>
      </w:pPr>
      <w:r>
        <w:separator/>
      </w:r>
    </w:p>
  </w:footnote>
  <w:footnote w:type="continuationSeparator" w:id="0">
    <w:p w14:paraId="2581ED82" w14:textId="77777777" w:rsidR="004E6D06" w:rsidRDefault="004E6D06" w:rsidP="008766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7C"/>
    <w:rsid w:val="003B5AAA"/>
    <w:rsid w:val="004E6D06"/>
    <w:rsid w:val="007C3811"/>
    <w:rsid w:val="0087667C"/>
    <w:rsid w:val="008F4827"/>
    <w:rsid w:val="00997FAD"/>
    <w:rsid w:val="00C417B2"/>
    <w:rsid w:val="00D86793"/>
    <w:rsid w:val="00EA7F85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A9485"/>
  <w15:chartTrackingRefBased/>
  <w15:docId w15:val="{3D9273A0-2DA6-4EBF-A3B0-5C5FAAF0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6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6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6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6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6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6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6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66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667C"/>
  </w:style>
  <w:style w:type="paragraph" w:styleId="Piedepgina">
    <w:name w:val="footer"/>
    <w:basedOn w:val="Normal"/>
    <w:link w:val="PiedepginaCar"/>
    <w:uiPriority w:val="99"/>
    <w:unhideWhenUsed/>
    <w:rsid w:val="008766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6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1340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2</cp:revision>
  <dcterms:created xsi:type="dcterms:W3CDTF">2025-12-17T08:51:00Z</dcterms:created>
  <dcterms:modified xsi:type="dcterms:W3CDTF">2025-12-17T17:59:00Z</dcterms:modified>
</cp:coreProperties>
</file>