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AD75" w14:textId="77777777" w:rsidR="00E52901" w:rsidRPr="00BD7056" w:rsidRDefault="00E52901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La prosopografía de </w:t>
      </w:r>
      <w:r w:rsidRPr="00BD7056">
        <w:rPr>
          <w:rFonts w:ascii="Garamond" w:hAnsi="Garamond"/>
          <w:b/>
          <w:bCs/>
        </w:rPr>
        <w:t>Carlos II de España</w:t>
      </w:r>
      <w:r w:rsidRPr="00BD7056">
        <w:rPr>
          <w:rFonts w:ascii="Garamond" w:hAnsi="Garamond"/>
        </w:rPr>
        <w:t>, apodado "el Hechizado", revela una apariencia física profundamente marcada por la </w:t>
      </w:r>
      <w:r w:rsidRPr="00BD7056">
        <w:rPr>
          <w:rFonts w:ascii="Garamond" w:hAnsi="Garamond"/>
          <w:b/>
          <w:bCs/>
        </w:rPr>
        <w:t>consanguinidad</w:t>
      </w:r>
      <w:r w:rsidRPr="00BD7056">
        <w:rPr>
          <w:rFonts w:ascii="Garamond" w:hAnsi="Garamond"/>
        </w:rPr>
        <w:t> de la dinastía Habsburgo. Sus rasgos más distintivos incluyen: </w:t>
      </w:r>
    </w:p>
    <w:p w14:paraId="05D6174E" w14:textId="77777777" w:rsidR="00E52901" w:rsidRPr="00BD7056" w:rsidRDefault="00E52901" w:rsidP="00BD7056">
      <w:pPr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  <w:b/>
          <w:bCs/>
        </w:rPr>
        <w:t>Rostro y mandíbula:</w:t>
      </w:r>
      <w:r w:rsidRPr="00BD7056">
        <w:rPr>
          <w:rFonts w:ascii="Garamond" w:hAnsi="Garamond"/>
        </w:rPr>
        <w:t> Presentaba un </w:t>
      </w:r>
      <w:r w:rsidRPr="00BD7056">
        <w:rPr>
          <w:rFonts w:ascii="Garamond" w:hAnsi="Garamond"/>
          <w:b/>
          <w:bCs/>
        </w:rPr>
        <w:t xml:space="preserve">prognatismo </w:t>
      </w:r>
      <w:proofErr w:type="spellStart"/>
      <w:r w:rsidRPr="00BD7056">
        <w:rPr>
          <w:rFonts w:ascii="Garamond" w:hAnsi="Garamond"/>
          <w:b/>
          <w:bCs/>
        </w:rPr>
        <w:t>mandíbular</w:t>
      </w:r>
      <w:proofErr w:type="spellEnd"/>
      <w:r w:rsidRPr="00BD7056">
        <w:rPr>
          <w:rFonts w:ascii="Garamond" w:hAnsi="Garamond"/>
        </w:rPr>
        <w:t> extremo (la famosa "mandíbula de Habsburgo"), con el maxilar inferior muy prominente y un labio inferior grueso y caído. Su lengua era inusualmente grande (macroglosia), lo que le dificultaba el habla y provocaba que babeara con frecuencia.</w:t>
      </w:r>
    </w:p>
    <w:p w14:paraId="0148CEDA" w14:textId="77777777" w:rsidR="00E52901" w:rsidRPr="00BD7056" w:rsidRDefault="00E52901" w:rsidP="00BD7056">
      <w:pPr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  <w:b/>
          <w:bCs/>
        </w:rPr>
        <w:t>Complexión física:</w:t>
      </w:r>
      <w:r w:rsidRPr="00BD7056">
        <w:rPr>
          <w:rFonts w:ascii="Garamond" w:hAnsi="Garamond"/>
        </w:rPr>
        <w:t> Era de estatura baja, constitución débil y </w:t>
      </w:r>
      <w:r w:rsidRPr="00BD7056">
        <w:rPr>
          <w:rFonts w:ascii="Garamond" w:hAnsi="Garamond"/>
          <w:b/>
          <w:bCs/>
        </w:rPr>
        <w:t>frágil</w:t>
      </w:r>
      <w:r w:rsidRPr="00BD7056">
        <w:rPr>
          <w:rFonts w:ascii="Garamond" w:hAnsi="Garamond"/>
        </w:rPr>
        <w:t>, con un pecho estrecho y piernas delgadas que le dificultaban caminar sin ayuda hasta una edad avanzada. Su piel solía describirse como pálida o de aspecto enfermizo.</w:t>
      </w:r>
    </w:p>
    <w:p w14:paraId="6134278F" w14:textId="77777777" w:rsidR="00E52901" w:rsidRPr="00BD7056" w:rsidRDefault="00E52901" w:rsidP="00BD7056">
      <w:pPr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  <w:b/>
          <w:bCs/>
        </w:rPr>
        <w:t>Rasgos craneales:</w:t>
      </w:r>
      <w:r w:rsidRPr="00BD7056">
        <w:rPr>
          <w:rFonts w:ascii="Garamond" w:hAnsi="Garamond"/>
        </w:rPr>
        <w:t> Tenía un cráneo alargado y, según descripciones contemporáneas, ojos algo saltones y una mirada que algunos cronistas calificaron de melancólica o ausente.</w:t>
      </w:r>
    </w:p>
    <w:p w14:paraId="28DE72CB" w14:textId="77777777" w:rsidR="00E52901" w:rsidRPr="00BD7056" w:rsidRDefault="00E52901" w:rsidP="00BD7056">
      <w:pPr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  <w:b/>
          <w:bCs/>
        </w:rPr>
        <w:t>Estado de salud general:</w:t>
      </w:r>
      <w:r w:rsidRPr="00BD7056">
        <w:rPr>
          <w:rFonts w:ascii="Garamond" w:hAnsi="Garamond"/>
        </w:rPr>
        <w:t> Padecía múltiples patologías, incluyendo epilepsia, problemas digestivos crónicos y un desarrollo físico y mental muy lento. Su autopsia reveló órganos internos atrofiados o gravemente dañados, como un corazón extremadamente pequeño. </w:t>
      </w:r>
    </w:p>
    <w:p w14:paraId="78E68C84" w14:textId="77777777" w:rsidR="00E52901" w:rsidRPr="00BD7056" w:rsidRDefault="00E52901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A pesar de su imagen de decadencia, historiadores modernos en la </w:t>
      </w:r>
      <w:hyperlink r:id="rId7" w:tgtFrame="_blank" w:history="1">
        <w:r w:rsidRPr="00BD7056">
          <w:rPr>
            <w:rStyle w:val="Hipervnculo"/>
            <w:rFonts w:ascii="Garamond" w:hAnsi="Garamond"/>
          </w:rPr>
          <w:t>Real Academia de la Historia</w:t>
        </w:r>
      </w:hyperlink>
      <w:r w:rsidRPr="00BD7056">
        <w:rPr>
          <w:rFonts w:ascii="Garamond" w:hAnsi="Garamond"/>
        </w:rPr>
        <w:t> y otros análisis en SciELO matizan que su carácter era </w:t>
      </w:r>
      <w:r w:rsidRPr="00BD7056">
        <w:rPr>
          <w:rFonts w:ascii="Garamond" w:hAnsi="Garamond"/>
          <w:b/>
          <w:bCs/>
        </w:rPr>
        <w:t>bondadoso, piadoso</w:t>
      </w:r>
      <w:r w:rsidRPr="00BD7056">
        <w:rPr>
          <w:rFonts w:ascii="Garamond" w:hAnsi="Garamond"/>
        </w:rPr>
        <w:t> y bienintencionado, aunque siempre limitado por su precaria salud. </w:t>
      </w:r>
    </w:p>
    <w:p w14:paraId="55F3B6F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 **Prosopografía Detallada de Carlos II de España (1661–</w:t>
      </w:r>
      <w:proofErr w:type="gramStart"/>
      <w:r w:rsidRPr="00BD7056">
        <w:rPr>
          <w:rFonts w:ascii="Garamond" w:hAnsi="Garamond"/>
        </w:rPr>
        <w:t>1700)*</w:t>
      </w:r>
      <w:proofErr w:type="gramEnd"/>
      <w:r w:rsidRPr="00BD7056">
        <w:rPr>
          <w:rFonts w:ascii="Garamond" w:hAnsi="Garamond"/>
        </w:rPr>
        <w:t>*</w:t>
      </w:r>
    </w:p>
    <w:p w14:paraId="01BF533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23E90A6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---</w:t>
      </w:r>
    </w:p>
    <w:p w14:paraId="3E40D09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578ED9B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 **I. DATOS VITALES**</w:t>
      </w:r>
    </w:p>
    <w:p w14:paraId="1E4234E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**Nombre </w:t>
      </w:r>
      <w:proofErr w:type="gramStart"/>
      <w:r w:rsidRPr="00BD7056">
        <w:rPr>
          <w:rFonts w:ascii="Garamond" w:hAnsi="Garamond"/>
        </w:rPr>
        <w:t>completo:*</w:t>
      </w:r>
      <w:proofErr w:type="gramEnd"/>
      <w:r w:rsidRPr="00BD7056">
        <w:rPr>
          <w:rFonts w:ascii="Garamond" w:hAnsi="Garamond"/>
        </w:rPr>
        <w:t xml:space="preserve">* Carlos José de Habsburgo  </w:t>
      </w:r>
    </w:p>
    <w:p w14:paraId="6CF4D82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Títulos:*</w:t>
      </w:r>
      <w:proofErr w:type="gramEnd"/>
      <w:r w:rsidRPr="00BD7056">
        <w:rPr>
          <w:rFonts w:ascii="Garamond" w:hAnsi="Garamond"/>
        </w:rPr>
        <w:t xml:space="preserve">*  </w:t>
      </w:r>
    </w:p>
    <w:p w14:paraId="08149C7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Rey de España, Nápoles, Sicilia y Cerdeña (1665–1700)  </w:t>
      </w:r>
    </w:p>
    <w:p w14:paraId="19C374D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Rey de Portugal (1665–1668, durante la unión ibérica)  </w:t>
      </w:r>
    </w:p>
    <w:p w14:paraId="7A6666B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Duque de Milán, Borgoña, Brabante, etc.  </w:t>
      </w:r>
    </w:p>
    <w:p w14:paraId="457FA26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Soberano de los Países Bajos Españoles  </w:t>
      </w:r>
    </w:p>
    <w:p w14:paraId="4C85D8C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Rey de las Indias Orientales y Occidentales  </w:t>
      </w:r>
    </w:p>
    <w:p w14:paraId="45DA2D3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Nacimiento:*</w:t>
      </w:r>
      <w:proofErr w:type="gramEnd"/>
      <w:r w:rsidRPr="00BD7056">
        <w:rPr>
          <w:rFonts w:ascii="Garamond" w:hAnsi="Garamond"/>
        </w:rPr>
        <w:t xml:space="preserve">* 6 de noviembre de 1661, Madrid (Real Alcázar)  </w:t>
      </w:r>
    </w:p>
    <w:p w14:paraId="5E04CE6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Muerte:*</w:t>
      </w:r>
      <w:proofErr w:type="gramEnd"/>
      <w:r w:rsidRPr="00BD7056">
        <w:rPr>
          <w:rFonts w:ascii="Garamond" w:hAnsi="Garamond"/>
        </w:rPr>
        <w:t xml:space="preserve">* 1 de noviembre de 1700, Madrid (Real Alcázar)  </w:t>
      </w:r>
    </w:p>
    <w:p w14:paraId="796E125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**Causa de </w:t>
      </w:r>
      <w:proofErr w:type="gramStart"/>
      <w:r w:rsidRPr="00BD7056">
        <w:rPr>
          <w:rFonts w:ascii="Garamond" w:hAnsi="Garamond"/>
        </w:rPr>
        <w:t>muerte:*</w:t>
      </w:r>
      <w:proofErr w:type="gramEnd"/>
      <w:r w:rsidRPr="00BD7056">
        <w:rPr>
          <w:rFonts w:ascii="Garamond" w:hAnsi="Garamond"/>
        </w:rPr>
        <w:t xml:space="preserve">* Múltiples complicaciones orgánicas (uremia, infecciones, posible síndrome de Klinefelter según estudios modernos)  </w:t>
      </w:r>
    </w:p>
    <w:p w14:paraId="0EC268C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Enterramiento:*</w:t>
      </w:r>
      <w:proofErr w:type="gramEnd"/>
      <w:r w:rsidRPr="00BD7056">
        <w:rPr>
          <w:rFonts w:ascii="Garamond" w:hAnsi="Garamond"/>
        </w:rPr>
        <w:t>* Panteón de los Reyes, Monasterio de El Escorial</w:t>
      </w:r>
    </w:p>
    <w:p w14:paraId="533B482E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244CE00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---</w:t>
      </w:r>
    </w:p>
    <w:p w14:paraId="343B6C2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66B0AE1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 **II. ASCENDENCIA Y ENDOGAMIA**</w:t>
      </w:r>
    </w:p>
    <w:p w14:paraId="2313A2B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### **Árbol genealógico reducido (coeficiente de consanguinidad altísimo</w:t>
      </w:r>
      <w:proofErr w:type="gramStart"/>
      <w:r w:rsidRPr="00BD7056">
        <w:rPr>
          <w:rFonts w:ascii="Garamond" w:hAnsi="Garamond"/>
        </w:rPr>
        <w:t>):*</w:t>
      </w:r>
      <w:proofErr w:type="gramEnd"/>
      <w:r w:rsidRPr="00BD7056">
        <w:rPr>
          <w:rFonts w:ascii="Garamond" w:hAnsi="Garamond"/>
        </w:rPr>
        <w:t>*</w:t>
      </w:r>
    </w:p>
    <w:p w14:paraId="435611B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lastRenderedPageBreak/>
        <w:t>```</w:t>
      </w:r>
    </w:p>
    <w:p w14:paraId="57F234AE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Padres:</w:t>
      </w:r>
    </w:p>
    <w:p w14:paraId="01DBCE9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Felipe IV de España (1605–1665) x Mariana de Austria (1634–1696)</w:t>
      </w:r>
    </w:p>
    <w:p w14:paraId="6890D5A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1761A2B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Abuelos paternos:</w:t>
      </w:r>
    </w:p>
    <w:p w14:paraId="17AB392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Felipe III de España x Margarita de Austria</w:t>
      </w:r>
    </w:p>
    <w:p w14:paraId="1EBCEA6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507A668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Abuelos maternos:</w:t>
      </w:r>
    </w:p>
    <w:p w14:paraId="02BD6BA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Fernando III de Habsburgo x María Ana de España  </w:t>
      </w:r>
    </w:p>
    <w:p w14:paraId="37D8524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(Nota: Mariana de Austria era sobrina de Felipe IV, prima hermana y sobrina a la vez)</w:t>
      </w:r>
    </w:p>
    <w:p w14:paraId="00D9D28E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3F6F4AC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Bisabuelos repetidos en múltiples líneas:</w:t>
      </w:r>
    </w:p>
    <w:p w14:paraId="2B93BEA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Carlos V </w:t>
      </w:r>
      <w:r w:rsidRPr="00BD7056">
        <w:rPr>
          <w:rFonts w:ascii="Garamond" w:hAnsi="Garamond" w:cs="Times New Roman"/>
        </w:rPr>
        <w:t>→</w:t>
      </w:r>
      <w:r w:rsidRPr="00BD7056">
        <w:rPr>
          <w:rFonts w:ascii="Garamond" w:hAnsi="Garamond"/>
        </w:rPr>
        <w:t xml:space="preserve"> aparece 14 veces en su </w:t>
      </w:r>
      <w:r w:rsidRPr="00BD7056">
        <w:rPr>
          <w:rFonts w:ascii="Garamond" w:hAnsi="Garamond" w:cs="Adobe Garamond Pro"/>
        </w:rPr>
        <w:t>á</w:t>
      </w:r>
      <w:r w:rsidRPr="00BD7056">
        <w:rPr>
          <w:rFonts w:ascii="Garamond" w:hAnsi="Garamond"/>
        </w:rPr>
        <w:t>rbol geneal</w:t>
      </w:r>
      <w:r w:rsidRPr="00BD7056">
        <w:rPr>
          <w:rFonts w:ascii="Garamond" w:hAnsi="Garamond" w:cs="Adobe Garamond Pro"/>
        </w:rPr>
        <w:t>ó</w:t>
      </w:r>
      <w:r w:rsidRPr="00BD7056">
        <w:rPr>
          <w:rFonts w:ascii="Garamond" w:hAnsi="Garamond"/>
        </w:rPr>
        <w:t>gico hasta 8 generaciones</w:t>
      </w:r>
    </w:p>
    <w:p w14:paraId="5E06119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Juana la Loca </w:t>
      </w:r>
      <w:r w:rsidRPr="00BD7056">
        <w:rPr>
          <w:rFonts w:ascii="Garamond" w:hAnsi="Garamond" w:cs="Times New Roman"/>
        </w:rPr>
        <w:t>→</w:t>
      </w:r>
      <w:r w:rsidRPr="00BD7056">
        <w:rPr>
          <w:rFonts w:ascii="Garamond" w:hAnsi="Garamond"/>
        </w:rPr>
        <w:t xml:space="preserve"> 8 veces</w:t>
      </w:r>
    </w:p>
    <w:p w14:paraId="29DDB08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Felipe I el Hermoso </w:t>
      </w:r>
      <w:r w:rsidRPr="00BD7056">
        <w:rPr>
          <w:rFonts w:ascii="Garamond" w:hAnsi="Garamond" w:cs="Times New Roman"/>
        </w:rPr>
        <w:t>→</w:t>
      </w:r>
      <w:r w:rsidRPr="00BD7056">
        <w:rPr>
          <w:rFonts w:ascii="Garamond" w:hAnsi="Garamond"/>
        </w:rPr>
        <w:t xml:space="preserve"> 10 veces</w:t>
      </w:r>
    </w:p>
    <w:p w14:paraId="38CA5A1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```</w:t>
      </w:r>
    </w:p>
    <w:p w14:paraId="45EE70B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67678A0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**Coeficiente de consanguinidad </w:t>
      </w:r>
      <w:proofErr w:type="gramStart"/>
      <w:r w:rsidRPr="00BD7056">
        <w:rPr>
          <w:rFonts w:ascii="Garamond" w:hAnsi="Garamond"/>
        </w:rPr>
        <w:t>estimado:*</w:t>
      </w:r>
      <w:proofErr w:type="gramEnd"/>
      <w:r w:rsidRPr="00BD7056">
        <w:rPr>
          <w:rFonts w:ascii="Garamond" w:hAnsi="Garamond"/>
        </w:rPr>
        <w:t xml:space="preserve">* 0.254 (superior al de un hermano de padres comunes)  </w:t>
      </w:r>
    </w:p>
    <w:p w14:paraId="0A261A9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**Número de antepasados únicos en 8 </w:t>
      </w:r>
      <w:proofErr w:type="gramStart"/>
      <w:r w:rsidRPr="00BD7056">
        <w:rPr>
          <w:rFonts w:ascii="Garamond" w:hAnsi="Garamond"/>
        </w:rPr>
        <w:t>generaciones:*</w:t>
      </w:r>
      <w:proofErr w:type="gramEnd"/>
      <w:r w:rsidRPr="00BD7056">
        <w:rPr>
          <w:rFonts w:ascii="Garamond" w:hAnsi="Garamond"/>
        </w:rPr>
        <w:t>* 34 (en lugar de los 256 normales)</w:t>
      </w:r>
    </w:p>
    <w:p w14:paraId="72D5C3C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0DC39AD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---</w:t>
      </w:r>
    </w:p>
    <w:p w14:paraId="2418920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5DA6376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## **III. CARACTERÍSTICAS FÍSICAS Y DE SALUD**  </w:t>
      </w:r>
    </w:p>
    <w:p w14:paraId="4CA7909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### **Aspecto (descrito por contemporáneos</w:t>
      </w:r>
      <w:proofErr w:type="gramStart"/>
      <w:r w:rsidRPr="00BD7056">
        <w:rPr>
          <w:rFonts w:ascii="Garamond" w:hAnsi="Garamond"/>
        </w:rPr>
        <w:t>):*</w:t>
      </w:r>
      <w:proofErr w:type="gramEnd"/>
      <w:r w:rsidRPr="00BD7056">
        <w:rPr>
          <w:rFonts w:ascii="Garamond" w:hAnsi="Garamond"/>
        </w:rPr>
        <w:t>*</w:t>
      </w:r>
    </w:p>
    <w:p w14:paraId="53625FC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Estatura:*</w:t>
      </w:r>
      <w:proofErr w:type="gramEnd"/>
      <w:r w:rsidRPr="00BD7056">
        <w:rPr>
          <w:rFonts w:ascii="Garamond" w:hAnsi="Garamond"/>
        </w:rPr>
        <w:t xml:space="preserve">* 1,92 m (inusualmente alto para la época)  </w:t>
      </w:r>
    </w:p>
    <w:p w14:paraId="0000F8E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Complexión:*</w:t>
      </w:r>
      <w:proofErr w:type="gramEnd"/>
      <w:r w:rsidRPr="00BD7056">
        <w:rPr>
          <w:rFonts w:ascii="Garamond" w:hAnsi="Garamond"/>
        </w:rPr>
        <w:t xml:space="preserve">* Delgado, extremidades largas y desproporcionadas  </w:t>
      </w:r>
    </w:p>
    <w:p w14:paraId="4058DAA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Cabeza:*</w:t>
      </w:r>
      <w:proofErr w:type="gramEnd"/>
      <w:r w:rsidRPr="00BD7056">
        <w:rPr>
          <w:rFonts w:ascii="Garamond" w:hAnsi="Garamond"/>
        </w:rPr>
        <w:t xml:space="preserve">* Macrocefalia relativa, mandíbula prominente (prognatismo </w:t>
      </w:r>
      <w:proofErr w:type="spellStart"/>
      <w:r w:rsidRPr="00BD7056">
        <w:rPr>
          <w:rFonts w:ascii="Garamond" w:hAnsi="Garamond"/>
        </w:rPr>
        <w:t>habsburgo</w:t>
      </w:r>
      <w:proofErr w:type="spellEnd"/>
      <w:r w:rsidRPr="00BD7056">
        <w:rPr>
          <w:rFonts w:ascii="Garamond" w:hAnsi="Garamond"/>
        </w:rPr>
        <w:t xml:space="preserve">)  </w:t>
      </w:r>
    </w:p>
    <w:p w14:paraId="2BC92FB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Lengua:*</w:t>
      </w:r>
      <w:proofErr w:type="gramEnd"/>
      <w:r w:rsidRPr="00BD7056">
        <w:rPr>
          <w:rFonts w:ascii="Garamond" w:hAnsi="Garamond"/>
        </w:rPr>
        <w:t xml:space="preserve">* Tan grande que apenas podía hablar con claridad  </w:t>
      </w:r>
    </w:p>
    <w:p w14:paraId="6038F25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Saliva:*</w:t>
      </w:r>
      <w:proofErr w:type="gramEnd"/>
      <w:r w:rsidRPr="00BD7056">
        <w:rPr>
          <w:rFonts w:ascii="Garamond" w:hAnsi="Garamond"/>
        </w:rPr>
        <w:t xml:space="preserve">* Babeo constante  </w:t>
      </w:r>
    </w:p>
    <w:p w14:paraId="03B5286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Ojos:*</w:t>
      </w:r>
      <w:proofErr w:type="gramEnd"/>
      <w:r w:rsidRPr="00BD7056">
        <w:rPr>
          <w:rFonts w:ascii="Garamond" w:hAnsi="Garamond"/>
        </w:rPr>
        <w:t xml:space="preserve">* Mirada ausente, estrabismo  </w:t>
      </w:r>
    </w:p>
    <w:p w14:paraId="57DADCF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Dentadura:*</w:t>
      </w:r>
      <w:proofErr w:type="gramEnd"/>
      <w:r w:rsidRPr="00BD7056">
        <w:rPr>
          <w:rFonts w:ascii="Garamond" w:hAnsi="Garamond"/>
        </w:rPr>
        <w:t xml:space="preserve">* Grave maloclusión, imposibilidad de masticar alimentos sólidos  </w:t>
      </w:r>
    </w:p>
    <w:p w14:paraId="025CC84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Marcha:*</w:t>
      </w:r>
      <w:proofErr w:type="gramEnd"/>
      <w:r w:rsidRPr="00BD7056">
        <w:rPr>
          <w:rFonts w:ascii="Garamond" w:hAnsi="Garamond"/>
        </w:rPr>
        <w:t xml:space="preserve">* Torpe, necesitaba apoyo para caminar  </w:t>
      </w:r>
    </w:p>
    <w:p w14:paraId="3C7B202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Fertilidad:*</w:t>
      </w:r>
      <w:proofErr w:type="gramEnd"/>
      <w:r w:rsidRPr="00BD7056">
        <w:rPr>
          <w:rFonts w:ascii="Garamond" w:hAnsi="Garamond"/>
        </w:rPr>
        <w:t>* Presuntamente estéril (no tuvo descendencia)</w:t>
      </w:r>
    </w:p>
    <w:p w14:paraId="5A8C8CD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5D0533A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### **Enfermedades </w:t>
      </w:r>
      <w:proofErr w:type="gramStart"/>
      <w:r w:rsidRPr="00BD7056">
        <w:rPr>
          <w:rFonts w:ascii="Garamond" w:hAnsi="Garamond"/>
        </w:rPr>
        <w:t>documentadas:*</w:t>
      </w:r>
      <w:proofErr w:type="gramEnd"/>
      <w:r w:rsidRPr="00BD7056">
        <w:rPr>
          <w:rFonts w:ascii="Garamond" w:hAnsi="Garamond"/>
        </w:rPr>
        <w:t>*</w:t>
      </w:r>
    </w:p>
    <w:p w14:paraId="2B9B9C6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lastRenderedPageBreak/>
        <w:t>1. **Genéticas/</w:t>
      </w:r>
      <w:proofErr w:type="gramStart"/>
      <w:r w:rsidRPr="00BD7056">
        <w:rPr>
          <w:rFonts w:ascii="Garamond" w:hAnsi="Garamond"/>
        </w:rPr>
        <w:t>hereditarias:*</w:t>
      </w:r>
      <w:proofErr w:type="gramEnd"/>
      <w:r w:rsidRPr="00BD7056">
        <w:rPr>
          <w:rFonts w:ascii="Garamond" w:hAnsi="Garamond"/>
        </w:rPr>
        <w:t xml:space="preserve">*  </w:t>
      </w:r>
    </w:p>
    <w:p w14:paraId="0BCC1C9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Síndrome de Klinefelter (XXY) – hipótesis moderna  </w:t>
      </w:r>
    </w:p>
    <w:p w14:paraId="3071D2C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Deficiencia de hormona del crecimiento (acromegalia parcial)  </w:t>
      </w:r>
    </w:p>
    <w:p w14:paraId="19AF004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Raquitismo (por mala absorción de nutrientes)  </w:t>
      </w:r>
    </w:p>
    <w:p w14:paraId="69AB105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Epilepsia (crisis documentadas desde los 4 años)  </w:t>
      </w:r>
    </w:p>
    <w:p w14:paraId="629EC44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7FDDB0F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2. **</w:t>
      </w:r>
      <w:proofErr w:type="gramStart"/>
      <w:r w:rsidRPr="00BD7056">
        <w:rPr>
          <w:rFonts w:ascii="Garamond" w:hAnsi="Garamond"/>
        </w:rPr>
        <w:t>Infecciosas:*</w:t>
      </w:r>
      <w:proofErr w:type="gramEnd"/>
      <w:r w:rsidRPr="00BD7056">
        <w:rPr>
          <w:rFonts w:ascii="Garamond" w:hAnsi="Garamond"/>
        </w:rPr>
        <w:t xml:space="preserve">*  </w:t>
      </w:r>
    </w:p>
    <w:p w14:paraId="76DBACC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Viruela (1667, dejó cicatrices)  </w:t>
      </w:r>
    </w:p>
    <w:p w14:paraId="64804A9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Sarampión  </w:t>
      </w:r>
    </w:p>
    <w:p w14:paraId="28BAB69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Recurrentes fiebres tercianas (posible malaria)  </w:t>
      </w:r>
    </w:p>
    <w:p w14:paraId="1DFC4F2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Infecciones cutáneas crónicas  </w:t>
      </w:r>
    </w:p>
    <w:p w14:paraId="73751B6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6EAA0E6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3. **Digestivas/</w:t>
      </w:r>
      <w:proofErr w:type="gramStart"/>
      <w:r w:rsidRPr="00BD7056">
        <w:rPr>
          <w:rFonts w:ascii="Garamond" w:hAnsi="Garamond"/>
        </w:rPr>
        <w:t>metabólicas:*</w:t>
      </w:r>
      <w:proofErr w:type="gramEnd"/>
      <w:r w:rsidRPr="00BD7056">
        <w:rPr>
          <w:rFonts w:ascii="Garamond" w:hAnsi="Garamond"/>
        </w:rPr>
        <w:t xml:space="preserve">*  </w:t>
      </w:r>
    </w:p>
    <w:p w14:paraId="0CF724D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Intolerancias alimentarias múltiples  </w:t>
      </w:r>
    </w:p>
    <w:p w14:paraId="004C1D9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Diarreas crónicas  </w:t>
      </w:r>
    </w:p>
    <w:p w14:paraId="03184ED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Cólicos hepáticos y renales  </w:t>
      </w:r>
    </w:p>
    <w:p w14:paraId="5695B39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4818CC5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4. **Psiquiátricas/</w:t>
      </w:r>
      <w:proofErr w:type="gramStart"/>
      <w:r w:rsidRPr="00BD7056">
        <w:rPr>
          <w:rFonts w:ascii="Garamond" w:hAnsi="Garamond"/>
        </w:rPr>
        <w:t>neurológicas:*</w:t>
      </w:r>
      <w:proofErr w:type="gramEnd"/>
      <w:r w:rsidRPr="00BD7056">
        <w:rPr>
          <w:rFonts w:ascii="Garamond" w:hAnsi="Garamond"/>
        </w:rPr>
        <w:t xml:space="preserve">*  </w:t>
      </w:r>
    </w:p>
    <w:p w14:paraId="7A640D9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Retraso madurativo (no habló hasta los 4 años, no caminó hasta los 6)  </w:t>
      </w:r>
    </w:p>
    <w:p w14:paraId="6B6AD1A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Episodios depresivos y apatía prolongada  </w:t>
      </w:r>
    </w:p>
    <w:p w14:paraId="7BF974C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Posible demencia temprana  </w:t>
      </w:r>
    </w:p>
    <w:p w14:paraId="2C025F1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7207035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---</w:t>
      </w:r>
    </w:p>
    <w:p w14:paraId="121828D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43E3092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 **IV. EDUCACIÓN Y FORMACIÓN**</w:t>
      </w:r>
    </w:p>
    <w:p w14:paraId="77E4247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**Preceptores </w:t>
      </w:r>
      <w:proofErr w:type="gramStart"/>
      <w:r w:rsidRPr="00BD7056">
        <w:rPr>
          <w:rFonts w:ascii="Garamond" w:hAnsi="Garamond"/>
        </w:rPr>
        <w:t>principales:*</w:t>
      </w:r>
      <w:proofErr w:type="gramEnd"/>
      <w:r w:rsidRPr="00BD7056">
        <w:rPr>
          <w:rFonts w:ascii="Garamond" w:hAnsi="Garamond"/>
        </w:rPr>
        <w:t xml:space="preserve">*  </w:t>
      </w:r>
    </w:p>
    <w:p w14:paraId="0656F12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Juan de la Torre (primer instructor)  </w:t>
      </w:r>
    </w:p>
    <w:p w14:paraId="506D05A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Jesús María de Quirós (latinista)  </w:t>
      </w:r>
    </w:p>
    <w:p w14:paraId="017EDE3E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Fray Antonio Álvarez de Argüelles (religión)  </w:t>
      </w:r>
    </w:p>
    <w:p w14:paraId="7B20ACB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**Nivel </w:t>
      </w:r>
      <w:proofErr w:type="gramStart"/>
      <w:r w:rsidRPr="00BD7056">
        <w:rPr>
          <w:rFonts w:ascii="Garamond" w:hAnsi="Garamond"/>
        </w:rPr>
        <w:t>alcanzado:*</w:t>
      </w:r>
      <w:proofErr w:type="gramEnd"/>
      <w:r w:rsidRPr="00BD7056">
        <w:rPr>
          <w:rFonts w:ascii="Garamond" w:hAnsi="Garamond"/>
        </w:rPr>
        <w:t xml:space="preserve">*  </w:t>
      </w:r>
    </w:p>
    <w:p w14:paraId="2F8DD6A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Lectura y escritura básicas  </w:t>
      </w:r>
    </w:p>
    <w:p w14:paraId="6F7157B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Latitud eclesiástica elemental  </w:t>
      </w:r>
    </w:p>
    <w:p w14:paraId="6A3F733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Geografía </w:t>
      </w:r>
      <w:proofErr w:type="spellStart"/>
      <w:r w:rsidRPr="00BD7056">
        <w:rPr>
          <w:rFonts w:ascii="Garamond" w:hAnsi="Garamond"/>
        </w:rPr>
        <w:t>y</w:t>
      </w:r>
      <w:proofErr w:type="spellEnd"/>
      <w:r w:rsidRPr="00BD7056">
        <w:rPr>
          <w:rFonts w:ascii="Garamond" w:hAnsi="Garamond"/>
        </w:rPr>
        <w:t xml:space="preserve"> historia dinástica rudimentaria  </w:t>
      </w:r>
    </w:p>
    <w:p w14:paraId="1F337CD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**</w:t>
      </w:r>
      <w:proofErr w:type="gramStart"/>
      <w:r w:rsidRPr="00BD7056">
        <w:rPr>
          <w:rFonts w:ascii="Garamond" w:hAnsi="Garamond"/>
        </w:rPr>
        <w:t>Nota:*</w:t>
      </w:r>
      <w:proofErr w:type="gramEnd"/>
      <w:r w:rsidRPr="00BD7056">
        <w:rPr>
          <w:rFonts w:ascii="Garamond" w:hAnsi="Garamond"/>
        </w:rPr>
        <w:t xml:space="preserve">* Nunca aprendió a escribir correctamente; sus firmas eran torpes y sus edictos se redactaban por secretarios  </w:t>
      </w:r>
    </w:p>
    <w:p w14:paraId="1548191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09F880C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lastRenderedPageBreak/>
        <w:t>---</w:t>
      </w:r>
    </w:p>
    <w:p w14:paraId="1D70DC7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0DC74F8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 **V. MATRIMONIOS Y DESCENDENCIA**</w:t>
      </w:r>
    </w:p>
    <w:p w14:paraId="32419BC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### **1. María Luisa de Orléans (1679–</w:t>
      </w:r>
      <w:proofErr w:type="gramStart"/>
      <w:r w:rsidRPr="00BD7056">
        <w:rPr>
          <w:rFonts w:ascii="Garamond" w:hAnsi="Garamond"/>
        </w:rPr>
        <w:t>1689)*</w:t>
      </w:r>
      <w:proofErr w:type="gramEnd"/>
      <w:r w:rsidRPr="00BD7056">
        <w:rPr>
          <w:rFonts w:ascii="Garamond" w:hAnsi="Garamond"/>
        </w:rPr>
        <w:t>*</w:t>
      </w:r>
    </w:p>
    <w:p w14:paraId="1A02A0B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Parentesco:*</w:t>
      </w:r>
      <w:proofErr w:type="gramEnd"/>
      <w:r w:rsidRPr="00BD7056">
        <w:rPr>
          <w:rFonts w:ascii="Garamond" w:hAnsi="Garamond"/>
        </w:rPr>
        <w:t xml:space="preserve">* Sobrina de Luis XIV de Francia  </w:t>
      </w:r>
    </w:p>
    <w:p w14:paraId="71DCBB3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**Edad al </w:t>
      </w:r>
      <w:proofErr w:type="gramStart"/>
      <w:r w:rsidRPr="00BD7056">
        <w:rPr>
          <w:rFonts w:ascii="Garamond" w:hAnsi="Garamond"/>
        </w:rPr>
        <w:t>casarse:*</w:t>
      </w:r>
      <w:proofErr w:type="gramEnd"/>
      <w:r w:rsidRPr="00BD7056">
        <w:rPr>
          <w:rFonts w:ascii="Garamond" w:hAnsi="Garamond"/>
        </w:rPr>
        <w:t xml:space="preserve">* Carlos (18 años), María Luisa (17)  </w:t>
      </w:r>
    </w:p>
    <w:p w14:paraId="3C06F6E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Dote:*</w:t>
      </w:r>
      <w:proofErr w:type="gramEnd"/>
      <w:r w:rsidRPr="00BD7056">
        <w:rPr>
          <w:rFonts w:ascii="Garamond" w:hAnsi="Garamond"/>
        </w:rPr>
        <w:t xml:space="preserve">* 500.000 escudos  </w:t>
      </w:r>
    </w:p>
    <w:p w14:paraId="723C137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Relación:*</w:t>
      </w:r>
      <w:proofErr w:type="gramEnd"/>
      <w:r w:rsidRPr="00BD7056">
        <w:rPr>
          <w:rFonts w:ascii="Garamond" w:hAnsi="Garamond"/>
        </w:rPr>
        <w:t xml:space="preserve">* Afectuosa por parte del rey, frustrada sexualmente según relatos  </w:t>
      </w:r>
    </w:p>
    <w:p w14:paraId="05C320D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Muerte:*</w:t>
      </w:r>
      <w:proofErr w:type="gramEnd"/>
      <w:r w:rsidRPr="00BD7056">
        <w:rPr>
          <w:rFonts w:ascii="Garamond" w:hAnsi="Garamond"/>
        </w:rPr>
        <w:t>* Presuntamente envenenada (rumor no confirmado)</w:t>
      </w:r>
    </w:p>
    <w:p w14:paraId="29CE6CC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6F2F13D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### **2. Mariana de Neoburgo (1689–</w:t>
      </w:r>
      <w:proofErr w:type="gramStart"/>
      <w:r w:rsidRPr="00BD7056">
        <w:rPr>
          <w:rFonts w:ascii="Garamond" w:hAnsi="Garamond"/>
        </w:rPr>
        <w:t>1700)*</w:t>
      </w:r>
      <w:proofErr w:type="gramEnd"/>
      <w:r w:rsidRPr="00BD7056">
        <w:rPr>
          <w:rFonts w:ascii="Garamond" w:hAnsi="Garamond"/>
        </w:rPr>
        <w:t>*</w:t>
      </w:r>
    </w:p>
    <w:p w14:paraId="7C19C06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Parentesco:*</w:t>
      </w:r>
      <w:proofErr w:type="gramEnd"/>
      <w:r w:rsidRPr="00BD7056">
        <w:rPr>
          <w:rFonts w:ascii="Garamond" w:hAnsi="Garamond"/>
        </w:rPr>
        <w:t xml:space="preserve">* Hija del elector palatino Felipe Guillermo  </w:t>
      </w:r>
    </w:p>
    <w:p w14:paraId="02F7156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**Edad al </w:t>
      </w:r>
      <w:proofErr w:type="gramStart"/>
      <w:r w:rsidRPr="00BD7056">
        <w:rPr>
          <w:rFonts w:ascii="Garamond" w:hAnsi="Garamond"/>
        </w:rPr>
        <w:t>casarse:*</w:t>
      </w:r>
      <w:proofErr w:type="gramEnd"/>
      <w:r w:rsidRPr="00BD7056">
        <w:rPr>
          <w:rFonts w:ascii="Garamond" w:hAnsi="Garamond"/>
        </w:rPr>
        <w:t xml:space="preserve">* Carlos (28 años), Mariana (22)  </w:t>
      </w:r>
    </w:p>
    <w:p w14:paraId="5BFCA5C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**Objetivo </w:t>
      </w:r>
      <w:proofErr w:type="gramStart"/>
      <w:r w:rsidRPr="00BD7056">
        <w:rPr>
          <w:rFonts w:ascii="Garamond" w:hAnsi="Garamond"/>
        </w:rPr>
        <w:t>dinástico:*</w:t>
      </w:r>
      <w:proofErr w:type="gramEnd"/>
      <w:r w:rsidRPr="00BD7056">
        <w:rPr>
          <w:rFonts w:ascii="Garamond" w:hAnsi="Garamond"/>
        </w:rPr>
        <w:t xml:space="preserve">* Procrear un heredero a toda costa  </w:t>
      </w:r>
    </w:p>
    <w:p w14:paraId="06706DD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**Métodos </w:t>
      </w:r>
      <w:proofErr w:type="gramStart"/>
      <w:r w:rsidRPr="00BD7056">
        <w:rPr>
          <w:rFonts w:ascii="Garamond" w:hAnsi="Garamond"/>
        </w:rPr>
        <w:t>empleados:*</w:t>
      </w:r>
      <w:proofErr w:type="gramEnd"/>
      <w:r w:rsidRPr="00BD7056">
        <w:rPr>
          <w:rFonts w:ascii="Garamond" w:hAnsi="Garamond"/>
        </w:rPr>
        <w:t xml:space="preserve">*  </w:t>
      </w:r>
    </w:p>
    <w:p w14:paraId="22333BA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Dietas especiales  </w:t>
      </w:r>
    </w:p>
    <w:p w14:paraId="22837DD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Pociones y remedios (incluyendo orina de monja y testículos de toro)  </w:t>
      </w:r>
    </w:p>
    <w:p w14:paraId="298029C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Peregrinaciones a santuarios  </w:t>
      </w:r>
    </w:p>
    <w:p w14:paraId="34CE99D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Exposición a niños (para "estimular la maternidad")  </w:t>
      </w:r>
    </w:p>
    <w:p w14:paraId="74F1C1C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Resultado:*</w:t>
      </w:r>
      <w:proofErr w:type="gramEnd"/>
      <w:r w:rsidRPr="00BD7056">
        <w:rPr>
          <w:rFonts w:ascii="Garamond" w:hAnsi="Garamond"/>
        </w:rPr>
        <w:t xml:space="preserve">* Ningún embarazo confirmado  </w:t>
      </w:r>
    </w:p>
    <w:p w14:paraId="79A49B6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3AE9C43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### **</w:t>
      </w:r>
      <w:proofErr w:type="gramStart"/>
      <w:r w:rsidRPr="00BD7056">
        <w:rPr>
          <w:rFonts w:ascii="Garamond" w:hAnsi="Garamond"/>
        </w:rPr>
        <w:t>Descendencia:*</w:t>
      </w:r>
      <w:proofErr w:type="gramEnd"/>
      <w:r w:rsidRPr="00BD7056">
        <w:rPr>
          <w:rFonts w:ascii="Garamond" w:hAnsi="Garamond"/>
        </w:rPr>
        <w:t xml:space="preserve">*  </w:t>
      </w:r>
    </w:p>
    <w:p w14:paraId="35191BB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**0 hijos legítimos**  </w:t>
      </w:r>
    </w:p>
    <w:p w14:paraId="1F491BFE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**0 hijos ilegítimos reconocidos** (su impotencia/esterilidad era notoria)</w:t>
      </w:r>
    </w:p>
    <w:p w14:paraId="52C390F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339CA48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---</w:t>
      </w:r>
    </w:p>
    <w:p w14:paraId="1B60984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63BD947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 **VI. CARACTERÍSTICAS PSICOLÓGICAS Y PERSONALIDAD**</w:t>
      </w:r>
    </w:p>
    <w:p w14:paraId="7AF62C9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### **Según testimonios de </w:t>
      </w:r>
      <w:proofErr w:type="gramStart"/>
      <w:r w:rsidRPr="00BD7056">
        <w:rPr>
          <w:rFonts w:ascii="Garamond" w:hAnsi="Garamond"/>
        </w:rPr>
        <w:t>cortesanos:*</w:t>
      </w:r>
      <w:proofErr w:type="gramEnd"/>
      <w:r w:rsidRPr="00BD7056">
        <w:rPr>
          <w:rFonts w:ascii="Garamond" w:hAnsi="Garamond"/>
        </w:rPr>
        <w:t>*</w:t>
      </w:r>
    </w:p>
    <w:p w14:paraId="51198B0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**Infancia/</w:t>
      </w:r>
      <w:proofErr w:type="gramStart"/>
      <w:r w:rsidRPr="00BD7056">
        <w:rPr>
          <w:rFonts w:ascii="Garamond" w:hAnsi="Garamond"/>
        </w:rPr>
        <w:t>adolescencia:*</w:t>
      </w:r>
      <w:proofErr w:type="gramEnd"/>
      <w:r w:rsidRPr="00BD7056">
        <w:rPr>
          <w:rFonts w:ascii="Garamond" w:hAnsi="Garamond"/>
        </w:rPr>
        <w:t xml:space="preserve">*  </w:t>
      </w:r>
    </w:p>
    <w:p w14:paraId="5BF6597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Timidez extrema  </w:t>
      </w:r>
    </w:p>
    <w:p w14:paraId="14D200B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Apego a su madre y a sus ayos  </w:t>
      </w:r>
    </w:p>
    <w:p w14:paraId="577357CE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Fascinación por lo macabro (coleccionaba animales muertos)  </w:t>
      </w:r>
    </w:p>
    <w:p w14:paraId="7EFC716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Juegos infantiles prolongados (muñecas, soldaditos)  </w:t>
      </w:r>
    </w:p>
    <w:p w14:paraId="3598122E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25FE2F6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**Edad </w:t>
      </w:r>
      <w:proofErr w:type="gramStart"/>
      <w:r w:rsidRPr="00BD7056">
        <w:rPr>
          <w:rFonts w:ascii="Garamond" w:hAnsi="Garamond"/>
        </w:rPr>
        <w:t>adulta:*</w:t>
      </w:r>
      <w:proofErr w:type="gramEnd"/>
      <w:r w:rsidRPr="00BD7056">
        <w:rPr>
          <w:rFonts w:ascii="Garamond" w:hAnsi="Garamond"/>
        </w:rPr>
        <w:t xml:space="preserve">*  </w:t>
      </w:r>
    </w:p>
    <w:p w14:paraId="236C465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lastRenderedPageBreak/>
        <w:t xml:space="preserve">  - **Religiosidad </w:t>
      </w:r>
      <w:proofErr w:type="gramStart"/>
      <w:r w:rsidRPr="00BD7056">
        <w:rPr>
          <w:rFonts w:ascii="Garamond" w:hAnsi="Garamond"/>
        </w:rPr>
        <w:t>obsesiva:*</w:t>
      </w:r>
      <w:proofErr w:type="gramEnd"/>
      <w:r w:rsidRPr="00BD7056">
        <w:rPr>
          <w:rFonts w:ascii="Garamond" w:hAnsi="Garamond"/>
        </w:rPr>
        <w:t xml:space="preserve">*  </w:t>
      </w:r>
    </w:p>
    <w:p w14:paraId="0BD3A15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Rezaba horas diarias  </w:t>
      </w:r>
    </w:p>
    <w:p w14:paraId="50E08A3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Visitaba cadáveres de religiosos  </w:t>
      </w:r>
    </w:p>
    <w:p w14:paraId="512398D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Autoflagelaciones  </w:t>
      </w:r>
    </w:p>
    <w:p w14:paraId="5DAADAF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**Obsesiones y </w:t>
      </w:r>
      <w:proofErr w:type="gramStart"/>
      <w:r w:rsidRPr="00BD7056">
        <w:rPr>
          <w:rFonts w:ascii="Garamond" w:hAnsi="Garamond"/>
        </w:rPr>
        <w:t>manías:*</w:t>
      </w:r>
      <w:proofErr w:type="gramEnd"/>
      <w:r w:rsidRPr="00BD7056">
        <w:rPr>
          <w:rFonts w:ascii="Garamond" w:hAnsi="Garamond"/>
        </w:rPr>
        <w:t xml:space="preserve">*  </w:t>
      </w:r>
    </w:p>
    <w:p w14:paraId="7E9F7A1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Temor a ser envenenado  </w:t>
      </w:r>
    </w:p>
    <w:p w14:paraId="471CADC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Rituales compulsivos  </w:t>
      </w:r>
    </w:p>
    <w:p w14:paraId="3244C10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Coleccionismo de reliquias (llegó a tener 7.422 documentadas)  </w:t>
      </w:r>
    </w:p>
    <w:p w14:paraId="12AE19C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**Capacidad de </w:t>
      </w:r>
      <w:proofErr w:type="gramStart"/>
      <w:r w:rsidRPr="00BD7056">
        <w:rPr>
          <w:rFonts w:ascii="Garamond" w:hAnsi="Garamond"/>
        </w:rPr>
        <w:t>gobierno:*</w:t>
      </w:r>
      <w:proofErr w:type="gramEnd"/>
      <w:r w:rsidRPr="00BD7056">
        <w:rPr>
          <w:rFonts w:ascii="Garamond" w:hAnsi="Garamond"/>
        </w:rPr>
        <w:t xml:space="preserve">*  </w:t>
      </w:r>
    </w:p>
    <w:p w14:paraId="3C20119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Asistía a </w:t>
      </w:r>
      <w:proofErr w:type="gramStart"/>
      <w:r w:rsidRPr="00BD7056">
        <w:rPr>
          <w:rFonts w:ascii="Garamond" w:hAnsi="Garamond"/>
        </w:rPr>
        <w:t>consejos</w:t>
      </w:r>
      <w:proofErr w:type="gramEnd"/>
      <w:r w:rsidRPr="00BD7056">
        <w:rPr>
          <w:rFonts w:ascii="Garamond" w:hAnsi="Garamond"/>
        </w:rPr>
        <w:t xml:space="preserve"> pero raramente intervenía  </w:t>
      </w:r>
    </w:p>
    <w:p w14:paraId="35503C2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Firmaba lo que se le ponía delante  </w:t>
      </w:r>
    </w:p>
    <w:p w14:paraId="621F892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Periodos de lucidez intermitente (especialmente en asuntos de caza y religión)  </w:t>
      </w:r>
    </w:p>
    <w:p w14:paraId="6EDD0B0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30FD33C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---</w:t>
      </w:r>
    </w:p>
    <w:p w14:paraId="7CB76B1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23938A5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 **VII. REGENCIA Y GOBIERNO**</w:t>
      </w:r>
    </w:p>
    <w:p w14:paraId="6E2E647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### **</w:t>
      </w:r>
      <w:proofErr w:type="gramStart"/>
      <w:r w:rsidRPr="00BD7056">
        <w:rPr>
          <w:rFonts w:ascii="Garamond" w:hAnsi="Garamond"/>
        </w:rPr>
        <w:t>Regentes:*</w:t>
      </w:r>
      <w:proofErr w:type="gramEnd"/>
      <w:r w:rsidRPr="00BD7056">
        <w:rPr>
          <w:rFonts w:ascii="Garamond" w:hAnsi="Garamond"/>
        </w:rPr>
        <w:t>*</w:t>
      </w:r>
    </w:p>
    <w:p w14:paraId="04D24DE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1. **Mariana de Austria (1665–</w:t>
      </w:r>
      <w:proofErr w:type="gramStart"/>
      <w:r w:rsidRPr="00BD7056">
        <w:rPr>
          <w:rFonts w:ascii="Garamond" w:hAnsi="Garamond"/>
        </w:rPr>
        <w:t>1675)*</w:t>
      </w:r>
      <w:proofErr w:type="gramEnd"/>
      <w:r w:rsidRPr="00BD7056">
        <w:rPr>
          <w:rFonts w:ascii="Garamond" w:hAnsi="Garamond"/>
        </w:rPr>
        <w:t xml:space="preserve">*  </w:t>
      </w:r>
    </w:p>
    <w:p w14:paraId="1302806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Valido: Padre Juan Everardo Nithard (jesuita)  </w:t>
      </w:r>
    </w:p>
    <w:p w14:paraId="6204330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Valido: Fernando de Valenzuela  </w:t>
      </w:r>
    </w:p>
    <w:p w14:paraId="56265DF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18EEF4E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2. **Juan José de Austria (1677–</w:t>
      </w:r>
      <w:proofErr w:type="gramStart"/>
      <w:r w:rsidRPr="00BD7056">
        <w:rPr>
          <w:rFonts w:ascii="Garamond" w:hAnsi="Garamond"/>
        </w:rPr>
        <w:t>1679)*</w:t>
      </w:r>
      <w:proofErr w:type="gramEnd"/>
      <w:r w:rsidRPr="00BD7056">
        <w:rPr>
          <w:rFonts w:ascii="Garamond" w:hAnsi="Garamond"/>
        </w:rPr>
        <w:t xml:space="preserve">*  </w:t>
      </w:r>
    </w:p>
    <w:p w14:paraId="2236935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Hijo bastardo de Felipe IV  </w:t>
      </w:r>
    </w:p>
    <w:p w14:paraId="22BF64B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2388BBB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3. **Periodo de gobierno personal nominal (1679–</w:t>
      </w:r>
      <w:proofErr w:type="gramStart"/>
      <w:r w:rsidRPr="00BD7056">
        <w:rPr>
          <w:rFonts w:ascii="Garamond" w:hAnsi="Garamond"/>
        </w:rPr>
        <w:t>1700)*</w:t>
      </w:r>
      <w:proofErr w:type="gramEnd"/>
      <w:r w:rsidRPr="00BD7056">
        <w:rPr>
          <w:rFonts w:ascii="Garamond" w:hAnsi="Garamond"/>
        </w:rPr>
        <w:t xml:space="preserve">*  </w:t>
      </w:r>
    </w:p>
    <w:p w14:paraId="4F955A0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- **Validos </w:t>
      </w:r>
      <w:proofErr w:type="gramStart"/>
      <w:r w:rsidRPr="00BD7056">
        <w:rPr>
          <w:rFonts w:ascii="Garamond" w:hAnsi="Garamond"/>
        </w:rPr>
        <w:t>reales:*</w:t>
      </w:r>
      <w:proofErr w:type="gramEnd"/>
      <w:r w:rsidRPr="00BD7056">
        <w:rPr>
          <w:rFonts w:ascii="Garamond" w:hAnsi="Garamond"/>
        </w:rPr>
        <w:t xml:space="preserve">*  </w:t>
      </w:r>
    </w:p>
    <w:p w14:paraId="2FAAB70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 - Duque de Medinaceli (1680–1685)  </w:t>
      </w:r>
    </w:p>
    <w:p w14:paraId="433B3E4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 - Conde de Oropesa (1685–1691, 1698–1699)  </w:t>
      </w:r>
    </w:p>
    <w:p w14:paraId="52D154B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 - Cardenal Portocarrero (últimos años)  </w:t>
      </w:r>
    </w:p>
    <w:p w14:paraId="43AB639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21188EC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### **Principales crisis de su </w:t>
      </w:r>
      <w:proofErr w:type="gramStart"/>
      <w:r w:rsidRPr="00BD7056">
        <w:rPr>
          <w:rFonts w:ascii="Garamond" w:hAnsi="Garamond"/>
        </w:rPr>
        <w:t>reinado:*</w:t>
      </w:r>
      <w:proofErr w:type="gramEnd"/>
      <w:r w:rsidRPr="00BD7056">
        <w:rPr>
          <w:rFonts w:ascii="Garamond" w:hAnsi="Garamond"/>
        </w:rPr>
        <w:t>*</w:t>
      </w:r>
    </w:p>
    <w:p w14:paraId="4629D92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**Pérdida de Portugal** (independencia reconocida en 1668)  </w:t>
      </w:r>
    </w:p>
    <w:p w14:paraId="4E7CB93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**Guerra de Devolución** (1667–1668)  </w:t>
      </w:r>
    </w:p>
    <w:p w14:paraId="21DA12C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**Guerra de los Nueve Años** (1688–1697)  </w:t>
      </w:r>
    </w:p>
    <w:p w14:paraId="460E2A3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**Crisis económica crónica** (quiebras de la Hacienda Real en 1666, 1680, 1693)  </w:t>
      </w:r>
    </w:p>
    <w:p w14:paraId="2875567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**Peste y hambrunas** (1676–1685)  </w:t>
      </w:r>
    </w:p>
    <w:p w14:paraId="3883FE8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3AC9852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---</w:t>
      </w:r>
    </w:p>
    <w:p w14:paraId="6006BEE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7DD7710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 **VIII. ÚLTIMOS AÑOS Y TESTAMENTO**</w:t>
      </w:r>
    </w:p>
    <w:p w14:paraId="4D18C93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### **Decadencia física (1696–1700</w:t>
      </w:r>
      <w:proofErr w:type="gramStart"/>
      <w:r w:rsidRPr="00BD7056">
        <w:rPr>
          <w:rFonts w:ascii="Garamond" w:hAnsi="Garamond"/>
        </w:rPr>
        <w:t>):*</w:t>
      </w:r>
      <w:proofErr w:type="gramEnd"/>
      <w:r w:rsidRPr="00BD7056">
        <w:rPr>
          <w:rFonts w:ascii="Garamond" w:hAnsi="Garamond"/>
        </w:rPr>
        <w:t>*</w:t>
      </w:r>
    </w:p>
    <w:p w14:paraId="4AEC974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1696:*</w:t>
      </w:r>
      <w:proofErr w:type="gramEnd"/>
      <w:r w:rsidRPr="00BD7056">
        <w:rPr>
          <w:rFonts w:ascii="Garamond" w:hAnsi="Garamond"/>
        </w:rPr>
        <w:t xml:space="preserve">* Incapacidad progresiva, edemas generalizados  </w:t>
      </w:r>
    </w:p>
    <w:p w14:paraId="717362A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1698:*</w:t>
      </w:r>
      <w:proofErr w:type="gramEnd"/>
      <w:r w:rsidRPr="00BD7056">
        <w:rPr>
          <w:rFonts w:ascii="Garamond" w:hAnsi="Garamond"/>
        </w:rPr>
        <w:t xml:space="preserve">* Primer testamento (designa a José Fernando de Baviera como heredero)  </w:t>
      </w:r>
    </w:p>
    <w:p w14:paraId="729C191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1699:*</w:t>
      </w:r>
      <w:proofErr w:type="gramEnd"/>
      <w:r w:rsidRPr="00BD7056">
        <w:rPr>
          <w:rFonts w:ascii="Garamond" w:hAnsi="Garamond"/>
        </w:rPr>
        <w:t xml:space="preserve">* Muerte del príncipe José Fernando de Baviera (envenenamiento sospechoso)  </w:t>
      </w:r>
    </w:p>
    <w:p w14:paraId="697BC71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1700:*</w:t>
      </w:r>
      <w:proofErr w:type="gramEnd"/>
      <w:r w:rsidRPr="00BD7056">
        <w:rPr>
          <w:rFonts w:ascii="Garamond" w:hAnsi="Garamond"/>
        </w:rPr>
        <w:t xml:space="preserve">*  </w:t>
      </w:r>
    </w:p>
    <w:p w14:paraId="4C91DD0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**Marzo-</w:t>
      </w:r>
      <w:proofErr w:type="gramStart"/>
      <w:r w:rsidRPr="00BD7056">
        <w:rPr>
          <w:rFonts w:ascii="Garamond" w:hAnsi="Garamond"/>
        </w:rPr>
        <w:t>septiembre:*</w:t>
      </w:r>
      <w:proofErr w:type="gramEnd"/>
      <w:r w:rsidRPr="00BD7056">
        <w:rPr>
          <w:rFonts w:ascii="Garamond" w:hAnsi="Garamond"/>
        </w:rPr>
        <w:t xml:space="preserve">* Agonía pública, el rey exhibido en misas como "reliquia viviente"  </w:t>
      </w:r>
    </w:p>
    <w:p w14:paraId="12D9324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- **</w:t>
      </w:r>
      <w:proofErr w:type="gramStart"/>
      <w:r w:rsidRPr="00BD7056">
        <w:rPr>
          <w:rFonts w:ascii="Garamond" w:hAnsi="Garamond"/>
        </w:rPr>
        <w:t>Octubre:*</w:t>
      </w:r>
      <w:proofErr w:type="gramEnd"/>
      <w:r w:rsidRPr="00BD7056">
        <w:rPr>
          <w:rFonts w:ascii="Garamond" w:hAnsi="Garamond"/>
        </w:rPr>
        <w:t xml:space="preserve">* Testamento final (3 de octubre de 1700)  </w:t>
      </w:r>
    </w:p>
    <w:p w14:paraId="316BAF3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Heredero universal: Felipe de Anjou (nieto de Luis XIV)  </w:t>
      </w:r>
    </w:p>
    <w:p w14:paraId="0B2E3C8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Cláusula de indivisibilidad de la monarquía  </w:t>
      </w:r>
    </w:p>
    <w:p w14:paraId="07D5F06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    - Condición: renuncia a la corona francesa  </w:t>
      </w:r>
    </w:p>
    <w:p w14:paraId="35753B1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6D68FC14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### **Autopsia (realizada por Dr. Juan de Gracia</w:t>
      </w:r>
      <w:proofErr w:type="gramStart"/>
      <w:r w:rsidRPr="00BD7056">
        <w:rPr>
          <w:rFonts w:ascii="Garamond" w:hAnsi="Garamond"/>
        </w:rPr>
        <w:t>):*</w:t>
      </w:r>
      <w:proofErr w:type="gramEnd"/>
      <w:r w:rsidRPr="00BD7056">
        <w:rPr>
          <w:rFonts w:ascii="Garamond" w:hAnsi="Garamond"/>
        </w:rPr>
        <w:t>*</w:t>
      </w:r>
    </w:p>
    <w:p w14:paraId="6F9B8ED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Cerebro:*</w:t>
      </w:r>
      <w:proofErr w:type="gramEnd"/>
      <w:r w:rsidRPr="00BD7056">
        <w:rPr>
          <w:rFonts w:ascii="Garamond" w:hAnsi="Garamond"/>
        </w:rPr>
        <w:t xml:space="preserve">* "Dos grandes piedras" (cálculos cerebrales)  </w:t>
      </w:r>
    </w:p>
    <w:p w14:paraId="3DC3A67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Corazón:*</w:t>
      </w:r>
      <w:proofErr w:type="gramEnd"/>
      <w:r w:rsidRPr="00BD7056">
        <w:rPr>
          <w:rFonts w:ascii="Garamond" w:hAnsi="Garamond"/>
        </w:rPr>
        <w:t xml:space="preserve">* "Del tamaño de un grano de pimienta"  </w:t>
      </w:r>
    </w:p>
    <w:p w14:paraId="15D5434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Pulmones:*</w:t>
      </w:r>
      <w:proofErr w:type="gramEnd"/>
      <w:r w:rsidRPr="00BD7056">
        <w:rPr>
          <w:rFonts w:ascii="Garamond" w:hAnsi="Garamond"/>
        </w:rPr>
        <w:t xml:space="preserve">* Corroídos  </w:t>
      </w:r>
    </w:p>
    <w:p w14:paraId="3181ADF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Intestinos:*</w:t>
      </w:r>
      <w:proofErr w:type="gramEnd"/>
      <w:r w:rsidRPr="00BD7056">
        <w:rPr>
          <w:rFonts w:ascii="Garamond" w:hAnsi="Garamond"/>
        </w:rPr>
        <w:t xml:space="preserve">* Gangrenados  </w:t>
      </w:r>
    </w:p>
    <w:p w14:paraId="56FAB92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Testículos:*</w:t>
      </w:r>
      <w:proofErr w:type="gramEnd"/>
      <w:r w:rsidRPr="00BD7056">
        <w:rPr>
          <w:rFonts w:ascii="Garamond" w:hAnsi="Garamond"/>
        </w:rPr>
        <w:t xml:space="preserve">* "Negros como el carbón"  </w:t>
      </w:r>
    </w:p>
    <w:p w14:paraId="6B9E4617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**Conclusión </w:t>
      </w:r>
      <w:proofErr w:type="gramStart"/>
      <w:r w:rsidRPr="00BD7056">
        <w:rPr>
          <w:rFonts w:ascii="Garamond" w:hAnsi="Garamond"/>
        </w:rPr>
        <w:t>oficial:*</w:t>
      </w:r>
      <w:proofErr w:type="gramEnd"/>
      <w:r w:rsidRPr="00BD7056">
        <w:rPr>
          <w:rFonts w:ascii="Garamond" w:hAnsi="Garamond"/>
        </w:rPr>
        <w:t>* "No tenía una sola gota de sangre; su corazón era del tamaño de un grano de pimienta; sus pulmones corroídos; sus intestinos putrefactos y gangrenados; tenía un solo testículo, negro como el carbón, y su cabeza estaba llena de agua."</w:t>
      </w:r>
    </w:p>
    <w:p w14:paraId="31F3C549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6FE44EC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---</w:t>
      </w:r>
    </w:p>
    <w:p w14:paraId="24AEBFD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5F01B6A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 **IX. LEGADO Y REPRESENTACIÓN CULTURAL**</w:t>
      </w:r>
    </w:p>
    <w:p w14:paraId="5FC8021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### **</w:t>
      </w:r>
      <w:proofErr w:type="gramStart"/>
      <w:r w:rsidRPr="00BD7056">
        <w:rPr>
          <w:rFonts w:ascii="Garamond" w:hAnsi="Garamond"/>
        </w:rPr>
        <w:t>Sobrenombres:*</w:t>
      </w:r>
      <w:proofErr w:type="gramEnd"/>
      <w:r w:rsidRPr="00BD7056">
        <w:rPr>
          <w:rFonts w:ascii="Garamond" w:hAnsi="Garamond"/>
        </w:rPr>
        <w:t>*</w:t>
      </w:r>
    </w:p>
    <w:p w14:paraId="1704669A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"El Hechizado" (creencia popular en brujería)  </w:t>
      </w:r>
    </w:p>
    <w:p w14:paraId="1EE0D14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"El Rey Imposible"  </w:t>
      </w:r>
    </w:p>
    <w:p w14:paraId="31CA490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"El Fin de una Estirpe"  </w:t>
      </w:r>
    </w:p>
    <w:p w14:paraId="38601AAF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59EC8B8E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### **En la cultura </w:t>
      </w:r>
      <w:proofErr w:type="gramStart"/>
      <w:r w:rsidRPr="00BD7056">
        <w:rPr>
          <w:rFonts w:ascii="Garamond" w:hAnsi="Garamond"/>
        </w:rPr>
        <w:t>popular:*</w:t>
      </w:r>
      <w:proofErr w:type="gramEnd"/>
      <w:r w:rsidRPr="00BD7056">
        <w:rPr>
          <w:rFonts w:ascii="Garamond" w:hAnsi="Garamond"/>
        </w:rPr>
        <w:t>*</w:t>
      </w:r>
    </w:p>
    <w:p w14:paraId="62B2BA9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Pintura:*</w:t>
      </w:r>
      <w:proofErr w:type="gramEnd"/>
      <w:r w:rsidRPr="00BD7056">
        <w:rPr>
          <w:rFonts w:ascii="Garamond" w:hAnsi="Garamond"/>
        </w:rPr>
        <w:t xml:space="preserve">* Retratos de Juan Carreño de Miranda y Claudio Coello  </w:t>
      </w:r>
    </w:p>
    <w:p w14:paraId="7DAC7A2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Literatura:*</w:t>
      </w:r>
      <w:proofErr w:type="gramEnd"/>
      <w:r w:rsidRPr="00BD7056">
        <w:rPr>
          <w:rFonts w:ascii="Garamond" w:hAnsi="Garamond"/>
        </w:rPr>
        <w:t xml:space="preserve">* *El Hechizado por fuerza* de Antonio de Zamora  </w:t>
      </w:r>
    </w:p>
    <w:p w14:paraId="5CD6574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- **</w:t>
      </w:r>
      <w:proofErr w:type="gramStart"/>
      <w:r w:rsidRPr="00BD7056">
        <w:rPr>
          <w:rFonts w:ascii="Garamond" w:hAnsi="Garamond"/>
        </w:rPr>
        <w:t>Historiografía:*</w:t>
      </w:r>
      <w:proofErr w:type="gramEnd"/>
      <w:r w:rsidRPr="00BD7056">
        <w:rPr>
          <w:rFonts w:ascii="Garamond" w:hAnsi="Garamond"/>
        </w:rPr>
        <w:t xml:space="preserve">* Símbolo de la decadencia española  </w:t>
      </w:r>
    </w:p>
    <w:p w14:paraId="25DFDCA5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18207E3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### **Consecuencias </w:t>
      </w:r>
      <w:proofErr w:type="gramStart"/>
      <w:r w:rsidRPr="00BD7056">
        <w:rPr>
          <w:rFonts w:ascii="Garamond" w:hAnsi="Garamond"/>
        </w:rPr>
        <w:t>históricas:*</w:t>
      </w:r>
      <w:proofErr w:type="gramEnd"/>
      <w:r w:rsidRPr="00BD7056">
        <w:rPr>
          <w:rFonts w:ascii="Garamond" w:hAnsi="Garamond"/>
        </w:rPr>
        <w:t>*</w:t>
      </w:r>
    </w:p>
    <w:p w14:paraId="3196900C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**Guerra de Sucesión Española** (1701–1714)  </w:t>
      </w:r>
    </w:p>
    <w:p w14:paraId="7820D933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**Fin de la Casa de Austria en España**  </w:t>
      </w:r>
    </w:p>
    <w:p w14:paraId="1F39664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- **Ascenso de los Borbones**  </w:t>
      </w:r>
    </w:p>
    <w:p w14:paraId="78146E4D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23124160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## **X. BIBLIOGRAFÍA ESENCIAL**</w:t>
      </w:r>
    </w:p>
    <w:p w14:paraId="0E62B29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1. **Kamen, Henry** – *La España de Carlos II*  </w:t>
      </w:r>
    </w:p>
    <w:p w14:paraId="7B6A96A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2. **Lynch, John** – *La España de los Austrias*  </w:t>
      </w:r>
    </w:p>
    <w:p w14:paraId="4322ADA2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3. **Ribot, Luis** – *La Guerra de Sucesión Española*  </w:t>
      </w:r>
    </w:p>
    <w:p w14:paraId="246BEA6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4. **García Cárcel, Ricardo** – *El sueño de la nación indomable*  </w:t>
      </w:r>
    </w:p>
    <w:p w14:paraId="5B0C675B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5. **Feros, Antonio** – *El duque de Lerma*  </w:t>
      </w:r>
    </w:p>
    <w:p w14:paraId="05E5E428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>6. **Documental** – *Carlos II: El fin de los Austrias* (TVE, 2017)</w:t>
      </w:r>
    </w:p>
    <w:p w14:paraId="5F6E7AB1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p w14:paraId="25AA1B06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  <w:r w:rsidRPr="00BD7056">
        <w:rPr>
          <w:rFonts w:ascii="Garamond" w:hAnsi="Garamond"/>
        </w:rPr>
        <w:t xml:space="preserve">**Nota </w:t>
      </w:r>
      <w:proofErr w:type="gramStart"/>
      <w:r w:rsidRPr="00BD7056">
        <w:rPr>
          <w:rFonts w:ascii="Garamond" w:hAnsi="Garamond"/>
        </w:rPr>
        <w:t>final:*</w:t>
      </w:r>
      <w:proofErr w:type="gramEnd"/>
      <w:r w:rsidRPr="00BD7056">
        <w:rPr>
          <w:rFonts w:ascii="Garamond" w:hAnsi="Garamond"/>
        </w:rPr>
        <w:t>* Carlos II representa un caso extremo de **endogamia dinástica**, **incapacidad física y mental para gobernar**, y **víctima de las ambiciones europeas**. Su reinado fue una **larga agonía personal y política** que culminó en el conflicto sucesorio que redefinió Europa.</w:t>
      </w:r>
    </w:p>
    <w:p w14:paraId="09DB7B9E" w14:textId="77777777" w:rsidR="00BD7056" w:rsidRPr="00BD7056" w:rsidRDefault="00BD7056" w:rsidP="00BD7056">
      <w:pPr>
        <w:spacing w:before="120" w:after="120" w:line="240" w:lineRule="auto"/>
        <w:jc w:val="both"/>
        <w:rPr>
          <w:rFonts w:ascii="Garamond" w:hAnsi="Garamond"/>
        </w:rPr>
      </w:pPr>
    </w:p>
    <w:sectPr w:rsidR="00BD7056" w:rsidRPr="00BD7056" w:rsidSect="00FD733D">
      <w:footerReference w:type="default" r:id="rId8"/>
      <w:pgSz w:w="11906" w:h="16838"/>
      <w:pgMar w:top="141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4F82C" w14:textId="77777777" w:rsidR="00EC32CF" w:rsidRDefault="00EC32CF" w:rsidP="00BD7056">
      <w:pPr>
        <w:spacing w:after="0" w:line="240" w:lineRule="auto"/>
      </w:pPr>
      <w:r>
        <w:separator/>
      </w:r>
    </w:p>
  </w:endnote>
  <w:endnote w:type="continuationSeparator" w:id="0">
    <w:p w14:paraId="6772A00E" w14:textId="77777777" w:rsidR="00EC32CF" w:rsidRDefault="00EC32CF" w:rsidP="00BD7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648719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86C20D7" w14:textId="320DCE28" w:rsidR="00BD7056" w:rsidRDefault="00BD7056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31F96B5" w14:textId="77777777" w:rsidR="00BD7056" w:rsidRDefault="00BD70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6255" w14:textId="77777777" w:rsidR="00EC32CF" w:rsidRDefault="00EC32CF" w:rsidP="00BD7056">
      <w:pPr>
        <w:spacing w:after="0" w:line="240" w:lineRule="auto"/>
      </w:pPr>
      <w:r>
        <w:separator/>
      </w:r>
    </w:p>
  </w:footnote>
  <w:footnote w:type="continuationSeparator" w:id="0">
    <w:p w14:paraId="28E4902D" w14:textId="77777777" w:rsidR="00EC32CF" w:rsidRDefault="00EC32CF" w:rsidP="00BD70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80529"/>
    <w:multiLevelType w:val="multilevel"/>
    <w:tmpl w:val="3430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71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01"/>
    <w:rsid w:val="00027CBC"/>
    <w:rsid w:val="003B5AAA"/>
    <w:rsid w:val="008F4827"/>
    <w:rsid w:val="00BD7056"/>
    <w:rsid w:val="00D86793"/>
    <w:rsid w:val="00E52901"/>
    <w:rsid w:val="00EA7F85"/>
    <w:rsid w:val="00EC32CF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AB7B0"/>
  <w15:chartTrackingRefBased/>
  <w15:docId w15:val="{2BF5F00D-3E55-431D-84C9-DBC7F4AF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9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9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9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9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9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29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290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D7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7056"/>
  </w:style>
  <w:style w:type="paragraph" w:styleId="Piedepgina">
    <w:name w:val="footer"/>
    <w:basedOn w:val="Normal"/>
    <w:link w:val="PiedepginaCar"/>
    <w:uiPriority w:val="99"/>
    <w:unhideWhenUsed/>
    <w:rsid w:val="00BD7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7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istoria-hispanica.rah.es/biografias/9667-carlos-i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1538</Words>
  <Characters>8464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Talavera Salgado</dc:creator>
  <cp:keywords/>
  <dc:description/>
  <cp:lastModifiedBy>Francisco José Talavera Salgado</cp:lastModifiedBy>
  <cp:revision>1</cp:revision>
  <dcterms:created xsi:type="dcterms:W3CDTF">2026-01-27T10:24:00Z</dcterms:created>
  <dcterms:modified xsi:type="dcterms:W3CDTF">2026-01-27T10:48:00Z</dcterms:modified>
</cp:coreProperties>
</file>