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2932" w14:textId="77777777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 Máster en Historia Moderna </w:t>
      </w:r>
    </w:p>
    <w:p w14:paraId="73C15341" w14:textId="77777777" w:rsidR="00F34C1A" w:rsidRPr="00F34C1A" w:rsidRDefault="00F34C1A" w:rsidP="00F34C1A">
      <w:pPr>
        <w:spacing w:before="120" w:after="120" w:line="240" w:lineRule="auto"/>
        <w:contextualSpacing/>
        <w:jc w:val="both"/>
        <w:rPr>
          <w:b/>
          <w:bCs/>
          <w:sz w:val="22"/>
          <w:szCs w:val="22"/>
        </w:rPr>
      </w:pPr>
      <w:r w:rsidRPr="00F34C1A">
        <w:rPr>
          <w:b/>
          <w:bCs/>
          <w:sz w:val="22"/>
          <w:szCs w:val="22"/>
        </w:rPr>
        <w:t xml:space="preserve">“Monarquía de España, siglos XVI-XVIII” </w:t>
      </w:r>
    </w:p>
    <w:p w14:paraId="5AA3DAA0" w14:textId="77777777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La derrota del partido austracista y los votos del Consejo de Estado de julio de 1700 ante la conflictiva sucesión de Carlos II </w:t>
      </w:r>
    </w:p>
    <w:p w14:paraId="5B070942" w14:textId="77777777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The defeat of the Austracist party and the votes of the Council of State of July 1700 before the conflictive succession of Carlos II </w:t>
      </w:r>
    </w:p>
    <w:p w14:paraId="37FB20B6" w14:textId="77777777" w:rsidR="00F34C1A" w:rsidRPr="00F34C1A" w:rsidRDefault="00F34C1A" w:rsidP="00F34C1A">
      <w:pPr>
        <w:spacing w:before="120" w:after="120" w:line="240" w:lineRule="auto"/>
        <w:contextualSpacing/>
        <w:jc w:val="both"/>
        <w:rPr>
          <w:b/>
          <w:bCs/>
          <w:sz w:val="22"/>
          <w:szCs w:val="22"/>
        </w:rPr>
      </w:pPr>
      <w:r w:rsidRPr="00F34C1A">
        <w:rPr>
          <w:b/>
          <w:bCs/>
          <w:sz w:val="22"/>
          <w:szCs w:val="22"/>
        </w:rPr>
        <w:t xml:space="preserve">Rafael Cantero Bonilla </w:t>
      </w:r>
    </w:p>
    <w:p w14:paraId="29AC1A59" w14:textId="51FB013E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Director  Antonio Álvarez-Ossorio Alvariño </w:t>
      </w:r>
    </w:p>
    <w:p w14:paraId="01B35E8F" w14:textId="26DEAF03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Codirectora  Marina Torres Arce </w:t>
      </w:r>
    </w:p>
    <w:p w14:paraId="70F31C53" w14:textId="593F5429" w:rsidR="00F34C1A" w:rsidRPr="00F34C1A" w:rsidRDefault="00F34C1A" w:rsidP="00F34C1A">
      <w:pPr>
        <w:spacing w:before="120" w:after="120" w:line="240" w:lineRule="auto"/>
        <w:contextualSpacing/>
        <w:jc w:val="both"/>
        <w:rPr>
          <w:sz w:val="22"/>
          <w:szCs w:val="22"/>
        </w:rPr>
      </w:pPr>
      <w:r w:rsidRPr="00F34C1A">
        <w:rPr>
          <w:sz w:val="22"/>
          <w:szCs w:val="22"/>
        </w:rPr>
        <w:t>Curso 2016 / 2017</w:t>
      </w:r>
    </w:p>
    <w:p w14:paraId="63D65076" w14:textId="77777777" w:rsidR="00F34C1A" w:rsidRPr="00F34C1A" w:rsidRDefault="00F34C1A" w:rsidP="00F34C1A">
      <w:pPr>
        <w:spacing w:before="120" w:after="120" w:line="240" w:lineRule="auto"/>
        <w:jc w:val="both"/>
        <w:rPr>
          <w:b/>
          <w:bCs/>
          <w:sz w:val="22"/>
          <w:szCs w:val="22"/>
        </w:rPr>
      </w:pPr>
    </w:p>
    <w:p w14:paraId="1F228DA8" w14:textId="47ECD5E3" w:rsidR="003B5AAA" w:rsidRPr="00F34C1A" w:rsidRDefault="00F34C1A" w:rsidP="00F34C1A">
      <w:pPr>
        <w:spacing w:before="120" w:after="120" w:line="240" w:lineRule="auto"/>
        <w:jc w:val="both"/>
        <w:rPr>
          <w:b/>
          <w:bCs/>
          <w:sz w:val="22"/>
          <w:szCs w:val="22"/>
        </w:rPr>
      </w:pPr>
      <w:r w:rsidRPr="00F34C1A">
        <w:rPr>
          <w:b/>
          <w:bCs/>
          <w:sz w:val="22"/>
          <w:szCs w:val="22"/>
        </w:rPr>
        <w:t>Bibliografías</w:t>
      </w:r>
    </w:p>
    <w:p w14:paraId="143D2BFD" w14:textId="3C384115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 MARTÍNEZ LÓPEZ, R.; ““La infanta se ha de casar con quien facilite la Paz o disponga los medios para la guerra”. Las negociaciones para la realización del matrimonio entre la infanta María Teresa y Leopoldo (1654-1657)” en </w:t>
      </w:r>
      <w:r w:rsidRPr="00F34C1A">
        <w:rPr>
          <w:i/>
          <w:iCs/>
          <w:sz w:val="22"/>
          <w:szCs w:val="22"/>
        </w:rPr>
        <w:t>Revista de Historia Moderna nº33</w:t>
      </w:r>
      <w:r w:rsidRPr="00F34C1A">
        <w:rPr>
          <w:sz w:val="22"/>
          <w:szCs w:val="22"/>
        </w:rPr>
        <w:t xml:space="preserve">. 2015 p.p.79-99.  </w:t>
      </w:r>
    </w:p>
    <w:p w14:paraId="28EA825D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2 Una breve pero clarificadora exposición de los derechos dinásticos de las infantas y de sus respectivas renuncias se puede encontrar en RIBOT, L.; </w:t>
      </w:r>
      <w:r w:rsidRPr="00F34C1A">
        <w:rPr>
          <w:i/>
          <w:iCs/>
          <w:sz w:val="22"/>
          <w:szCs w:val="22"/>
        </w:rPr>
        <w:t>El Arte de gobernar. Estudios sobre la España de los Austrias</w:t>
      </w:r>
      <w:r w:rsidRPr="00F34C1A">
        <w:rPr>
          <w:sz w:val="22"/>
          <w:szCs w:val="22"/>
        </w:rPr>
        <w:t xml:space="preserve">. Madrid, 2006, p.p.228-230. </w:t>
      </w:r>
    </w:p>
    <w:p w14:paraId="558E8EA8" w14:textId="4797EFB1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 HERRERO SÁNCHEZ, M.; “La Guerra de Sucesión en su dimensión internacional: Antecedentes, continuidades y modelos en conflicto” en TORRES ARCE, M. y TRUCHUELO GARCÍA, S. (eds.) </w:t>
      </w:r>
      <w:r w:rsidRPr="00F34C1A">
        <w:rPr>
          <w:i/>
          <w:iCs/>
          <w:sz w:val="22"/>
          <w:szCs w:val="22"/>
        </w:rPr>
        <w:t xml:space="preserve">Europa en torno a Utrecht. </w:t>
      </w:r>
      <w:r w:rsidRPr="00F34C1A">
        <w:rPr>
          <w:sz w:val="22"/>
          <w:szCs w:val="22"/>
        </w:rPr>
        <w:t xml:space="preserve">Santander, 2014, p.51  </w:t>
      </w:r>
    </w:p>
    <w:p w14:paraId="7DD794FE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4 La edición con la que he trabajado es la publicada en 2004 por el Centro de estudios políticos y constitucionales de la Real Academia de la Historia.  </w:t>
      </w:r>
    </w:p>
    <w:p w14:paraId="5AD08D49" w14:textId="5E6C5A78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5 Así se plantea en RIBOT, L.; “El rey ante el espejo. Historia y memoria de Carlos II” en RIBOT, L. (dir.) </w:t>
      </w:r>
      <w:r w:rsidRPr="00F34C1A">
        <w:rPr>
          <w:i/>
          <w:iCs/>
          <w:sz w:val="22"/>
          <w:szCs w:val="22"/>
        </w:rPr>
        <w:t xml:space="preserve">Carlos II el rey y su entorno cortesano. </w:t>
      </w:r>
      <w:r w:rsidRPr="00F34C1A">
        <w:rPr>
          <w:sz w:val="22"/>
          <w:szCs w:val="22"/>
        </w:rPr>
        <w:t xml:space="preserve">Madrid, 2009, p.13, donde se resumen las medidas económicas tomadas y se valora la labor de ministros como Medinaceli u Oropesa. ANDRÉS UCENDO, J.I. y LANZA GARCÍA, R.; “Presentación. Hacienda y economía en la Castilla del siglo XVII” en </w:t>
      </w:r>
      <w:r w:rsidRPr="00F34C1A">
        <w:rPr>
          <w:i/>
          <w:iCs/>
          <w:sz w:val="22"/>
          <w:szCs w:val="22"/>
        </w:rPr>
        <w:t>Studia histórica, Historia Moderna</w:t>
      </w:r>
      <w:r w:rsidRPr="00F34C1A">
        <w:rPr>
          <w:sz w:val="22"/>
          <w:szCs w:val="22"/>
        </w:rPr>
        <w:t xml:space="preserve">, 32, 2010. Este artículo repasa el estado de la cuestión acerca de la Historia económica de Castilla del siglo XVII citando tanto a autores tradicionales como los trabajos más recientes de investigaciones referentes a la materia. YUN CASTILLA, B.; “Del Centro a la Periferia: La economía española bajo Carlos II” en </w:t>
      </w:r>
      <w:r w:rsidRPr="00F34C1A">
        <w:rPr>
          <w:i/>
          <w:iCs/>
          <w:sz w:val="22"/>
          <w:szCs w:val="22"/>
        </w:rPr>
        <w:t>Studia histórica, Historia moderna, 20</w:t>
      </w:r>
      <w:r w:rsidRPr="00F34C1A">
        <w:rPr>
          <w:sz w:val="22"/>
          <w:szCs w:val="22"/>
        </w:rPr>
        <w:t xml:space="preserve">. Salamanca, 1999, p.p.45-75. SÁNCHEZ BELÉN, J.A.; </w:t>
      </w:r>
      <w:r w:rsidRPr="00F34C1A">
        <w:rPr>
          <w:i/>
          <w:iCs/>
          <w:sz w:val="22"/>
          <w:szCs w:val="22"/>
        </w:rPr>
        <w:t xml:space="preserve">La política fiscal en Castilla durante el reinado de Carlos II. </w:t>
      </w:r>
      <w:r w:rsidRPr="00F34C1A">
        <w:rPr>
          <w:sz w:val="22"/>
          <w:szCs w:val="22"/>
        </w:rPr>
        <w:t xml:space="preserve">Madrid, 1996. FONT DE VILLANUEVA, C.; “La estabilización monetaria de 1680-1686. Pensamiento y política económica” en </w:t>
      </w:r>
      <w:r w:rsidRPr="00F34C1A">
        <w:rPr>
          <w:i/>
          <w:iCs/>
          <w:sz w:val="22"/>
          <w:szCs w:val="22"/>
        </w:rPr>
        <w:t>Estudios de Historia Económica nº 58</w:t>
      </w:r>
      <w:r w:rsidRPr="00F34C1A">
        <w:rPr>
          <w:sz w:val="22"/>
          <w:szCs w:val="22"/>
        </w:rPr>
        <w:t xml:space="preserve">. Banco de España, Madrid, 2008. </w:t>
      </w:r>
    </w:p>
    <w:p w14:paraId="7E4EFE85" w14:textId="0DC90C6E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6 FERNÁNDEZ NADAL, M.C.; </w:t>
      </w:r>
      <w:r w:rsidRPr="00F34C1A">
        <w:rPr>
          <w:i/>
          <w:iCs/>
          <w:sz w:val="22"/>
          <w:szCs w:val="22"/>
        </w:rPr>
        <w:t>La política exterior de la monarquía de Carlos II. El consejo de Estado y la Embajada de Londres. 1665-1700</w:t>
      </w:r>
      <w:r w:rsidRPr="00F34C1A">
        <w:rPr>
          <w:sz w:val="22"/>
          <w:szCs w:val="22"/>
        </w:rPr>
        <w:t xml:space="preserve">. Gijón, 2009. La sucesión de crisis y guerras frente a Luis XIV y el componente cada vez mayor de búsqueda de beneficio y poder en STRADLING, R.A.; </w:t>
      </w:r>
      <w:r w:rsidRPr="00F34C1A">
        <w:rPr>
          <w:i/>
          <w:iCs/>
          <w:sz w:val="22"/>
          <w:szCs w:val="22"/>
        </w:rPr>
        <w:t>Europa y el declive de la estructura imperial española</w:t>
      </w:r>
      <w:r w:rsidRPr="00F34C1A">
        <w:rPr>
          <w:sz w:val="22"/>
          <w:szCs w:val="22"/>
        </w:rPr>
        <w:t xml:space="preserve">. Capítulo IV. Madrid. 1983, p.p. 191-228  </w:t>
      </w:r>
    </w:p>
    <w:p w14:paraId="6A4EF7E3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7 RIBOT, L.; “El rey ante el espejo. Historia y memoria de Carlos II” en RIBOT, L. (Dir.); </w:t>
      </w:r>
      <w:r w:rsidRPr="00F34C1A">
        <w:rPr>
          <w:i/>
          <w:iCs/>
          <w:sz w:val="22"/>
          <w:szCs w:val="22"/>
        </w:rPr>
        <w:t>El arte de gobernar</w:t>
      </w:r>
      <w:r w:rsidRPr="00F34C1A">
        <w:rPr>
          <w:sz w:val="22"/>
          <w:szCs w:val="22"/>
        </w:rPr>
        <w:t xml:space="preserve">, Centro de Estudios Europa Hispánica, 2009. Cita 65, p.40, BACALLAR Y SANNA, V.; </w:t>
      </w:r>
      <w:r w:rsidRPr="00F34C1A">
        <w:rPr>
          <w:i/>
          <w:iCs/>
          <w:sz w:val="22"/>
          <w:szCs w:val="22"/>
        </w:rPr>
        <w:t xml:space="preserve">Comentarios a la guerra de España e historia de su rey Felipe V el Animoso, desde el principio de su reinado hasta la paz general del año 1725. </w:t>
      </w:r>
      <w:r w:rsidRPr="00F34C1A">
        <w:rPr>
          <w:sz w:val="22"/>
          <w:szCs w:val="22"/>
        </w:rPr>
        <w:t xml:space="preserve">Cita 66, BELANDO, N.; </w:t>
      </w:r>
      <w:r w:rsidRPr="00F34C1A">
        <w:rPr>
          <w:i/>
          <w:iCs/>
          <w:sz w:val="22"/>
          <w:szCs w:val="22"/>
        </w:rPr>
        <w:t xml:space="preserve">Historia civil de España, Sucesos de la guerra y tratados de paz, desde el año de mil setecientos hasta el de mil setecientos y treinta y tres. </w:t>
      </w:r>
    </w:p>
    <w:p w14:paraId="7288AFA1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8 ISLA, J.F. de; </w:t>
      </w:r>
      <w:r w:rsidRPr="00F34C1A">
        <w:rPr>
          <w:i/>
          <w:iCs/>
          <w:sz w:val="22"/>
          <w:szCs w:val="22"/>
        </w:rPr>
        <w:t xml:space="preserve">Compendio de la Historia de España, vol. II, </w:t>
      </w:r>
      <w:r w:rsidRPr="00F34C1A">
        <w:rPr>
          <w:sz w:val="22"/>
          <w:szCs w:val="22"/>
        </w:rPr>
        <w:t xml:space="preserve">p.p.352.363 </w:t>
      </w:r>
    </w:p>
    <w:p w14:paraId="00C6B079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9 CADALSO, J.; </w:t>
      </w:r>
      <w:r w:rsidRPr="00F34C1A">
        <w:rPr>
          <w:i/>
          <w:iCs/>
          <w:sz w:val="22"/>
          <w:szCs w:val="22"/>
        </w:rPr>
        <w:t xml:space="preserve">Defensa de la nación española contra la Carta Persiana LXXVIII de Montesquieu. </w:t>
      </w:r>
      <w:r w:rsidRPr="00F34C1A">
        <w:rPr>
          <w:sz w:val="22"/>
          <w:szCs w:val="22"/>
        </w:rPr>
        <w:t xml:space="preserve">Tolouse, 1979, p.p. 9-10 </w:t>
      </w:r>
    </w:p>
    <w:p w14:paraId="58EAE7C9" w14:textId="616CC488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lastRenderedPageBreak/>
        <w:t xml:space="preserve">10 VOLTAIRE; </w:t>
      </w:r>
      <w:r w:rsidRPr="00F34C1A">
        <w:rPr>
          <w:i/>
          <w:iCs/>
          <w:sz w:val="22"/>
          <w:szCs w:val="22"/>
        </w:rPr>
        <w:t xml:space="preserve">El siglo de Luis XIV. </w:t>
      </w:r>
      <w:r w:rsidRPr="00F34C1A">
        <w:rPr>
          <w:sz w:val="22"/>
          <w:szCs w:val="22"/>
        </w:rPr>
        <w:t xml:space="preserve">Edición del Fondo de Cultura Económico de México, 1974, p.126; obtenido en el Portal Librodot. El autor hace referencia a la Memorias del Marqués de Torcy. En este mismo sentido se manifestaría más adelante Carlos Mendoza señalando que Carlos II no sabía ni donde estaban ni a quien pertenecían Namur o Mons.  </w:t>
      </w:r>
    </w:p>
    <w:p w14:paraId="5ED08E93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11 RIBOT, L.; “El rey ante el espejo. Historia y memoria de Carlos II” en RIBOT, L. (dir.); </w:t>
      </w:r>
      <w:r w:rsidRPr="00F34C1A">
        <w:rPr>
          <w:i/>
          <w:iCs/>
          <w:sz w:val="22"/>
          <w:szCs w:val="22"/>
        </w:rPr>
        <w:t>El arte de gobernar</w:t>
      </w:r>
      <w:r w:rsidRPr="00F34C1A">
        <w:rPr>
          <w:sz w:val="22"/>
          <w:szCs w:val="22"/>
        </w:rPr>
        <w:t xml:space="preserve">, Centro de Estudios Europa Hispánica, 2009, pp.42 y 43, citas de la 79 a la 85 </w:t>
      </w:r>
    </w:p>
    <w:p w14:paraId="0B2CD13F" w14:textId="01FA76DF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12 </w:t>
      </w:r>
      <w:r w:rsidRPr="00F34C1A">
        <w:rPr>
          <w:i/>
          <w:iCs/>
          <w:sz w:val="22"/>
          <w:szCs w:val="22"/>
        </w:rPr>
        <w:t>Ídem.</w:t>
      </w:r>
      <w:r w:rsidRPr="00F34C1A">
        <w:rPr>
          <w:sz w:val="22"/>
          <w:szCs w:val="22"/>
        </w:rPr>
        <w:t xml:space="preserve">, p.44, citas 86, 90 y 91 referentes a las obras de M. MORAYTA, ORODEA E IBARRA y CARLOS MENDOZA.  </w:t>
      </w:r>
    </w:p>
    <w:p w14:paraId="1D09BA22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13 JUDERÍAS Y LOYOT, J.; </w:t>
      </w:r>
      <w:r w:rsidRPr="00F34C1A">
        <w:rPr>
          <w:i/>
          <w:iCs/>
          <w:sz w:val="22"/>
          <w:szCs w:val="22"/>
        </w:rPr>
        <w:t xml:space="preserve">España en tiempo de Carlos II el Hechizado. </w:t>
      </w:r>
      <w:r w:rsidRPr="00F34C1A">
        <w:rPr>
          <w:sz w:val="22"/>
          <w:szCs w:val="22"/>
        </w:rPr>
        <w:t xml:space="preserve">Pamplona 2011, p.6. Esta edición está basada en el texto publicado en Madrid en 1912 por la Revista de Archivos, Bibliotecas y Museos, p.6 </w:t>
      </w:r>
    </w:p>
    <w:p w14:paraId="193661CD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14 </w:t>
      </w:r>
      <w:r w:rsidRPr="00F34C1A">
        <w:rPr>
          <w:i/>
          <w:iCs/>
          <w:sz w:val="22"/>
          <w:szCs w:val="22"/>
        </w:rPr>
        <w:t>Ídem.</w:t>
      </w:r>
      <w:r w:rsidRPr="00F34C1A">
        <w:rPr>
          <w:sz w:val="22"/>
          <w:szCs w:val="22"/>
        </w:rPr>
        <w:t xml:space="preserve">, p.252 </w:t>
      </w:r>
    </w:p>
    <w:p w14:paraId="5652B8D5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15 PFANDL, L.; </w:t>
      </w:r>
      <w:r w:rsidRPr="00F34C1A">
        <w:rPr>
          <w:i/>
          <w:iCs/>
          <w:sz w:val="22"/>
          <w:szCs w:val="22"/>
        </w:rPr>
        <w:t>Carlos II</w:t>
      </w:r>
      <w:r w:rsidRPr="00F34C1A">
        <w:rPr>
          <w:sz w:val="22"/>
          <w:szCs w:val="22"/>
        </w:rPr>
        <w:t xml:space="preserve">. Madrid 1947, p.p. 385-392 </w:t>
      </w:r>
    </w:p>
    <w:p w14:paraId="3E89A888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16 MAURA Y GAMAZO, G.; </w:t>
      </w:r>
      <w:r w:rsidRPr="00F34C1A">
        <w:rPr>
          <w:i/>
          <w:iCs/>
          <w:sz w:val="22"/>
          <w:szCs w:val="22"/>
        </w:rPr>
        <w:t xml:space="preserve">Carlos II y su Corte. </w:t>
      </w:r>
      <w:r w:rsidRPr="00F34C1A">
        <w:rPr>
          <w:sz w:val="22"/>
          <w:szCs w:val="22"/>
        </w:rPr>
        <w:t xml:space="preserve">Tomos I y II publicados en Madrid entre 1911 y 1915 </w:t>
      </w:r>
    </w:p>
    <w:p w14:paraId="7537B1A2" w14:textId="42134B7D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17La edición utilizada es MAURA Y GAMAZO, G.; </w:t>
      </w:r>
      <w:r w:rsidRPr="00F34C1A">
        <w:rPr>
          <w:i/>
          <w:iCs/>
          <w:sz w:val="22"/>
          <w:szCs w:val="22"/>
        </w:rPr>
        <w:t>Vida y reinado de Carlos II</w:t>
      </w:r>
      <w:r w:rsidRPr="00F34C1A">
        <w:rPr>
          <w:sz w:val="22"/>
          <w:szCs w:val="22"/>
        </w:rPr>
        <w:t xml:space="preserve">. Aguilar, S.A.; Madrid 1990.  </w:t>
      </w:r>
    </w:p>
    <w:p w14:paraId="65944575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18 REGLÁ, J.; “ Los Austrias. Imperio español en América” en </w:t>
      </w:r>
      <w:r w:rsidRPr="00F34C1A">
        <w:rPr>
          <w:i/>
          <w:iCs/>
          <w:sz w:val="22"/>
          <w:szCs w:val="22"/>
        </w:rPr>
        <w:t xml:space="preserve">Historia de España y América: imperio, aristocracia, absolutismo. </w:t>
      </w:r>
      <w:r w:rsidRPr="00F34C1A">
        <w:rPr>
          <w:sz w:val="22"/>
          <w:szCs w:val="22"/>
        </w:rPr>
        <w:t xml:space="preserve">Volumen 3. Barcelona, 1958. </w:t>
      </w:r>
    </w:p>
    <w:p w14:paraId="043983AA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19 La postura más cercana a la de Maura puede leerse en DOMÍNGUEZ ORTIZ, A.; “Introducción al testamento de Carlos II” en </w:t>
      </w:r>
      <w:r w:rsidRPr="00F34C1A">
        <w:rPr>
          <w:i/>
          <w:iCs/>
          <w:sz w:val="22"/>
          <w:szCs w:val="22"/>
        </w:rPr>
        <w:t xml:space="preserve">El Testamento de Carlos II. </w:t>
      </w:r>
      <w:r w:rsidRPr="00F34C1A">
        <w:rPr>
          <w:sz w:val="22"/>
          <w:szCs w:val="22"/>
        </w:rPr>
        <w:t xml:space="preserve">Madrid, 1982. </w:t>
      </w:r>
    </w:p>
    <w:p w14:paraId="2D7CB480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20 RIBOT, L.; </w:t>
      </w:r>
      <w:r w:rsidRPr="00F34C1A">
        <w:rPr>
          <w:i/>
          <w:iCs/>
          <w:sz w:val="22"/>
          <w:szCs w:val="22"/>
        </w:rPr>
        <w:t xml:space="preserve">El arte de gobernar. Estudios sobre la España de los Austrias. </w:t>
      </w:r>
      <w:r w:rsidRPr="00F34C1A">
        <w:rPr>
          <w:sz w:val="22"/>
          <w:szCs w:val="22"/>
        </w:rPr>
        <w:t xml:space="preserve">Madrid, 2006; la obra colectiva por él dirigida </w:t>
      </w:r>
      <w:r w:rsidRPr="00F34C1A">
        <w:rPr>
          <w:i/>
          <w:iCs/>
          <w:sz w:val="22"/>
          <w:szCs w:val="22"/>
        </w:rPr>
        <w:t>Carlos II, el rey y su entorno cortesano</w:t>
      </w:r>
      <w:r w:rsidRPr="00F34C1A">
        <w:rPr>
          <w:sz w:val="22"/>
          <w:szCs w:val="22"/>
        </w:rPr>
        <w:t xml:space="preserve">. Madrid, 2009; la, también obra colectiva, editada junto a IÑURRITEGUI, J.M.; </w:t>
      </w:r>
      <w:r w:rsidRPr="00F34C1A">
        <w:rPr>
          <w:i/>
          <w:iCs/>
          <w:sz w:val="22"/>
          <w:szCs w:val="22"/>
        </w:rPr>
        <w:t>Europa y los tratados de reparto de la Monarquía de España, 1668-1700</w:t>
      </w:r>
      <w:r w:rsidRPr="00F34C1A">
        <w:rPr>
          <w:sz w:val="22"/>
          <w:szCs w:val="22"/>
        </w:rPr>
        <w:t xml:space="preserve">. Madrid, 2016 y su discurso de ingreso en la Real Academia de la Historia, </w:t>
      </w:r>
      <w:r w:rsidRPr="00F34C1A">
        <w:rPr>
          <w:i/>
          <w:iCs/>
          <w:sz w:val="22"/>
          <w:szCs w:val="22"/>
        </w:rPr>
        <w:t xml:space="preserve">Orígenes políticos del Testamento de Carlos II. La gestación del cambio dinástico en España. </w:t>
      </w:r>
      <w:r w:rsidRPr="00F34C1A">
        <w:rPr>
          <w:sz w:val="22"/>
          <w:szCs w:val="22"/>
        </w:rPr>
        <w:t xml:space="preserve">Madrid, 2010. </w:t>
      </w:r>
    </w:p>
    <w:p w14:paraId="24255EA1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21 KAMEN, H.; </w:t>
      </w:r>
      <w:r w:rsidRPr="00F34C1A">
        <w:rPr>
          <w:i/>
          <w:iCs/>
          <w:sz w:val="22"/>
          <w:szCs w:val="22"/>
        </w:rPr>
        <w:t>La España de Carlos II</w:t>
      </w:r>
      <w:r w:rsidRPr="00F34C1A">
        <w:rPr>
          <w:sz w:val="22"/>
          <w:szCs w:val="22"/>
        </w:rPr>
        <w:t xml:space="preserve">. Barcelona 1981. </w:t>
      </w:r>
    </w:p>
    <w:p w14:paraId="48AC0EF2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22 STRADLING, R.; </w:t>
      </w:r>
      <w:r w:rsidRPr="00F34C1A">
        <w:rPr>
          <w:i/>
          <w:iCs/>
          <w:sz w:val="22"/>
          <w:szCs w:val="22"/>
        </w:rPr>
        <w:t>Europa y el declive de la estructura imperial española</w:t>
      </w:r>
      <w:r w:rsidRPr="00F34C1A">
        <w:rPr>
          <w:sz w:val="22"/>
          <w:szCs w:val="22"/>
        </w:rPr>
        <w:t xml:space="preserve">. Madrid, 1983. </w:t>
      </w:r>
    </w:p>
    <w:p w14:paraId="0BC62632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i/>
          <w:iCs/>
          <w:sz w:val="22"/>
          <w:szCs w:val="22"/>
        </w:rPr>
        <w:t xml:space="preserve">23 </w:t>
      </w:r>
      <w:r w:rsidRPr="00F34C1A">
        <w:rPr>
          <w:sz w:val="22"/>
          <w:szCs w:val="22"/>
        </w:rPr>
        <w:t>ELLIOTT, J.H</w:t>
      </w:r>
      <w:r w:rsidRPr="00F34C1A">
        <w:rPr>
          <w:i/>
          <w:iCs/>
          <w:sz w:val="22"/>
          <w:szCs w:val="22"/>
        </w:rPr>
        <w:t>.; La España Imperial (1ª edición 1963). Barcelona 1996, p.407</w:t>
      </w:r>
      <w:r w:rsidRPr="00F34C1A">
        <w:rPr>
          <w:sz w:val="22"/>
          <w:szCs w:val="22"/>
        </w:rPr>
        <w:t xml:space="preserve">. </w:t>
      </w:r>
    </w:p>
    <w:p w14:paraId="704BBE7E" w14:textId="4BB3FC31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24 STORRS, C.; </w:t>
      </w:r>
      <w:r w:rsidRPr="00F34C1A">
        <w:rPr>
          <w:i/>
          <w:iCs/>
          <w:sz w:val="22"/>
          <w:szCs w:val="22"/>
        </w:rPr>
        <w:t>The resilience of the Spanish Monarchy, 1665-1700</w:t>
      </w:r>
      <w:r w:rsidRPr="00F34C1A">
        <w:rPr>
          <w:sz w:val="22"/>
          <w:szCs w:val="22"/>
        </w:rPr>
        <w:t xml:space="preserve">, Oxford University Press, 2006, traducido al español como </w:t>
      </w:r>
      <w:r w:rsidRPr="00F34C1A">
        <w:rPr>
          <w:i/>
          <w:iCs/>
          <w:sz w:val="22"/>
          <w:szCs w:val="22"/>
        </w:rPr>
        <w:t>La resistencia de la Monarquía española, 1665-1700</w:t>
      </w:r>
      <w:r w:rsidRPr="00F34C1A">
        <w:rPr>
          <w:sz w:val="22"/>
          <w:szCs w:val="22"/>
        </w:rPr>
        <w:t xml:space="preserve">, Madrid, 2013. Ha sido traducido el término “resilience” como “resistencia”, algo que no es del todo correcto.  </w:t>
      </w:r>
    </w:p>
    <w:p w14:paraId="57BD8866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25 CARRASCO MARTÍNEZ, A.; “Los Grandes, el poder y la cultura política de la nobleza en el reinado de Carlos II” en Studia histórica, Historia moderna, 20, p.p.77-136, Salamanca, 1999.</w:t>
      </w:r>
    </w:p>
    <w:p w14:paraId="1D26989C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26 MOLAS RIBALTA, P.; “La Razón de Estado y la Sucesión española”, conferencia impartida en la Universitat de Valencia en 1998. Incluida en La Razón de Estado en la España Moderna. Valencia, 2000, p.p.29-36.</w:t>
      </w:r>
    </w:p>
    <w:p w14:paraId="6CB95B95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27 LÓPEZ ANGUITA, J.A.; “Madrid y Viena ante la sucesión de Carlos II: Mariana de Neoburgo, los condes de Harrach y la crisis del partido alemán en la Corte española (1696-1700) en MARTÍNEZ MILLÁN, J. y GONZÁLEZ CUERVA, R. (Coords.); La dinastía de los Austria. Las relaciones entre la Monarquía Católica y el Imperio, Volumen II. Madrid, 2011, pp.1111-1153.</w:t>
      </w:r>
    </w:p>
    <w:p w14:paraId="1DFB44D6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28 ÁLVAREZ-OSSORIO, A.; “Corte y provincia en la Monarquía Católica: la corte de Madrid y el Estado de Milán, 1660-1700” en BRAMBILLA, E. y MUTO, G. (eds.); La Lombardia spagnola. Milán, 1997, p.p.283-341 y “La Corte: un espacio abierto para la Historia Social” en La Historia Social en España. Actualidad y perspectivas, Madrid, 1991, p.p. 247-260.</w:t>
      </w:r>
    </w:p>
    <w:p w14:paraId="4B8C9A30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lastRenderedPageBreak/>
        <w:t>29 ÁLVAREZ-OSSORIO, A.; “El favor real; liberalidad del príncipe y jerarquía de la república (1665-1700)” en CONTINISIO, C. y MOZZARELLI, C., (eds.); Republica e Virtú. Pensiero político e Monarchia Cattolica fra XVI e XVII Secolo, Roma, 1995, p.p. 393-453.</w:t>
      </w:r>
    </w:p>
    <w:p w14:paraId="15610E26" w14:textId="6C03F21C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30 ÁLVAREZ-OSSORIO, A.; “Prevenir la sucesión. El príncipe de Vaudémont y la red del Almirante en Lombardía” en, Estudis, revista de Historia moderna, 33. 2007, p.p. 61.91.</w:t>
      </w:r>
    </w:p>
    <w:p w14:paraId="5B7EFB53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31 GUERRERO VILLAR, J.; </w:t>
      </w:r>
      <w:r w:rsidRPr="00F34C1A">
        <w:rPr>
          <w:i/>
          <w:iCs/>
          <w:sz w:val="22"/>
          <w:szCs w:val="22"/>
        </w:rPr>
        <w:t xml:space="preserve">El Tratado de Paz con Inglaterra de 1713. Orígenes y culminación del desmembramiento de la Monarquía española. </w:t>
      </w:r>
      <w:r w:rsidRPr="00F34C1A">
        <w:rPr>
          <w:sz w:val="22"/>
          <w:szCs w:val="22"/>
        </w:rPr>
        <w:t xml:space="preserve">Tesis doctoral, UAM, Madrid, 2008. </w:t>
      </w:r>
    </w:p>
    <w:p w14:paraId="317C93AB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32 LEÓN SANZ, V.;. </w:t>
      </w:r>
      <w:r w:rsidRPr="00F34C1A">
        <w:rPr>
          <w:i/>
          <w:iCs/>
          <w:sz w:val="22"/>
          <w:szCs w:val="22"/>
        </w:rPr>
        <w:t>El archiduque Carlos y los austracistas</w:t>
      </w:r>
      <w:r w:rsidRPr="00F34C1A">
        <w:rPr>
          <w:sz w:val="22"/>
          <w:szCs w:val="22"/>
        </w:rPr>
        <w:t xml:space="preserve">. Barcelona, 2014. Anteriores a esta obra, de la misma autora: </w:t>
      </w:r>
      <w:r w:rsidRPr="00F34C1A">
        <w:rPr>
          <w:i/>
          <w:iCs/>
          <w:sz w:val="22"/>
          <w:szCs w:val="22"/>
        </w:rPr>
        <w:t xml:space="preserve">Entre Austrias y borbones: el archiduque Carlos y la monarquía de España (1700-1714). </w:t>
      </w:r>
      <w:r w:rsidRPr="00F34C1A">
        <w:rPr>
          <w:sz w:val="22"/>
          <w:szCs w:val="22"/>
        </w:rPr>
        <w:t xml:space="preserve">Madrid, 1993. </w:t>
      </w:r>
      <w:r w:rsidRPr="00F34C1A">
        <w:rPr>
          <w:i/>
          <w:iCs/>
          <w:sz w:val="22"/>
          <w:szCs w:val="22"/>
        </w:rPr>
        <w:t xml:space="preserve">Carlos VI, el emperador que no pudo ser Rey de España. </w:t>
      </w:r>
      <w:r w:rsidRPr="00F34C1A">
        <w:rPr>
          <w:sz w:val="22"/>
          <w:szCs w:val="22"/>
        </w:rPr>
        <w:t xml:space="preserve">Madrid, 2003 </w:t>
      </w:r>
    </w:p>
    <w:p w14:paraId="1339CBE9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33 QUIRÓS ROSADO, R.; “Hault et puissant price, mon très cher et très aymé bon cousin et nepveu”. El archiduque Carlos y la Monarquía de España (1685-1700) en </w:t>
      </w:r>
      <w:r w:rsidRPr="00F34C1A">
        <w:rPr>
          <w:i/>
          <w:iCs/>
          <w:sz w:val="22"/>
          <w:szCs w:val="22"/>
        </w:rPr>
        <w:t xml:space="preserve">Mediterránea – ricerche storiche </w:t>
      </w:r>
      <w:r w:rsidRPr="00F34C1A">
        <w:rPr>
          <w:sz w:val="22"/>
          <w:szCs w:val="22"/>
        </w:rPr>
        <w:t xml:space="preserve">–, nº33 Anno XII. Palermo, 2015, pp.47-78. </w:t>
      </w:r>
    </w:p>
    <w:p w14:paraId="2B505362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34 VICENT LÓPEZ, I.Mª.; “Entre prudentes y discretos. La conservación de la Monarquía Católica ante el Tratado de Repartición de 1700” en </w:t>
      </w:r>
      <w:r w:rsidRPr="00F34C1A">
        <w:rPr>
          <w:i/>
          <w:iCs/>
          <w:sz w:val="22"/>
          <w:szCs w:val="22"/>
        </w:rPr>
        <w:t>Espacio, Tiempo y forma</w:t>
      </w:r>
      <w:r w:rsidRPr="00F34C1A">
        <w:rPr>
          <w:sz w:val="22"/>
          <w:szCs w:val="22"/>
        </w:rPr>
        <w:t xml:space="preserve">, Serie IV, Historia Moderna, t. 9, 1996, pp.323-337 y “El discurso de la fidelidad durante la Guerra de Sucesión” en </w:t>
      </w:r>
      <w:r w:rsidRPr="00F34C1A">
        <w:rPr>
          <w:i/>
          <w:iCs/>
          <w:sz w:val="22"/>
          <w:szCs w:val="22"/>
        </w:rPr>
        <w:t>Espacio, Tiempo y forma</w:t>
      </w:r>
      <w:r w:rsidRPr="00F34C1A">
        <w:rPr>
          <w:sz w:val="22"/>
          <w:szCs w:val="22"/>
        </w:rPr>
        <w:t xml:space="preserve">, Serie IV, Historia Moderna, t. 13, 2000, pp.61-82. </w:t>
      </w:r>
    </w:p>
    <w:p w14:paraId="439B90BF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35 En esta línea pueden citarse TESTINO ZAFIROPOULOS, A.; “Querellas políticas en torno al Conde de Oropesa en las postrimerías del reinado de Carlos II” en </w:t>
      </w:r>
      <w:r w:rsidRPr="00F34C1A">
        <w:rPr>
          <w:i/>
          <w:iCs/>
          <w:sz w:val="22"/>
          <w:szCs w:val="22"/>
        </w:rPr>
        <w:t>Atlante. Revue d´etudes romanes</w:t>
      </w:r>
      <w:r w:rsidRPr="00F34C1A">
        <w:rPr>
          <w:sz w:val="22"/>
          <w:szCs w:val="22"/>
        </w:rPr>
        <w:t xml:space="preserve">, 2. 2015, pp.264-291; El libro de PEÑA IZQUIERDO, A.R.; La Casa de Palma: </w:t>
      </w:r>
      <w:r w:rsidRPr="00F34C1A">
        <w:rPr>
          <w:i/>
          <w:iCs/>
          <w:sz w:val="22"/>
          <w:szCs w:val="22"/>
        </w:rPr>
        <w:t>La familia Portocarrero en el gobierno de la Monarquía hispánica (1665-1700)</w:t>
      </w:r>
      <w:r w:rsidRPr="00F34C1A">
        <w:rPr>
          <w:sz w:val="22"/>
          <w:szCs w:val="22"/>
        </w:rPr>
        <w:t xml:space="preserve">. Córdoba, 2004 que recoge su tesis doctoral: </w:t>
      </w:r>
      <w:r w:rsidRPr="00F34C1A">
        <w:rPr>
          <w:i/>
          <w:iCs/>
          <w:sz w:val="22"/>
          <w:szCs w:val="22"/>
        </w:rPr>
        <w:t>La crisis sucesoria de la Monarquía española. El Cardenal Portocarrero y el primer gobierno de Felipe V</w:t>
      </w:r>
      <w:r w:rsidRPr="00F34C1A">
        <w:rPr>
          <w:sz w:val="22"/>
          <w:szCs w:val="22"/>
        </w:rPr>
        <w:t xml:space="preserve">. Universidad Autónoma de Barcelona; el ensayo de GONZÁLEZ MEZQUITA, M.L.; </w:t>
      </w:r>
      <w:r w:rsidRPr="00F34C1A">
        <w:rPr>
          <w:i/>
          <w:iCs/>
          <w:sz w:val="22"/>
          <w:szCs w:val="22"/>
        </w:rPr>
        <w:t xml:space="preserve">Oposición y disidencia en la Guerra de Sucesión española. El Almirante de Castilla. </w:t>
      </w:r>
      <w:r w:rsidRPr="00F34C1A">
        <w:rPr>
          <w:sz w:val="22"/>
          <w:szCs w:val="22"/>
        </w:rPr>
        <w:t xml:space="preserve">Junta de Castilla y León, Valladolid, 2007 y DE BERNARDO ARES, J.M. (Coord.); </w:t>
      </w:r>
      <w:r w:rsidRPr="00F34C1A">
        <w:rPr>
          <w:i/>
          <w:iCs/>
          <w:sz w:val="22"/>
          <w:szCs w:val="22"/>
        </w:rPr>
        <w:t>El Cardenal Portocarrero y su tiempo (1635-1709)</w:t>
      </w:r>
      <w:r w:rsidRPr="00F34C1A">
        <w:rPr>
          <w:sz w:val="22"/>
          <w:szCs w:val="22"/>
        </w:rPr>
        <w:t xml:space="preserve">, CSED, Astorga, 2013. </w:t>
      </w:r>
    </w:p>
    <w:p w14:paraId="050DA486" w14:textId="420CC76D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36 GARCÍA-BADELL ARIAS, L.M.; “La sucesión de Carlos II y las Cortes de Castilla” en </w:t>
      </w:r>
      <w:r w:rsidRPr="00F34C1A">
        <w:rPr>
          <w:i/>
          <w:iCs/>
          <w:sz w:val="22"/>
          <w:szCs w:val="22"/>
        </w:rPr>
        <w:t>Cuadernos de Historia del Derecho</w:t>
      </w:r>
      <w:r w:rsidRPr="00F34C1A">
        <w:rPr>
          <w:sz w:val="22"/>
          <w:szCs w:val="22"/>
        </w:rPr>
        <w:t xml:space="preserve">, 13, 2006, pp.111-154 y “Luis XIV ante la sucesión de la Monarquía Española: Los presupuestos de la Embajada de Amelot 1705-1706” en </w:t>
      </w:r>
      <w:r w:rsidRPr="00F34C1A">
        <w:rPr>
          <w:i/>
          <w:iCs/>
          <w:sz w:val="22"/>
          <w:szCs w:val="22"/>
        </w:rPr>
        <w:t>Cuadernos de Historia del Derecho</w:t>
      </w:r>
      <w:r w:rsidRPr="00F34C1A">
        <w:rPr>
          <w:sz w:val="22"/>
          <w:szCs w:val="22"/>
        </w:rPr>
        <w:t xml:space="preserve">, volumen extraordinario, 2010, pp.147-171.  </w:t>
      </w:r>
    </w:p>
    <w:p w14:paraId="371FCDCC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37 EGIDO, T.; “El motín madrileño de 1699” en </w:t>
      </w:r>
      <w:r w:rsidRPr="00F34C1A">
        <w:rPr>
          <w:i/>
          <w:iCs/>
          <w:sz w:val="22"/>
          <w:szCs w:val="22"/>
        </w:rPr>
        <w:t>Investigaciones históricas: Época Moderna y Contemporánea, nº2</w:t>
      </w:r>
      <w:r w:rsidRPr="00F34C1A">
        <w:rPr>
          <w:sz w:val="22"/>
          <w:szCs w:val="22"/>
        </w:rPr>
        <w:t xml:space="preserve">. Universidad de Valladolid, 1980, p.p.253-294. </w:t>
      </w:r>
    </w:p>
    <w:p w14:paraId="5A26E64C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>38 NIETO SÁNCHEZ, J.A. y GONZÁLEZ PAÑERO, J.A. “El conflicto social en el Madrid del siglo XVII” en L</w:t>
      </w:r>
      <w:r w:rsidRPr="00F34C1A">
        <w:rPr>
          <w:i/>
          <w:iCs/>
          <w:sz w:val="22"/>
          <w:szCs w:val="22"/>
        </w:rPr>
        <w:t xml:space="preserve">o conflictivo y lo consensual en Castilla: sociedad y poder político, 1521-1715. Homenaje a Francisco Tomás y Valiente. </w:t>
      </w:r>
      <w:r w:rsidRPr="00F34C1A">
        <w:rPr>
          <w:sz w:val="22"/>
          <w:szCs w:val="22"/>
        </w:rPr>
        <w:t xml:space="preserve">Murcia, 2001, pp.307-400. También NIETO SÁNCHEZ, J.A.; </w:t>
      </w:r>
      <w:r w:rsidRPr="00F34C1A">
        <w:rPr>
          <w:i/>
          <w:iCs/>
          <w:sz w:val="22"/>
          <w:szCs w:val="22"/>
        </w:rPr>
        <w:t>“El vulgo mal contentadizo”: sobre la conflictividad social en el Madrid Moderno</w:t>
      </w:r>
      <w:r w:rsidRPr="00F34C1A">
        <w:rPr>
          <w:sz w:val="22"/>
          <w:szCs w:val="22"/>
        </w:rPr>
        <w:t xml:space="preserve">. UAM, 2014 y LÓPEZ GARCÍA J.M. </w:t>
      </w:r>
      <w:r w:rsidRPr="00F34C1A">
        <w:rPr>
          <w:i/>
          <w:iCs/>
          <w:sz w:val="22"/>
          <w:szCs w:val="22"/>
        </w:rPr>
        <w:t>Protesta popular en el Madrid moderno: las lógicas del motín</w:t>
      </w:r>
      <w:r w:rsidRPr="00F34C1A">
        <w:rPr>
          <w:sz w:val="22"/>
          <w:szCs w:val="22"/>
        </w:rPr>
        <w:t xml:space="preserve">, UAM, 2015. </w:t>
      </w:r>
    </w:p>
    <w:p w14:paraId="215DCDA0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39 BELY, L.; “El marqués de Harcourt, embajador de Francia en la Corte de Carlos II: actor político y testigo” y STORRS, C.; “EL rey desconocido. Las audiencias de Carlos II con Constanzo Operti, 1690-1700) en GARCÍA GARCÍA, B.J. y ALVAREZ-OSSORIO ALVARIÑO, A. (Eds.); </w:t>
      </w:r>
      <w:r w:rsidRPr="00F34C1A">
        <w:rPr>
          <w:i/>
          <w:iCs/>
          <w:sz w:val="22"/>
          <w:szCs w:val="22"/>
        </w:rPr>
        <w:t xml:space="preserve">Vísperas de Sucesión. Europa y la Monarquía de Carlos I. </w:t>
      </w:r>
      <w:r w:rsidRPr="00F34C1A">
        <w:rPr>
          <w:sz w:val="22"/>
          <w:szCs w:val="22"/>
        </w:rPr>
        <w:t xml:space="preserve">Fundación Carlos de Amberes, 2015, pp. 259-272 y 273-296 </w:t>
      </w:r>
    </w:p>
    <w:p w14:paraId="26A628B3" w14:textId="77777777" w:rsidR="00F34C1A" w:rsidRP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t xml:space="preserve">40 En especial para el periodo que nos ocupa son reseñables: BÉLY, L.; “Preámbulo. La recomposición política de Europa” y HERRERO SÁNCHEZ, M.; “La Guerra de Sucesión en su dimensión internacional: antecedentes, continuidades y modelos en conflicto” en TORRES ARCE, M. y TRUCHUELO GARCÍA, S.; </w:t>
      </w:r>
      <w:r w:rsidRPr="00F34C1A">
        <w:rPr>
          <w:i/>
          <w:iCs/>
          <w:sz w:val="22"/>
          <w:szCs w:val="22"/>
        </w:rPr>
        <w:t xml:space="preserve">Europa en torno a Utrecht, </w:t>
      </w:r>
      <w:r w:rsidRPr="00F34C1A">
        <w:rPr>
          <w:sz w:val="22"/>
          <w:szCs w:val="22"/>
        </w:rPr>
        <w:t xml:space="preserve">Universidad de Cantabria, Santander, 2014, p.p.15-20 y 35-64. </w:t>
      </w:r>
    </w:p>
    <w:p w14:paraId="1B9ADCEB" w14:textId="4F742FFF" w:rsidR="00F34C1A" w:rsidRDefault="00F34C1A" w:rsidP="00F34C1A">
      <w:pPr>
        <w:spacing w:before="120" w:after="120" w:line="240" w:lineRule="auto"/>
        <w:jc w:val="both"/>
        <w:rPr>
          <w:sz w:val="22"/>
          <w:szCs w:val="22"/>
        </w:rPr>
      </w:pPr>
      <w:r w:rsidRPr="00F34C1A">
        <w:rPr>
          <w:sz w:val="22"/>
          <w:szCs w:val="22"/>
        </w:rPr>
        <w:lastRenderedPageBreak/>
        <w:t xml:space="preserve">41 RIBOT, L. e IÑURRITEGUI, J.M.; </w:t>
      </w:r>
      <w:r w:rsidRPr="00F34C1A">
        <w:rPr>
          <w:i/>
          <w:iCs/>
          <w:sz w:val="22"/>
          <w:szCs w:val="22"/>
        </w:rPr>
        <w:t xml:space="preserve">Europa y los tratados de reparto de la Monarquía de España, 1668-1700. </w:t>
      </w:r>
      <w:r w:rsidRPr="00F34C1A">
        <w:rPr>
          <w:sz w:val="22"/>
          <w:szCs w:val="22"/>
        </w:rPr>
        <w:t xml:space="preserve">Madrid, 2016  </w:t>
      </w:r>
    </w:p>
    <w:p w14:paraId="69E2F202" w14:textId="61E2B8BA" w:rsidR="00F34C1A" w:rsidRPr="00F34C1A" w:rsidRDefault="00F34C1A" w:rsidP="00124B4B">
      <w:pPr>
        <w:spacing w:before="120" w:after="120" w:line="240" w:lineRule="auto"/>
        <w:jc w:val="both"/>
        <w:rPr>
          <w:sz w:val="22"/>
          <w:szCs w:val="22"/>
        </w:rPr>
      </w:pPr>
    </w:p>
    <w:sectPr w:rsidR="00F34C1A" w:rsidRPr="00F34C1A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1A"/>
    <w:rsid w:val="00031986"/>
    <w:rsid w:val="00124B4B"/>
    <w:rsid w:val="003B5AAA"/>
    <w:rsid w:val="008F4827"/>
    <w:rsid w:val="00D86793"/>
    <w:rsid w:val="00E36A01"/>
    <w:rsid w:val="00EA7F85"/>
    <w:rsid w:val="00F34C1A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E04C"/>
  <w15:chartTrackingRefBased/>
  <w15:docId w15:val="{DD008C5C-2D73-4913-BA90-1AEE4810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C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C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C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1723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1</cp:revision>
  <dcterms:created xsi:type="dcterms:W3CDTF">2025-06-24T07:21:00Z</dcterms:created>
  <dcterms:modified xsi:type="dcterms:W3CDTF">2025-07-05T05:52:00Z</dcterms:modified>
</cp:coreProperties>
</file>