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7AD75" w14:textId="77777777" w:rsidR="00E52901" w:rsidRPr="00BD7056" w:rsidRDefault="00E52901" w:rsidP="00BD7056">
      <w:pPr>
        <w:spacing w:before="120" w:after="120" w:line="240" w:lineRule="auto"/>
        <w:jc w:val="both"/>
        <w:rPr>
          <w:rFonts w:ascii="Garamond" w:hAnsi="Garamond"/>
        </w:rPr>
      </w:pPr>
      <w:r w:rsidRPr="00BD7056">
        <w:rPr>
          <w:rFonts w:ascii="Garamond" w:hAnsi="Garamond"/>
        </w:rPr>
        <w:t>La prosopografía de </w:t>
      </w:r>
      <w:r w:rsidRPr="00BD7056">
        <w:rPr>
          <w:rFonts w:ascii="Garamond" w:hAnsi="Garamond"/>
          <w:b/>
          <w:bCs/>
        </w:rPr>
        <w:t>Carlos II de España</w:t>
      </w:r>
      <w:r w:rsidRPr="00BD7056">
        <w:rPr>
          <w:rFonts w:ascii="Garamond" w:hAnsi="Garamond"/>
        </w:rPr>
        <w:t>, apodado "el Hechizado", revela una apariencia física profundamente marcada por la </w:t>
      </w:r>
      <w:r w:rsidRPr="00BD7056">
        <w:rPr>
          <w:rFonts w:ascii="Garamond" w:hAnsi="Garamond"/>
          <w:b/>
          <w:bCs/>
        </w:rPr>
        <w:t>consanguinidad</w:t>
      </w:r>
      <w:r w:rsidRPr="00BD7056">
        <w:rPr>
          <w:rFonts w:ascii="Garamond" w:hAnsi="Garamond"/>
        </w:rPr>
        <w:t> de la dinastía Habsburgo. Sus rasgos más distintivos incluyen: </w:t>
      </w:r>
    </w:p>
    <w:p w14:paraId="05D6174E" w14:textId="77777777" w:rsidR="00E52901" w:rsidRPr="00BD7056" w:rsidRDefault="00E52901" w:rsidP="00BD7056">
      <w:pPr>
        <w:numPr>
          <w:ilvl w:val="0"/>
          <w:numId w:val="1"/>
        </w:numPr>
        <w:spacing w:before="120" w:after="120" w:line="240" w:lineRule="auto"/>
        <w:jc w:val="both"/>
        <w:rPr>
          <w:rFonts w:ascii="Garamond" w:hAnsi="Garamond"/>
        </w:rPr>
      </w:pPr>
      <w:r w:rsidRPr="00BD7056">
        <w:rPr>
          <w:rFonts w:ascii="Garamond" w:hAnsi="Garamond"/>
          <w:b/>
          <w:bCs/>
        </w:rPr>
        <w:t>Rostro y mandíbula:</w:t>
      </w:r>
      <w:r w:rsidRPr="00BD7056">
        <w:rPr>
          <w:rFonts w:ascii="Garamond" w:hAnsi="Garamond"/>
        </w:rPr>
        <w:t> Presentaba un </w:t>
      </w:r>
      <w:r w:rsidRPr="00BD7056">
        <w:rPr>
          <w:rFonts w:ascii="Garamond" w:hAnsi="Garamond"/>
          <w:b/>
          <w:bCs/>
        </w:rPr>
        <w:t xml:space="preserve">prognatismo </w:t>
      </w:r>
      <w:proofErr w:type="spellStart"/>
      <w:r w:rsidRPr="00BD7056">
        <w:rPr>
          <w:rFonts w:ascii="Garamond" w:hAnsi="Garamond"/>
          <w:b/>
          <w:bCs/>
        </w:rPr>
        <w:t>mandíbular</w:t>
      </w:r>
      <w:proofErr w:type="spellEnd"/>
      <w:r w:rsidRPr="00BD7056">
        <w:rPr>
          <w:rFonts w:ascii="Garamond" w:hAnsi="Garamond"/>
        </w:rPr>
        <w:t> extremo (la famosa "mandíbula de Habsburgo"), con el maxilar inferior muy prominente y un labio inferior grueso y caído. Su lengua era inusualmente grande (macroglosia), lo que le dificultaba el habla y provocaba que babeara con frecuencia.</w:t>
      </w:r>
    </w:p>
    <w:p w14:paraId="0148CEDA" w14:textId="77777777" w:rsidR="00E52901" w:rsidRPr="00BD7056" w:rsidRDefault="00E52901" w:rsidP="00BD7056">
      <w:pPr>
        <w:numPr>
          <w:ilvl w:val="0"/>
          <w:numId w:val="1"/>
        </w:numPr>
        <w:spacing w:before="120" w:after="120" w:line="240" w:lineRule="auto"/>
        <w:jc w:val="both"/>
        <w:rPr>
          <w:rFonts w:ascii="Garamond" w:hAnsi="Garamond"/>
        </w:rPr>
      </w:pPr>
      <w:r w:rsidRPr="00BD7056">
        <w:rPr>
          <w:rFonts w:ascii="Garamond" w:hAnsi="Garamond"/>
          <w:b/>
          <w:bCs/>
        </w:rPr>
        <w:t>Complexión física:</w:t>
      </w:r>
      <w:r w:rsidRPr="00BD7056">
        <w:rPr>
          <w:rFonts w:ascii="Garamond" w:hAnsi="Garamond"/>
        </w:rPr>
        <w:t> Era de estatura baja, constitución débil y </w:t>
      </w:r>
      <w:r w:rsidRPr="00BD7056">
        <w:rPr>
          <w:rFonts w:ascii="Garamond" w:hAnsi="Garamond"/>
          <w:b/>
          <w:bCs/>
        </w:rPr>
        <w:t>frágil</w:t>
      </w:r>
      <w:r w:rsidRPr="00BD7056">
        <w:rPr>
          <w:rFonts w:ascii="Garamond" w:hAnsi="Garamond"/>
        </w:rPr>
        <w:t>, con un pecho estrecho y piernas delgadas que le dificultaban caminar sin ayuda hasta una edad avanzada. Su piel solía describirse como pálida o de aspecto enfermizo.</w:t>
      </w:r>
    </w:p>
    <w:p w14:paraId="6134278F" w14:textId="77777777" w:rsidR="00E52901" w:rsidRPr="00BD7056" w:rsidRDefault="00E52901" w:rsidP="00BD7056">
      <w:pPr>
        <w:numPr>
          <w:ilvl w:val="0"/>
          <w:numId w:val="1"/>
        </w:numPr>
        <w:spacing w:before="120" w:after="120" w:line="240" w:lineRule="auto"/>
        <w:jc w:val="both"/>
        <w:rPr>
          <w:rFonts w:ascii="Garamond" w:hAnsi="Garamond"/>
        </w:rPr>
      </w:pPr>
      <w:r w:rsidRPr="00BD7056">
        <w:rPr>
          <w:rFonts w:ascii="Garamond" w:hAnsi="Garamond"/>
          <w:b/>
          <w:bCs/>
        </w:rPr>
        <w:t>Rasgos craneales:</w:t>
      </w:r>
      <w:r w:rsidRPr="00BD7056">
        <w:rPr>
          <w:rFonts w:ascii="Garamond" w:hAnsi="Garamond"/>
        </w:rPr>
        <w:t> Tenía un cráneo alargado y, según descripciones contemporáneas, ojos algo saltones y una mirada que algunos cronistas calificaron de melancólica o ausente.</w:t>
      </w:r>
    </w:p>
    <w:p w14:paraId="28DE72CB" w14:textId="77777777" w:rsidR="00E52901" w:rsidRPr="00BD7056" w:rsidRDefault="00E52901" w:rsidP="00BD7056">
      <w:pPr>
        <w:numPr>
          <w:ilvl w:val="0"/>
          <w:numId w:val="1"/>
        </w:numPr>
        <w:spacing w:before="120" w:after="120" w:line="240" w:lineRule="auto"/>
        <w:jc w:val="both"/>
        <w:rPr>
          <w:rFonts w:ascii="Garamond" w:hAnsi="Garamond"/>
        </w:rPr>
      </w:pPr>
      <w:r w:rsidRPr="00BD7056">
        <w:rPr>
          <w:rFonts w:ascii="Garamond" w:hAnsi="Garamond"/>
          <w:b/>
          <w:bCs/>
        </w:rPr>
        <w:t>Estado de salud general:</w:t>
      </w:r>
      <w:r w:rsidRPr="00BD7056">
        <w:rPr>
          <w:rFonts w:ascii="Garamond" w:hAnsi="Garamond"/>
        </w:rPr>
        <w:t> Padecía múltiples patologías, incluyendo epilepsia, problemas digestivos crónicos y un desarrollo físico y mental muy lento. Su autopsia reveló órganos internos atrofiados o gravemente dañados, como un corazón extremadamente pequeño. </w:t>
      </w:r>
    </w:p>
    <w:p w14:paraId="78E68C84" w14:textId="77777777" w:rsidR="00E52901" w:rsidRDefault="00E52901" w:rsidP="00BD7056">
      <w:pPr>
        <w:spacing w:before="120" w:after="120" w:line="240" w:lineRule="auto"/>
        <w:jc w:val="both"/>
        <w:rPr>
          <w:rFonts w:ascii="Garamond" w:hAnsi="Garamond"/>
        </w:rPr>
      </w:pPr>
      <w:r w:rsidRPr="00BD7056">
        <w:rPr>
          <w:rFonts w:ascii="Garamond" w:hAnsi="Garamond"/>
        </w:rPr>
        <w:t>A pesar de su imagen de decadencia, historiadores modernos en la </w:t>
      </w:r>
      <w:hyperlink r:id="rId7" w:tgtFrame="_blank" w:history="1">
        <w:r w:rsidRPr="00BD7056">
          <w:rPr>
            <w:rStyle w:val="Hipervnculo"/>
            <w:rFonts w:ascii="Garamond" w:hAnsi="Garamond"/>
          </w:rPr>
          <w:t>Real Academia de la Historia</w:t>
        </w:r>
      </w:hyperlink>
      <w:r w:rsidRPr="00BD7056">
        <w:rPr>
          <w:rFonts w:ascii="Garamond" w:hAnsi="Garamond"/>
        </w:rPr>
        <w:t> y otros análisis en SciELO matizan que su carácter era </w:t>
      </w:r>
      <w:r w:rsidRPr="00BD7056">
        <w:rPr>
          <w:rFonts w:ascii="Garamond" w:hAnsi="Garamond"/>
          <w:b/>
          <w:bCs/>
        </w:rPr>
        <w:t>bondadoso, piadoso</w:t>
      </w:r>
      <w:r w:rsidRPr="00BD7056">
        <w:rPr>
          <w:rFonts w:ascii="Garamond" w:hAnsi="Garamond"/>
        </w:rPr>
        <w:t> y bienintencionado, aunque siempre limitado por su precaria salud. </w:t>
      </w:r>
    </w:p>
    <w:p w14:paraId="3F4E02FC" w14:textId="77777777" w:rsidR="00126EF6" w:rsidRPr="00126EF6" w:rsidRDefault="00126EF6" w:rsidP="00126EF6">
      <w:pPr>
        <w:spacing w:before="120" w:after="120" w:line="240" w:lineRule="auto"/>
        <w:jc w:val="both"/>
        <w:rPr>
          <w:rFonts w:ascii="Garamond" w:hAnsi="Garamond"/>
          <w:b/>
          <w:bCs/>
        </w:rPr>
      </w:pPr>
      <w:r w:rsidRPr="00126EF6">
        <w:rPr>
          <w:rFonts w:ascii="Garamond" w:hAnsi="Garamond"/>
          <w:b/>
          <w:bCs/>
        </w:rPr>
        <w:t>1. El Colapso Genético (Consanguinidad)</w:t>
      </w:r>
    </w:p>
    <w:p w14:paraId="2ED554D7" w14:textId="77777777" w:rsidR="00126EF6" w:rsidRPr="00126EF6" w:rsidRDefault="00126EF6" w:rsidP="00126EF6">
      <w:pPr>
        <w:spacing w:before="120" w:after="120" w:line="240" w:lineRule="auto"/>
        <w:jc w:val="both"/>
        <w:rPr>
          <w:rFonts w:ascii="Garamond" w:hAnsi="Garamond"/>
        </w:rPr>
      </w:pPr>
      <w:r w:rsidRPr="00126EF6">
        <w:rPr>
          <w:rFonts w:ascii="Garamond" w:hAnsi="Garamond"/>
        </w:rPr>
        <w:t>La salud de Carlos II fue el resultado de </w:t>
      </w:r>
      <w:r w:rsidRPr="00126EF6">
        <w:rPr>
          <w:rFonts w:ascii="Garamond" w:hAnsi="Garamond"/>
          <w:b/>
          <w:bCs/>
        </w:rPr>
        <w:t>16 generaciones</w:t>
      </w:r>
      <w:r w:rsidRPr="00126EF6">
        <w:rPr>
          <w:rFonts w:ascii="Garamond" w:hAnsi="Garamond"/>
        </w:rPr>
        <w:t> de matrimonios entre parientes directos. </w:t>
      </w:r>
    </w:p>
    <w:p w14:paraId="49248709" w14:textId="77777777" w:rsidR="00126EF6" w:rsidRPr="00126EF6" w:rsidRDefault="00126EF6" w:rsidP="00126EF6">
      <w:pPr>
        <w:numPr>
          <w:ilvl w:val="0"/>
          <w:numId w:val="2"/>
        </w:numPr>
        <w:spacing w:before="120" w:after="120" w:line="240" w:lineRule="auto"/>
        <w:jc w:val="both"/>
        <w:rPr>
          <w:rFonts w:ascii="Garamond" w:hAnsi="Garamond"/>
        </w:rPr>
      </w:pPr>
      <w:r w:rsidRPr="00126EF6">
        <w:rPr>
          <w:rFonts w:ascii="Garamond" w:hAnsi="Garamond"/>
          <w:b/>
          <w:bCs/>
        </w:rPr>
        <w:t>Coeficiente de consanguinidad:</w:t>
      </w:r>
      <w:r w:rsidRPr="00126EF6">
        <w:rPr>
          <w:rFonts w:ascii="Garamond" w:hAnsi="Garamond"/>
        </w:rPr>
        <w:t> Alcanzó un </w:t>
      </w:r>
      <w:r w:rsidRPr="00126EF6">
        <w:rPr>
          <w:rFonts w:ascii="Garamond" w:hAnsi="Garamond"/>
          <w:b/>
          <w:bCs/>
        </w:rPr>
        <w:t>0,254</w:t>
      </w:r>
      <w:r w:rsidRPr="00126EF6">
        <w:rPr>
          <w:rFonts w:ascii="Garamond" w:hAnsi="Garamond"/>
        </w:rPr>
        <w:t>, una cifra superior a la que tendría el hijo de dos hermanos (0,25).</w:t>
      </w:r>
    </w:p>
    <w:p w14:paraId="195D3053" w14:textId="77777777" w:rsidR="00126EF6" w:rsidRPr="00126EF6" w:rsidRDefault="00126EF6" w:rsidP="00126EF6">
      <w:pPr>
        <w:numPr>
          <w:ilvl w:val="0"/>
          <w:numId w:val="2"/>
        </w:numPr>
        <w:spacing w:before="120" w:after="120" w:line="240" w:lineRule="auto"/>
        <w:jc w:val="both"/>
        <w:rPr>
          <w:rFonts w:ascii="Garamond" w:hAnsi="Garamond"/>
        </w:rPr>
      </w:pPr>
      <w:r w:rsidRPr="00126EF6">
        <w:rPr>
          <w:rFonts w:ascii="Garamond" w:hAnsi="Garamond"/>
          <w:b/>
          <w:bCs/>
        </w:rPr>
        <w:t>Patologías probables:</w:t>
      </w:r>
      <w:r w:rsidRPr="00126EF6">
        <w:rPr>
          <w:rFonts w:ascii="Garamond" w:hAnsi="Garamond"/>
        </w:rPr>
        <w:t> Estudios modernos en </w:t>
      </w:r>
      <w:hyperlink r:id="rId8" w:tgtFrame="_blank" w:history="1">
        <w:r w:rsidRPr="00126EF6">
          <w:rPr>
            <w:rStyle w:val="Hipervnculo"/>
            <w:rFonts w:ascii="Garamond" w:hAnsi="Garamond"/>
          </w:rPr>
          <w:t>SciELO España</w:t>
        </w:r>
      </w:hyperlink>
      <w:r w:rsidRPr="00126EF6">
        <w:rPr>
          <w:rFonts w:ascii="Garamond" w:hAnsi="Garamond"/>
        </w:rPr>
        <w:t> sugieren que padecía </w:t>
      </w:r>
      <w:r w:rsidRPr="00126EF6">
        <w:rPr>
          <w:rFonts w:ascii="Garamond" w:hAnsi="Garamond"/>
          <w:b/>
          <w:bCs/>
        </w:rPr>
        <w:t>Síndrome de Klinefelter</w:t>
      </w:r>
      <w:r w:rsidRPr="00126EF6">
        <w:rPr>
          <w:rFonts w:ascii="Garamond" w:hAnsi="Garamond"/>
        </w:rPr>
        <w:t> (causante de su infertilidad y complexión débil) y posiblemente </w:t>
      </w:r>
      <w:r w:rsidRPr="00126EF6">
        <w:rPr>
          <w:rFonts w:ascii="Garamond" w:hAnsi="Garamond"/>
          <w:b/>
          <w:bCs/>
        </w:rPr>
        <w:t>acidosis tubular renal distal</w:t>
      </w:r>
      <w:r w:rsidRPr="00126EF6">
        <w:rPr>
          <w:rFonts w:ascii="Garamond" w:hAnsi="Garamond"/>
        </w:rPr>
        <w:t>, lo que explicaría su raquitismo y baja estatura.</w:t>
      </w:r>
    </w:p>
    <w:p w14:paraId="2713A1A4" w14:textId="77777777" w:rsidR="00126EF6" w:rsidRPr="00126EF6" w:rsidRDefault="00126EF6" w:rsidP="00126EF6">
      <w:pPr>
        <w:numPr>
          <w:ilvl w:val="0"/>
          <w:numId w:val="2"/>
        </w:numPr>
        <w:spacing w:before="120" w:after="120" w:line="240" w:lineRule="auto"/>
        <w:jc w:val="both"/>
        <w:rPr>
          <w:rFonts w:ascii="Garamond" w:hAnsi="Garamond"/>
        </w:rPr>
      </w:pPr>
      <w:r w:rsidRPr="00126EF6">
        <w:rPr>
          <w:rFonts w:ascii="Garamond" w:hAnsi="Garamond"/>
          <w:b/>
          <w:bCs/>
        </w:rPr>
        <w:t>Mandíbula de Habsburgo:</w:t>
      </w:r>
      <w:r w:rsidRPr="00126EF6">
        <w:rPr>
          <w:rFonts w:ascii="Garamond" w:hAnsi="Garamond"/>
        </w:rPr>
        <w:t> El prognatismo era un rasgo recesivo que se acentuó por la endogamia, impidiéndole masticar correctamente y afectando su digestión. </w:t>
      </w:r>
    </w:p>
    <w:p w14:paraId="372CE0FA" w14:textId="77777777" w:rsidR="00126EF6" w:rsidRPr="00126EF6" w:rsidRDefault="00126EF6" w:rsidP="00126EF6">
      <w:pPr>
        <w:spacing w:before="120" w:after="120" w:line="240" w:lineRule="auto"/>
        <w:jc w:val="both"/>
        <w:rPr>
          <w:rFonts w:ascii="Garamond" w:hAnsi="Garamond"/>
          <w:b/>
          <w:bCs/>
        </w:rPr>
      </w:pPr>
      <w:r w:rsidRPr="00126EF6">
        <w:rPr>
          <w:rFonts w:ascii="Garamond" w:hAnsi="Garamond"/>
          <w:b/>
          <w:bCs/>
        </w:rPr>
        <w:t>2. Evolución en el Retrato Real</w:t>
      </w:r>
    </w:p>
    <w:p w14:paraId="4FBFACD6" w14:textId="77777777" w:rsidR="00126EF6" w:rsidRPr="00126EF6" w:rsidRDefault="00126EF6" w:rsidP="00126EF6">
      <w:pPr>
        <w:spacing w:before="120" w:after="120" w:line="240" w:lineRule="auto"/>
        <w:jc w:val="both"/>
        <w:rPr>
          <w:rFonts w:ascii="Garamond" w:hAnsi="Garamond"/>
        </w:rPr>
      </w:pPr>
      <w:r w:rsidRPr="00126EF6">
        <w:rPr>
          <w:rFonts w:ascii="Garamond" w:hAnsi="Garamond"/>
        </w:rPr>
        <w:t>Los artistas de la corte, especialmente </w:t>
      </w:r>
      <w:r w:rsidRPr="00126EF6">
        <w:rPr>
          <w:rFonts w:ascii="Garamond" w:hAnsi="Garamond"/>
          <w:b/>
          <w:bCs/>
        </w:rPr>
        <w:t>Juan Carreño de Miranda</w:t>
      </w:r>
      <w:r w:rsidRPr="00126EF6">
        <w:rPr>
          <w:rFonts w:ascii="Garamond" w:hAnsi="Garamond"/>
        </w:rPr>
        <w:t> y </w:t>
      </w:r>
      <w:r w:rsidRPr="00126EF6">
        <w:rPr>
          <w:rFonts w:ascii="Garamond" w:hAnsi="Garamond"/>
          <w:b/>
          <w:bCs/>
        </w:rPr>
        <w:t>Claudio Coello</w:t>
      </w:r>
      <w:r w:rsidRPr="00126EF6">
        <w:rPr>
          <w:rFonts w:ascii="Garamond" w:hAnsi="Garamond"/>
        </w:rPr>
        <w:t>, tuvieron la difícil tarea de equilibrar el realismo con la dignidad monárquica. </w:t>
      </w:r>
    </w:p>
    <w:p w14:paraId="07567BAA" w14:textId="77777777" w:rsidR="00126EF6" w:rsidRPr="00126EF6" w:rsidRDefault="00126EF6" w:rsidP="00126EF6">
      <w:pPr>
        <w:numPr>
          <w:ilvl w:val="0"/>
          <w:numId w:val="3"/>
        </w:numPr>
        <w:spacing w:before="120" w:after="120" w:line="240" w:lineRule="auto"/>
        <w:jc w:val="both"/>
        <w:rPr>
          <w:rFonts w:ascii="Garamond" w:hAnsi="Garamond"/>
        </w:rPr>
      </w:pPr>
      <w:r w:rsidRPr="00126EF6">
        <w:rPr>
          <w:rFonts w:ascii="Garamond" w:hAnsi="Garamond"/>
          <w:b/>
          <w:bCs/>
        </w:rPr>
        <w:t>Etapa infantil:</w:t>
      </w:r>
      <w:r w:rsidRPr="00126EF6">
        <w:rPr>
          <w:rFonts w:ascii="Garamond" w:hAnsi="Garamond"/>
        </w:rPr>
        <w:t> Retratos como el de </w:t>
      </w:r>
      <w:hyperlink r:id="rId9" w:tgtFrame="_blank" w:history="1">
        <w:r w:rsidRPr="00126EF6">
          <w:rPr>
            <w:rStyle w:val="Hipervnculo"/>
            <w:rFonts w:ascii="Garamond" w:hAnsi="Garamond"/>
          </w:rPr>
          <w:t>Carreño de Miranda en el Museo del Prado</w:t>
        </w:r>
      </w:hyperlink>
      <w:r w:rsidRPr="00126EF6">
        <w:rPr>
          <w:rFonts w:ascii="Garamond" w:hAnsi="Garamond"/>
        </w:rPr>
        <w:t> muestran a un niño de apariencia frágil, pero con rasgos aún suaves.</w:t>
      </w:r>
    </w:p>
    <w:p w14:paraId="1BD2EE25" w14:textId="77777777" w:rsidR="00126EF6" w:rsidRPr="00126EF6" w:rsidRDefault="00126EF6" w:rsidP="00126EF6">
      <w:pPr>
        <w:numPr>
          <w:ilvl w:val="0"/>
          <w:numId w:val="3"/>
        </w:numPr>
        <w:spacing w:before="120" w:after="120" w:line="240" w:lineRule="auto"/>
        <w:jc w:val="both"/>
        <w:rPr>
          <w:rFonts w:ascii="Garamond" w:hAnsi="Garamond"/>
        </w:rPr>
      </w:pPr>
      <w:r w:rsidRPr="00126EF6">
        <w:rPr>
          <w:rFonts w:ascii="Garamond" w:hAnsi="Garamond"/>
          <w:b/>
          <w:bCs/>
        </w:rPr>
        <w:t>Madurez y "maquillaje" artístico:</w:t>
      </w:r>
      <w:r w:rsidRPr="00126EF6">
        <w:rPr>
          <w:rFonts w:ascii="Garamond" w:hAnsi="Garamond"/>
        </w:rPr>
        <w:t> A medida que crecía, los pintores utilizaban </w:t>
      </w:r>
      <w:r w:rsidRPr="00126EF6">
        <w:rPr>
          <w:rFonts w:ascii="Garamond" w:hAnsi="Garamond"/>
          <w:b/>
          <w:bCs/>
        </w:rPr>
        <w:t>pelucas voluminosas</w:t>
      </w:r>
      <w:r w:rsidRPr="00126EF6">
        <w:rPr>
          <w:rFonts w:ascii="Garamond" w:hAnsi="Garamond"/>
        </w:rPr>
        <w:t> y cuellos de encaje (valonas) para disimular la longitud de su cuello y la estrechez de sus hombros.</w:t>
      </w:r>
    </w:p>
    <w:p w14:paraId="0606BC90" w14:textId="77777777" w:rsidR="00126EF6" w:rsidRPr="00126EF6" w:rsidRDefault="00126EF6" w:rsidP="00126EF6">
      <w:pPr>
        <w:numPr>
          <w:ilvl w:val="0"/>
          <w:numId w:val="3"/>
        </w:numPr>
        <w:spacing w:before="120" w:after="120" w:line="240" w:lineRule="auto"/>
        <w:jc w:val="both"/>
        <w:rPr>
          <w:rFonts w:ascii="Garamond" w:hAnsi="Garamond"/>
        </w:rPr>
      </w:pPr>
      <w:r w:rsidRPr="00126EF6">
        <w:rPr>
          <w:rFonts w:ascii="Garamond" w:hAnsi="Garamond"/>
          <w:b/>
          <w:bCs/>
        </w:rPr>
        <w:t>Simbolismo vs. Realidad:</w:t>
      </w:r>
      <w:r w:rsidRPr="00126EF6">
        <w:rPr>
          <w:rFonts w:ascii="Garamond" w:hAnsi="Garamond"/>
        </w:rPr>
        <w:t> En obras como </w:t>
      </w:r>
      <w:r w:rsidRPr="00126EF6">
        <w:rPr>
          <w:rFonts w:ascii="Garamond" w:hAnsi="Garamond"/>
          <w:i/>
          <w:iCs/>
        </w:rPr>
        <w:t>Carlos II con armadura</w:t>
      </w:r>
      <w:r w:rsidRPr="00126EF6">
        <w:rPr>
          <w:rFonts w:ascii="Garamond" w:hAnsi="Garamond"/>
        </w:rPr>
        <w:t>, se le representaba con símbolos militares para proyectar una fuerza que físicamente no poseía. Radiografías recientes han revelado que los artistas a menudo </w:t>
      </w:r>
      <w:r w:rsidRPr="00126EF6">
        <w:rPr>
          <w:rFonts w:ascii="Garamond" w:hAnsi="Garamond"/>
          <w:b/>
          <w:bCs/>
        </w:rPr>
        <w:t>reutilizaban lienzos</w:t>
      </w:r>
      <w:r w:rsidRPr="00126EF6">
        <w:rPr>
          <w:rFonts w:ascii="Garamond" w:hAnsi="Garamond"/>
        </w:rPr>
        <w:t> o retocaban facciones para "actualizar" su imagen sin resaltar su deterioro. </w:t>
      </w:r>
    </w:p>
    <w:p w14:paraId="4B7C9FDA" w14:textId="77777777" w:rsidR="00126EF6" w:rsidRPr="00126EF6" w:rsidRDefault="00126EF6" w:rsidP="00126EF6">
      <w:pPr>
        <w:spacing w:before="120" w:after="120" w:line="240" w:lineRule="auto"/>
        <w:jc w:val="both"/>
        <w:rPr>
          <w:rFonts w:ascii="Garamond" w:hAnsi="Garamond"/>
          <w:b/>
          <w:bCs/>
        </w:rPr>
      </w:pPr>
      <w:r w:rsidRPr="00126EF6">
        <w:rPr>
          <w:rFonts w:ascii="Garamond" w:hAnsi="Garamond"/>
          <w:b/>
          <w:bCs/>
        </w:rPr>
        <w:t>3. El impactante informe de la autopsia</w:t>
      </w:r>
    </w:p>
    <w:p w14:paraId="070D493D" w14:textId="77777777" w:rsidR="00126EF6" w:rsidRPr="00126EF6" w:rsidRDefault="00126EF6" w:rsidP="00126EF6">
      <w:pPr>
        <w:spacing w:before="120" w:after="120" w:line="240" w:lineRule="auto"/>
        <w:jc w:val="both"/>
        <w:rPr>
          <w:rFonts w:ascii="Garamond" w:hAnsi="Garamond"/>
        </w:rPr>
      </w:pPr>
      <w:r w:rsidRPr="00126EF6">
        <w:rPr>
          <w:rFonts w:ascii="Garamond" w:hAnsi="Garamond"/>
        </w:rPr>
        <w:t>Tras su muerte en 1700, la autopsia reflejó un estado interno devastador que los retratos nunca mostraron: un corazón "del tamaño de un grano de pimienta", pulmones corroídos y un solo testículo "negro como el carbón". </w:t>
      </w:r>
    </w:p>
    <w:p w14:paraId="218F7BC7" w14:textId="77777777" w:rsidR="00126EF6" w:rsidRPr="00126EF6" w:rsidRDefault="00126EF6" w:rsidP="00126EF6">
      <w:pPr>
        <w:spacing w:before="120" w:after="120" w:line="240" w:lineRule="auto"/>
        <w:jc w:val="both"/>
        <w:rPr>
          <w:rFonts w:ascii="Garamond" w:hAnsi="Garamond"/>
        </w:rPr>
      </w:pPr>
      <w:r w:rsidRPr="00126EF6">
        <w:rPr>
          <w:rFonts w:ascii="Garamond" w:hAnsi="Garamond"/>
        </w:rPr>
        <w:lastRenderedPageBreak/>
        <w:t>La precaria salud de Carlos II no solo marcó su biografía, sino que dictó el destino geopolítico de Europa al final del siglo XVII.</w:t>
      </w:r>
    </w:p>
    <w:p w14:paraId="188C55E4" w14:textId="77777777" w:rsidR="00126EF6" w:rsidRPr="00126EF6" w:rsidRDefault="00126EF6" w:rsidP="00126EF6">
      <w:pPr>
        <w:spacing w:before="120" w:after="120" w:line="240" w:lineRule="auto"/>
        <w:jc w:val="both"/>
        <w:rPr>
          <w:rFonts w:ascii="Garamond" w:hAnsi="Garamond"/>
          <w:b/>
          <w:bCs/>
        </w:rPr>
      </w:pPr>
      <w:r w:rsidRPr="00126EF6">
        <w:rPr>
          <w:rFonts w:ascii="Garamond" w:hAnsi="Garamond"/>
          <w:b/>
          <w:bCs/>
        </w:rPr>
        <w:t>1. Influencia de su incapacidad en la política</w:t>
      </w:r>
    </w:p>
    <w:p w14:paraId="5AC7D076" w14:textId="77777777" w:rsidR="00126EF6" w:rsidRPr="00126EF6" w:rsidRDefault="00126EF6" w:rsidP="00126EF6">
      <w:pPr>
        <w:spacing w:before="120" w:after="120" w:line="240" w:lineRule="auto"/>
        <w:jc w:val="both"/>
        <w:rPr>
          <w:rFonts w:ascii="Garamond" w:hAnsi="Garamond"/>
        </w:rPr>
      </w:pPr>
      <w:r w:rsidRPr="00126EF6">
        <w:rPr>
          <w:rFonts w:ascii="Garamond" w:hAnsi="Garamond"/>
        </w:rPr>
        <w:t>Su fragilidad física y mental generó un vacío de poder que fue aprovechado por distintas facciones:</w:t>
      </w:r>
    </w:p>
    <w:p w14:paraId="3E952764" w14:textId="77777777" w:rsidR="00126EF6" w:rsidRPr="00126EF6" w:rsidRDefault="00126EF6" w:rsidP="00126EF6">
      <w:pPr>
        <w:numPr>
          <w:ilvl w:val="0"/>
          <w:numId w:val="4"/>
        </w:numPr>
        <w:spacing w:before="120" w:after="120" w:line="240" w:lineRule="auto"/>
        <w:jc w:val="both"/>
        <w:rPr>
          <w:rFonts w:ascii="Garamond" w:hAnsi="Garamond"/>
        </w:rPr>
      </w:pPr>
      <w:r w:rsidRPr="00126EF6">
        <w:rPr>
          <w:rFonts w:ascii="Garamond" w:hAnsi="Garamond"/>
          <w:b/>
          <w:bCs/>
        </w:rPr>
        <w:t>Regencia prolongada:</w:t>
      </w:r>
      <w:r w:rsidRPr="00126EF6">
        <w:rPr>
          <w:rFonts w:ascii="Garamond" w:hAnsi="Garamond"/>
        </w:rPr>
        <w:t> Debido a que no pudo valerse por sí mismo, su madre, Mariana de Austria, ejerció una regencia dominada por validos como el padre Nithard o Fernando de Valenzuela. Esto provocó inestabilidad y luchas internas con la aristocracia, personificada en su hermanastro, Juan José de Austria.</w:t>
      </w:r>
    </w:p>
    <w:p w14:paraId="7B151013" w14:textId="77777777" w:rsidR="00126EF6" w:rsidRPr="00126EF6" w:rsidRDefault="00126EF6" w:rsidP="00126EF6">
      <w:pPr>
        <w:numPr>
          <w:ilvl w:val="0"/>
          <w:numId w:val="4"/>
        </w:numPr>
        <w:spacing w:before="120" w:after="120" w:line="240" w:lineRule="auto"/>
        <w:jc w:val="both"/>
        <w:rPr>
          <w:rFonts w:ascii="Garamond" w:hAnsi="Garamond"/>
        </w:rPr>
      </w:pPr>
      <w:r w:rsidRPr="00126EF6">
        <w:rPr>
          <w:rFonts w:ascii="Garamond" w:hAnsi="Garamond"/>
          <w:b/>
          <w:bCs/>
        </w:rPr>
        <w:t>Decadencia diplomática:</w:t>
      </w:r>
      <w:r w:rsidRPr="00126EF6">
        <w:rPr>
          <w:rFonts w:ascii="Garamond" w:hAnsi="Garamond"/>
        </w:rPr>
        <w:t> Las cortes europeas, conscientes de su estado, trataron a España como un "enfermo" cuyos territorios debían repartirse. Esta percepción de debilidad llevó a constantes guerras con la Francia de Luis XIV y a la firma de tratados de repartición de sus dominios antes incluso de su fallecimiento.</w:t>
      </w:r>
    </w:p>
    <w:p w14:paraId="7216A68E" w14:textId="77777777" w:rsidR="00126EF6" w:rsidRPr="00126EF6" w:rsidRDefault="00126EF6" w:rsidP="00126EF6">
      <w:pPr>
        <w:numPr>
          <w:ilvl w:val="0"/>
          <w:numId w:val="4"/>
        </w:numPr>
        <w:spacing w:before="120" w:after="120" w:line="240" w:lineRule="auto"/>
        <w:jc w:val="both"/>
        <w:rPr>
          <w:rFonts w:ascii="Garamond" w:hAnsi="Garamond"/>
        </w:rPr>
      </w:pPr>
      <w:r w:rsidRPr="00126EF6">
        <w:rPr>
          <w:rFonts w:ascii="Garamond" w:hAnsi="Garamond"/>
          <w:b/>
          <w:bCs/>
        </w:rPr>
        <w:t>Gestión delegada:</w:t>
      </w:r>
      <w:r w:rsidRPr="00126EF6">
        <w:rPr>
          <w:rFonts w:ascii="Garamond" w:hAnsi="Garamond"/>
        </w:rPr>
        <w:t> Su dificultad para leer y escribir (no aprendió hasta los 10 y 12 años respectivamente) le impidió gestionar personalmente los asuntos de Estado, dejando el gobierno en manos de una administración burocrática que, si bien logró cierta recuperación económica hacia el final del reinado, carecía de un liderazgo monárquico fuerte. </w:t>
      </w:r>
    </w:p>
    <w:p w14:paraId="6A0086F3" w14:textId="77777777" w:rsidR="00126EF6" w:rsidRPr="00126EF6" w:rsidRDefault="00126EF6" w:rsidP="00126EF6">
      <w:pPr>
        <w:spacing w:before="120" w:after="120" w:line="240" w:lineRule="auto"/>
        <w:jc w:val="both"/>
        <w:rPr>
          <w:rFonts w:ascii="Garamond" w:hAnsi="Garamond"/>
          <w:b/>
          <w:bCs/>
        </w:rPr>
      </w:pPr>
      <w:r w:rsidRPr="00126EF6">
        <w:rPr>
          <w:rFonts w:ascii="Garamond" w:hAnsi="Garamond"/>
          <w:b/>
          <w:bCs/>
        </w:rPr>
        <w:t>2. Detalles de su descendencia inexistente</w:t>
      </w:r>
    </w:p>
    <w:p w14:paraId="314611BD" w14:textId="77777777" w:rsidR="00126EF6" w:rsidRPr="00126EF6" w:rsidRDefault="00126EF6" w:rsidP="00126EF6">
      <w:pPr>
        <w:spacing w:before="120" w:after="120" w:line="240" w:lineRule="auto"/>
        <w:jc w:val="both"/>
        <w:rPr>
          <w:rFonts w:ascii="Garamond" w:hAnsi="Garamond"/>
        </w:rPr>
      </w:pPr>
      <w:r w:rsidRPr="00126EF6">
        <w:rPr>
          <w:rFonts w:ascii="Garamond" w:hAnsi="Garamond"/>
        </w:rPr>
        <w:t>La falta de herederos fue la mayor tragedia política de su reinado, causada por patologías genéticas derivadas de la endogamia:</w:t>
      </w:r>
    </w:p>
    <w:p w14:paraId="682343FE" w14:textId="77777777" w:rsidR="00126EF6" w:rsidRPr="00126EF6" w:rsidRDefault="00126EF6" w:rsidP="00126EF6">
      <w:pPr>
        <w:numPr>
          <w:ilvl w:val="0"/>
          <w:numId w:val="5"/>
        </w:numPr>
        <w:spacing w:before="120" w:after="120" w:line="240" w:lineRule="auto"/>
        <w:jc w:val="both"/>
        <w:rPr>
          <w:rFonts w:ascii="Garamond" w:hAnsi="Garamond"/>
        </w:rPr>
      </w:pPr>
      <w:r w:rsidRPr="00126EF6">
        <w:rPr>
          <w:rFonts w:ascii="Garamond" w:hAnsi="Garamond"/>
          <w:b/>
          <w:bCs/>
        </w:rPr>
        <w:t>Diagnósticos médicos:</w:t>
      </w:r>
      <w:r w:rsidRPr="00126EF6">
        <w:rPr>
          <w:rFonts w:ascii="Garamond" w:hAnsi="Garamond"/>
        </w:rPr>
        <w:t> Los análisis modernos en </w:t>
      </w:r>
      <w:hyperlink r:id="rId10" w:tgtFrame="_blank" w:history="1">
        <w:r w:rsidRPr="00126EF6">
          <w:rPr>
            <w:rStyle w:val="Hipervnculo"/>
            <w:rFonts w:ascii="Garamond" w:hAnsi="Garamond"/>
          </w:rPr>
          <w:t>SciELO España</w:t>
        </w:r>
      </w:hyperlink>
      <w:r w:rsidRPr="00126EF6">
        <w:rPr>
          <w:rFonts w:ascii="Garamond" w:hAnsi="Garamond"/>
        </w:rPr>
        <w:t> sugieren que padecía </w:t>
      </w:r>
      <w:r w:rsidRPr="00126EF6">
        <w:rPr>
          <w:rFonts w:ascii="Garamond" w:hAnsi="Garamond"/>
          <w:b/>
          <w:bCs/>
        </w:rPr>
        <w:t>Síndrome de Klinefelter</w:t>
      </w:r>
      <w:r w:rsidRPr="00126EF6">
        <w:rPr>
          <w:rFonts w:ascii="Garamond" w:hAnsi="Garamond"/>
        </w:rPr>
        <w:t> o </w:t>
      </w:r>
      <w:r w:rsidRPr="00126EF6">
        <w:rPr>
          <w:rFonts w:ascii="Garamond" w:hAnsi="Garamond"/>
          <w:b/>
          <w:bCs/>
        </w:rPr>
        <w:t>Síndrome de X Frágil</w:t>
      </w:r>
      <w:r w:rsidRPr="00126EF6">
        <w:rPr>
          <w:rFonts w:ascii="Garamond" w:hAnsi="Garamond"/>
        </w:rPr>
        <w:t>, condiciones que provocan hipogonadismo e infertilidad.</w:t>
      </w:r>
    </w:p>
    <w:p w14:paraId="2BF45A4A" w14:textId="77777777" w:rsidR="00126EF6" w:rsidRPr="00126EF6" w:rsidRDefault="00126EF6" w:rsidP="00126EF6">
      <w:pPr>
        <w:numPr>
          <w:ilvl w:val="0"/>
          <w:numId w:val="5"/>
        </w:numPr>
        <w:spacing w:before="120" w:after="120" w:line="240" w:lineRule="auto"/>
        <w:jc w:val="both"/>
        <w:rPr>
          <w:rFonts w:ascii="Garamond" w:hAnsi="Garamond"/>
        </w:rPr>
      </w:pPr>
      <w:r w:rsidRPr="00126EF6">
        <w:rPr>
          <w:rFonts w:ascii="Garamond" w:hAnsi="Garamond"/>
          <w:b/>
          <w:bCs/>
        </w:rPr>
        <w:t>Fracaso matrimonial:</w:t>
      </w:r>
      <w:r w:rsidRPr="00126EF6">
        <w:rPr>
          <w:rFonts w:ascii="Garamond" w:hAnsi="Garamond"/>
        </w:rPr>
        <w:t> Se casó dos veces, primero con María Luisa de Orleans y luego con </w:t>
      </w:r>
      <w:r w:rsidRPr="00126EF6">
        <w:rPr>
          <w:rFonts w:ascii="Garamond" w:hAnsi="Garamond"/>
          <w:b/>
          <w:bCs/>
        </w:rPr>
        <w:t>Mariana de Neoburgo</w:t>
      </w:r>
      <w:r w:rsidRPr="00126EF6">
        <w:rPr>
          <w:rFonts w:ascii="Garamond" w:hAnsi="Garamond"/>
        </w:rPr>
        <w:t>. A pesar de los esfuerzos y de recurrir a remedios desesperados (incluyendo exorcismos para combatir su supuesto "hechizo"), no tuvo hijos.</w:t>
      </w:r>
    </w:p>
    <w:p w14:paraId="58389BC1" w14:textId="77777777" w:rsidR="00126EF6" w:rsidRPr="00126EF6" w:rsidRDefault="00126EF6" w:rsidP="00126EF6">
      <w:pPr>
        <w:numPr>
          <w:ilvl w:val="0"/>
          <w:numId w:val="5"/>
        </w:numPr>
        <w:spacing w:before="120" w:after="120" w:line="240" w:lineRule="auto"/>
        <w:jc w:val="both"/>
        <w:rPr>
          <w:rFonts w:ascii="Garamond" w:hAnsi="Garamond"/>
        </w:rPr>
      </w:pPr>
      <w:r w:rsidRPr="00126EF6">
        <w:rPr>
          <w:rFonts w:ascii="Garamond" w:hAnsi="Garamond"/>
          <w:b/>
          <w:bCs/>
        </w:rPr>
        <w:t>Hallazgos de la autopsia:</w:t>
      </w:r>
      <w:r w:rsidRPr="00126EF6">
        <w:rPr>
          <w:rFonts w:ascii="Garamond" w:hAnsi="Garamond"/>
        </w:rPr>
        <w:t xml:space="preserve"> Su examen </w:t>
      </w:r>
      <w:proofErr w:type="spellStart"/>
      <w:r w:rsidRPr="00126EF6">
        <w:rPr>
          <w:rFonts w:ascii="Garamond" w:hAnsi="Garamond"/>
        </w:rPr>
        <w:t>post-mortem</w:t>
      </w:r>
      <w:proofErr w:type="spellEnd"/>
      <w:r w:rsidRPr="00126EF6">
        <w:rPr>
          <w:rFonts w:ascii="Garamond" w:hAnsi="Garamond"/>
        </w:rPr>
        <w:t xml:space="preserve"> reveló un solo testículo "negro como el carbón" y atrofiado, confirmando su absoluta incapacidad biológica para procrear.</w:t>
      </w:r>
    </w:p>
    <w:p w14:paraId="0EBC10E9" w14:textId="77777777" w:rsidR="00126EF6" w:rsidRPr="00126EF6" w:rsidRDefault="00126EF6" w:rsidP="00126EF6">
      <w:pPr>
        <w:numPr>
          <w:ilvl w:val="0"/>
          <w:numId w:val="5"/>
        </w:numPr>
        <w:spacing w:before="120" w:after="120" w:line="240" w:lineRule="auto"/>
        <w:jc w:val="both"/>
        <w:rPr>
          <w:rFonts w:ascii="Garamond" w:hAnsi="Garamond"/>
        </w:rPr>
      </w:pPr>
      <w:r w:rsidRPr="00126EF6">
        <w:rPr>
          <w:rFonts w:ascii="Garamond" w:hAnsi="Garamond"/>
          <w:b/>
          <w:bCs/>
        </w:rPr>
        <w:t>Consecuencia final:</w:t>
      </w:r>
      <w:r w:rsidRPr="00126EF6">
        <w:rPr>
          <w:rFonts w:ascii="Garamond" w:hAnsi="Garamond"/>
        </w:rPr>
        <w:t> Su muerte sin descendencia en 1700 extinguió la rama española de los Habsburgo y desencadenó la </w:t>
      </w:r>
      <w:r w:rsidRPr="00126EF6">
        <w:rPr>
          <w:rFonts w:ascii="Garamond" w:hAnsi="Garamond"/>
          <w:b/>
          <w:bCs/>
        </w:rPr>
        <w:t>Guerra de Sucesión Española</w:t>
      </w:r>
      <w:r w:rsidRPr="00126EF6">
        <w:rPr>
          <w:rFonts w:ascii="Garamond" w:hAnsi="Garamond"/>
        </w:rPr>
        <w:t>, que duraría 13 años y cambiaría el mapa de Europa para siempre</w:t>
      </w:r>
    </w:p>
    <w:p w14:paraId="415B81AB" w14:textId="77777777" w:rsidR="00126EF6" w:rsidRDefault="00126EF6" w:rsidP="00BD7056">
      <w:pPr>
        <w:spacing w:before="120" w:after="120" w:line="240" w:lineRule="auto"/>
        <w:jc w:val="both"/>
        <w:rPr>
          <w:rFonts w:ascii="Garamond" w:hAnsi="Garamond"/>
        </w:rPr>
      </w:pPr>
    </w:p>
    <w:p w14:paraId="4A73A158" w14:textId="77777777" w:rsidR="00126EF6" w:rsidRPr="00BD7056" w:rsidRDefault="00126EF6" w:rsidP="00BD7056">
      <w:pPr>
        <w:spacing w:before="120" w:after="120" w:line="240" w:lineRule="auto"/>
        <w:jc w:val="both"/>
        <w:rPr>
          <w:rFonts w:ascii="Garamond" w:hAnsi="Garamond"/>
        </w:rPr>
      </w:pPr>
    </w:p>
    <w:p w14:paraId="55F3B6F9"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**Prosopografía Detallada de Carlos II de España (1661–1700)**</w:t>
      </w:r>
    </w:p>
    <w:p w14:paraId="01BF533D" w14:textId="77777777" w:rsidR="00BD7056" w:rsidRPr="00BD7056" w:rsidRDefault="00BD7056" w:rsidP="00BD7056">
      <w:pPr>
        <w:spacing w:before="120" w:after="120" w:line="240" w:lineRule="auto"/>
        <w:jc w:val="both"/>
        <w:rPr>
          <w:rFonts w:ascii="Garamond" w:hAnsi="Garamond"/>
        </w:rPr>
      </w:pPr>
    </w:p>
    <w:p w14:paraId="23E90A67"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w:t>
      </w:r>
    </w:p>
    <w:p w14:paraId="3E40D096" w14:textId="77777777" w:rsidR="00BD7056" w:rsidRPr="00BD7056" w:rsidRDefault="00BD7056" w:rsidP="00BD7056">
      <w:pPr>
        <w:spacing w:before="120" w:after="120" w:line="240" w:lineRule="auto"/>
        <w:jc w:val="both"/>
        <w:rPr>
          <w:rFonts w:ascii="Garamond" w:hAnsi="Garamond"/>
        </w:rPr>
      </w:pPr>
    </w:p>
    <w:p w14:paraId="578ED9B1"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**I. DATOS VITALES**</w:t>
      </w:r>
    </w:p>
    <w:p w14:paraId="1E4234EB"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**Nombre completo:** Carlos José de Habsburgo  </w:t>
      </w:r>
    </w:p>
    <w:p w14:paraId="6CF4D823"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**Títulos:**  </w:t>
      </w:r>
    </w:p>
    <w:p w14:paraId="08149C79"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 Rey de España, Nápoles, Sicilia y Cerdeña (1665–1700)  </w:t>
      </w:r>
    </w:p>
    <w:p w14:paraId="19C374D9"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 Rey de Portugal (1665–1668, durante la unión ibérica)  </w:t>
      </w:r>
    </w:p>
    <w:p w14:paraId="7A6666B8"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 Duque de Milán, Borgoña, Brabante, etc.  </w:t>
      </w:r>
    </w:p>
    <w:p w14:paraId="457FA265"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lastRenderedPageBreak/>
        <w:t xml:space="preserve">  - Soberano de los Países Bajos Españoles  </w:t>
      </w:r>
    </w:p>
    <w:p w14:paraId="4C85D8C7"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 Rey de las Indias Orientales y Occidentales  </w:t>
      </w:r>
    </w:p>
    <w:p w14:paraId="45DA2D33"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**Nacimiento:** 6 de noviembre de 1661, Madrid (Real Alcázar)  </w:t>
      </w:r>
    </w:p>
    <w:p w14:paraId="5E04CE60"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**Muerte:** 1 de noviembre de 1700, Madrid (Real Alcázar)  </w:t>
      </w:r>
    </w:p>
    <w:p w14:paraId="796E1256"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**Causa de muerte:** Múltiples complicaciones orgánicas (uremia, infecciones, posible síndrome de Klinefelter según estudios modernos)  </w:t>
      </w:r>
    </w:p>
    <w:p w14:paraId="0EC268CD"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**Enterramiento:** Panteón de los Reyes, Monasterio de El Escorial</w:t>
      </w:r>
    </w:p>
    <w:p w14:paraId="533B482E" w14:textId="77777777" w:rsidR="00BD7056" w:rsidRPr="00BD7056" w:rsidRDefault="00BD7056" w:rsidP="00BD7056">
      <w:pPr>
        <w:spacing w:before="120" w:after="120" w:line="240" w:lineRule="auto"/>
        <w:jc w:val="both"/>
        <w:rPr>
          <w:rFonts w:ascii="Garamond" w:hAnsi="Garamond"/>
        </w:rPr>
      </w:pPr>
    </w:p>
    <w:p w14:paraId="244CE009"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w:t>
      </w:r>
    </w:p>
    <w:p w14:paraId="343B6C26" w14:textId="77777777" w:rsidR="00BD7056" w:rsidRPr="00BD7056" w:rsidRDefault="00BD7056" w:rsidP="00BD7056">
      <w:pPr>
        <w:spacing w:before="120" w:after="120" w:line="240" w:lineRule="auto"/>
        <w:jc w:val="both"/>
        <w:rPr>
          <w:rFonts w:ascii="Garamond" w:hAnsi="Garamond"/>
        </w:rPr>
      </w:pPr>
    </w:p>
    <w:p w14:paraId="66B0AE17"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**II. ASCENDENCIA Y ENDOGAMIA**</w:t>
      </w:r>
    </w:p>
    <w:p w14:paraId="2313A2B7"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**Árbol genealógico reducido (coeficiente de consanguinidad altísimo):**</w:t>
      </w:r>
    </w:p>
    <w:p w14:paraId="435611B5"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w:t>
      </w:r>
    </w:p>
    <w:p w14:paraId="57F234AE"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Padres:</w:t>
      </w:r>
    </w:p>
    <w:p w14:paraId="01DBCE95"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Felipe IV de España (1605–1665) x Mariana de Austria (1634–1696)</w:t>
      </w:r>
    </w:p>
    <w:p w14:paraId="6890D5A9" w14:textId="77777777" w:rsidR="00BD7056" w:rsidRPr="00BD7056" w:rsidRDefault="00BD7056" w:rsidP="00BD7056">
      <w:pPr>
        <w:spacing w:before="120" w:after="120" w:line="240" w:lineRule="auto"/>
        <w:jc w:val="both"/>
        <w:rPr>
          <w:rFonts w:ascii="Garamond" w:hAnsi="Garamond"/>
        </w:rPr>
      </w:pPr>
    </w:p>
    <w:p w14:paraId="1761A2B2"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Abuelos paternos:</w:t>
      </w:r>
    </w:p>
    <w:p w14:paraId="17AB392B"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Felipe III de España x Margarita de Austria</w:t>
      </w:r>
    </w:p>
    <w:p w14:paraId="1EBCEA6F" w14:textId="77777777" w:rsidR="00BD7056" w:rsidRPr="00BD7056" w:rsidRDefault="00BD7056" w:rsidP="00BD7056">
      <w:pPr>
        <w:spacing w:before="120" w:after="120" w:line="240" w:lineRule="auto"/>
        <w:jc w:val="both"/>
        <w:rPr>
          <w:rFonts w:ascii="Garamond" w:hAnsi="Garamond"/>
        </w:rPr>
      </w:pPr>
    </w:p>
    <w:p w14:paraId="507A668F"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Abuelos maternos:</w:t>
      </w:r>
    </w:p>
    <w:p w14:paraId="02BD6BAC"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Fernando III de Habsburgo x María Ana de España  </w:t>
      </w:r>
    </w:p>
    <w:p w14:paraId="37D8524B"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(Nota: Mariana de Austria era sobrina de Felipe IV, prima hermana y sobrina a la vez)</w:t>
      </w:r>
    </w:p>
    <w:p w14:paraId="00D9D28E" w14:textId="77777777" w:rsidR="00BD7056" w:rsidRPr="00BD7056" w:rsidRDefault="00BD7056" w:rsidP="00BD7056">
      <w:pPr>
        <w:spacing w:before="120" w:after="120" w:line="240" w:lineRule="auto"/>
        <w:jc w:val="both"/>
        <w:rPr>
          <w:rFonts w:ascii="Garamond" w:hAnsi="Garamond"/>
        </w:rPr>
      </w:pPr>
    </w:p>
    <w:p w14:paraId="3F6F4AC2"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Bisabuelos repetidos en múltiples líneas:</w:t>
      </w:r>
    </w:p>
    <w:p w14:paraId="2B93BEA9"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Carlos V </w:t>
      </w:r>
      <w:r w:rsidRPr="00BD7056">
        <w:rPr>
          <w:rFonts w:ascii="Garamond" w:hAnsi="Garamond" w:cs="Times New Roman"/>
        </w:rPr>
        <w:t>→</w:t>
      </w:r>
      <w:r w:rsidRPr="00BD7056">
        <w:rPr>
          <w:rFonts w:ascii="Garamond" w:hAnsi="Garamond"/>
        </w:rPr>
        <w:t xml:space="preserve"> aparece 14 veces en su </w:t>
      </w:r>
      <w:r w:rsidRPr="00BD7056">
        <w:rPr>
          <w:rFonts w:ascii="Garamond" w:hAnsi="Garamond" w:cs="Adobe Garamond Pro"/>
        </w:rPr>
        <w:t>á</w:t>
      </w:r>
      <w:r w:rsidRPr="00BD7056">
        <w:rPr>
          <w:rFonts w:ascii="Garamond" w:hAnsi="Garamond"/>
        </w:rPr>
        <w:t>rbol geneal</w:t>
      </w:r>
      <w:r w:rsidRPr="00BD7056">
        <w:rPr>
          <w:rFonts w:ascii="Garamond" w:hAnsi="Garamond" w:cs="Adobe Garamond Pro"/>
        </w:rPr>
        <w:t>ó</w:t>
      </w:r>
      <w:r w:rsidRPr="00BD7056">
        <w:rPr>
          <w:rFonts w:ascii="Garamond" w:hAnsi="Garamond"/>
        </w:rPr>
        <w:t>gico hasta 8 generaciones</w:t>
      </w:r>
    </w:p>
    <w:p w14:paraId="5E061197"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Juana la Loca </w:t>
      </w:r>
      <w:r w:rsidRPr="00BD7056">
        <w:rPr>
          <w:rFonts w:ascii="Garamond" w:hAnsi="Garamond" w:cs="Times New Roman"/>
        </w:rPr>
        <w:t>→</w:t>
      </w:r>
      <w:r w:rsidRPr="00BD7056">
        <w:rPr>
          <w:rFonts w:ascii="Garamond" w:hAnsi="Garamond"/>
        </w:rPr>
        <w:t xml:space="preserve"> 8 veces</w:t>
      </w:r>
    </w:p>
    <w:p w14:paraId="29DDB08A"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Felipe I el Hermoso </w:t>
      </w:r>
      <w:r w:rsidRPr="00BD7056">
        <w:rPr>
          <w:rFonts w:ascii="Garamond" w:hAnsi="Garamond" w:cs="Times New Roman"/>
        </w:rPr>
        <w:t>→</w:t>
      </w:r>
      <w:r w:rsidRPr="00BD7056">
        <w:rPr>
          <w:rFonts w:ascii="Garamond" w:hAnsi="Garamond"/>
        </w:rPr>
        <w:t xml:space="preserve"> 10 veces</w:t>
      </w:r>
    </w:p>
    <w:p w14:paraId="38CA5A14"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w:t>
      </w:r>
    </w:p>
    <w:p w14:paraId="45EE70BB" w14:textId="77777777" w:rsidR="00BD7056" w:rsidRPr="00BD7056" w:rsidRDefault="00BD7056" w:rsidP="00BD7056">
      <w:pPr>
        <w:spacing w:before="120" w:after="120" w:line="240" w:lineRule="auto"/>
        <w:jc w:val="both"/>
        <w:rPr>
          <w:rFonts w:ascii="Garamond" w:hAnsi="Garamond"/>
        </w:rPr>
      </w:pPr>
    </w:p>
    <w:p w14:paraId="67678A00"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**Coeficiente de consanguinidad estimado:** 0.254 (superior al de un hermano de padres comunes)  </w:t>
      </w:r>
    </w:p>
    <w:p w14:paraId="0A261A90"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**Número de antepasados únicos en 8 generaciones:** 34 (en lugar de los 256 normales)</w:t>
      </w:r>
    </w:p>
    <w:p w14:paraId="72D5C3C0" w14:textId="77777777" w:rsidR="00BD7056" w:rsidRPr="00BD7056" w:rsidRDefault="00BD7056" w:rsidP="00BD7056">
      <w:pPr>
        <w:spacing w:before="120" w:after="120" w:line="240" w:lineRule="auto"/>
        <w:jc w:val="both"/>
        <w:rPr>
          <w:rFonts w:ascii="Garamond" w:hAnsi="Garamond"/>
        </w:rPr>
      </w:pPr>
    </w:p>
    <w:p w14:paraId="0DC39ADC"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w:t>
      </w:r>
    </w:p>
    <w:p w14:paraId="24189203" w14:textId="77777777" w:rsidR="00BD7056" w:rsidRPr="00BD7056" w:rsidRDefault="00BD7056" w:rsidP="00BD7056">
      <w:pPr>
        <w:spacing w:before="120" w:after="120" w:line="240" w:lineRule="auto"/>
        <w:jc w:val="both"/>
        <w:rPr>
          <w:rFonts w:ascii="Garamond" w:hAnsi="Garamond"/>
        </w:rPr>
      </w:pPr>
    </w:p>
    <w:p w14:paraId="5DA63762"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**III. CARACTERÍSTICAS FÍSICAS Y DE SALUD**  </w:t>
      </w:r>
    </w:p>
    <w:p w14:paraId="4CA79094"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**Aspecto (descrito por contemporáneos):**</w:t>
      </w:r>
    </w:p>
    <w:p w14:paraId="53625FC5"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lastRenderedPageBreak/>
        <w:t xml:space="preserve">- **Estatura:** 1,92 m (inusualmente alto para la época)  </w:t>
      </w:r>
    </w:p>
    <w:p w14:paraId="0000F8E3"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**Complexión:** Delgado, extremidades largas y desproporcionadas  </w:t>
      </w:r>
    </w:p>
    <w:p w14:paraId="4058DAA8"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**Cabeza:** Macrocefalia relativa, mandíbula prominente (prognatismo </w:t>
      </w:r>
      <w:proofErr w:type="spellStart"/>
      <w:r w:rsidRPr="00BD7056">
        <w:rPr>
          <w:rFonts w:ascii="Garamond" w:hAnsi="Garamond"/>
        </w:rPr>
        <w:t>habsburgo</w:t>
      </w:r>
      <w:proofErr w:type="spellEnd"/>
      <w:r w:rsidRPr="00BD7056">
        <w:rPr>
          <w:rFonts w:ascii="Garamond" w:hAnsi="Garamond"/>
        </w:rPr>
        <w:t xml:space="preserve">)  </w:t>
      </w:r>
    </w:p>
    <w:p w14:paraId="2BC92FBB"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**Lengua:** Tan grande que apenas podía hablar con claridad  </w:t>
      </w:r>
    </w:p>
    <w:p w14:paraId="6038F252"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**Saliva:** Babeo constante  </w:t>
      </w:r>
    </w:p>
    <w:p w14:paraId="03B52862"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**Ojos:** Mirada ausente, estrabismo  </w:t>
      </w:r>
    </w:p>
    <w:p w14:paraId="57DADCFD"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**Dentadura:** Grave maloclusión, imposibilidad de masticar alimentos sólidos  </w:t>
      </w:r>
    </w:p>
    <w:p w14:paraId="025CC841"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**Marcha:** Torpe, necesitaba apoyo para caminar  </w:t>
      </w:r>
    </w:p>
    <w:p w14:paraId="3C7B2022"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**Fertilidad:** Presuntamente estéril (no tuvo descendencia)</w:t>
      </w:r>
    </w:p>
    <w:p w14:paraId="5A8C8CDF" w14:textId="77777777" w:rsidR="00BD7056" w:rsidRPr="00BD7056" w:rsidRDefault="00BD7056" w:rsidP="00BD7056">
      <w:pPr>
        <w:spacing w:before="120" w:after="120" w:line="240" w:lineRule="auto"/>
        <w:jc w:val="both"/>
        <w:rPr>
          <w:rFonts w:ascii="Garamond" w:hAnsi="Garamond"/>
        </w:rPr>
      </w:pPr>
    </w:p>
    <w:p w14:paraId="5D0533A8"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**Enfermedades documentadas:**</w:t>
      </w:r>
    </w:p>
    <w:p w14:paraId="2B9B9C68"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1. **Genéticas/hereditarias:**  </w:t>
      </w:r>
    </w:p>
    <w:p w14:paraId="0BCC1C99"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 Síndrome de Klinefelter (XXY) – hipótesis moderna  </w:t>
      </w:r>
    </w:p>
    <w:p w14:paraId="3071D2C1"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 Deficiencia de hormona del crecimiento (acromegalia parcial)  </w:t>
      </w:r>
    </w:p>
    <w:p w14:paraId="19AF004C"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 Raquitismo (por mala absorción de nutrientes)  </w:t>
      </w:r>
    </w:p>
    <w:p w14:paraId="69AB1057"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 Epilepsia (crisis documentadas desde los 4 años)  </w:t>
      </w:r>
    </w:p>
    <w:p w14:paraId="629EC44D" w14:textId="77777777" w:rsidR="00BD7056" w:rsidRPr="00BD7056" w:rsidRDefault="00BD7056" w:rsidP="00BD7056">
      <w:pPr>
        <w:spacing w:before="120" w:after="120" w:line="240" w:lineRule="auto"/>
        <w:jc w:val="both"/>
        <w:rPr>
          <w:rFonts w:ascii="Garamond" w:hAnsi="Garamond"/>
        </w:rPr>
      </w:pPr>
    </w:p>
    <w:p w14:paraId="7FDDB0FC"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2. **Infecciosas:**  </w:t>
      </w:r>
    </w:p>
    <w:p w14:paraId="76DBACC7"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 Viruela (1667, dejó cicatrices)  </w:t>
      </w:r>
    </w:p>
    <w:p w14:paraId="64804A99"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 Sarampión  </w:t>
      </w:r>
    </w:p>
    <w:p w14:paraId="28BAB69C"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 Recurrentes fiebres tercianas (posible malaria)  </w:t>
      </w:r>
    </w:p>
    <w:p w14:paraId="1DFC4F26"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 Infecciones cutáneas crónicas  </w:t>
      </w:r>
    </w:p>
    <w:p w14:paraId="73751B6D" w14:textId="77777777" w:rsidR="00BD7056" w:rsidRPr="00BD7056" w:rsidRDefault="00BD7056" w:rsidP="00BD7056">
      <w:pPr>
        <w:spacing w:before="120" w:after="120" w:line="240" w:lineRule="auto"/>
        <w:jc w:val="both"/>
        <w:rPr>
          <w:rFonts w:ascii="Garamond" w:hAnsi="Garamond"/>
        </w:rPr>
      </w:pPr>
    </w:p>
    <w:p w14:paraId="6EAA0E65"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3. **Digestivas/metabólicas:**  </w:t>
      </w:r>
    </w:p>
    <w:p w14:paraId="0CF724D1"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 Intolerancias alimentarias múltiples  </w:t>
      </w:r>
    </w:p>
    <w:p w14:paraId="004C1D9A"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 Diarreas crónicas  </w:t>
      </w:r>
    </w:p>
    <w:p w14:paraId="03184EDA"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 Cólicos hepáticos y renales  </w:t>
      </w:r>
    </w:p>
    <w:p w14:paraId="5695B39F" w14:textId="77777777" w:rsidR="00BD7056" w:rsidRPr="00BD7056" w:rsidRDefault="00BD7056" w:rsidP="00BD7056">
      <w:pPr>
        <w:spacing w:before="120" w:after="120" w:line="240" w:lineRule="auto"/>
        <w:jc w:val="both"/>
        <w:rPr>
          <w:rFonts w:ascii="Garamond" w:hAnsi="Garamond"/>
        </w:rPr>
      </w:pPr>
    </w:p>
    <w:p w14:paraId="4818CC57"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4. **Psiquiátricas/neurológicas:**  </w:t>
      </w:r>
    </w:p>
    <w:p w14:paraId="7A640D9A"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 Retraso madurativo (no habló hasta los 4 años, no caminó hasta los 6)  </w:t>
      </w:r>
    </w:p>
    <w:p w14:paraId="6B6AD1A4"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 Episodios depresivos y apatía prolongada  </w:t>
      </w:r>
    </w:p>
    <w:p w14:paraId="7BF974CA"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 Posible demencia temprana  </w:t>
      </w:r>
    </w:p>
    <w:p w14:paraId="2C025F19" w14:textId="77777777" w:rsidR="00BD7056" w:rsidRPr="00BD7056" w:rsidRDefault="00BD7056" w:rsidP="00BD7056">
      <w:pPr>
        <w:spacing w:before="120" w:after="120" w:line="240" w:lineRule="auto"/>
        <w:jc w:val="both"/>
        <w:rPr>
          <w:rFonts w:ascii="Garamond" w:hAnsi="Garamond"/>
        </w:rPr>
      </w:pPr>
    </w:p>
    <w:p w14:paraId="72070358"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w:t>
      </w:r>
    </w:p>
    <w:p w14:paraId="121828D4" w14:textId="77777777" w:rsidR="00BD7056" w:rsidRPr="00BD7056" w:rsidRDefault="00BD7056" w:rsidP="00BD7056">
      <w:pPr>
        <w:spacing w:before="120" w:after="120" w:line="240" w:lineRule="auto"/>
        <w:jc w:val="both"/>
        <w:rPr>
          <w:rFonts w:ascii="Garamond" w:hAnsi="Garamond"/>
        </w:rPr>
      </w:pPr>
    </w:p>
    <w:p w14:paraId="43E3092F"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**IV. EDUCACIÓN Y FORMACIÓN**</w:t>
      </w:r>
    </w:p>
    <w:p w14:paraId="77E42471"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lastRenderedPageBreak/>
        <w:t xml:space="preserve">- **Preceptores principales:**  </w:t>
      </w:r>
    </w:p>
    <w:p w14:paraId="0656F120"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 Juan de la Torre (primer instructor)  </w:t>
      </w:r>
    </w:p>
    <w:p w14:paraId="506D05A8"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 Jesús María de Quirós (latinista)  </w:t>
      </w:r>
    </w:p>
    <w:p w14:paraId="017EDE3E"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 Fray Antonio Álvarez de Argüelles (religión)  </w:t>
      </w:r>
    </w:p>
    <w:p w14:paraId="7B20ACB0"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**Nivel alcanzado:**  </w:t>
      </w:r>
    </w:p>
    <w:p w14:paraId="2F8DD6AC"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 Lectura y escritura básicas  </w:t>
      </w:r>
    </w:p>
    <w:p w14:paraId="6F7157BA"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 Latitud eclesiástica elemental  </w:t>
      </w:r>
    </w:p>
    <w:p w14:paraId="6A3F7334"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 Geografía </w:t>
      </w:r>
      <w:proofErr w:type="spellStart"/>
      <w:r w:rsidRPr="00BD7056">
        <w:rPr>
          <w:rFonts w:ascii="Garamond" w:hAnsi="Garamond"/>
        </w:rPr>
        <w:t>y</w:t>
      </w:r>
      <w:proofErr w:type="spellEnd"/>
      <w:r w:rsidRPr="00BD7056">
        <w:rPr>
          <w:rFonts w:ascii="Garamond" w:hAnsi="Garamond"/>
        </w:rPr>
        <w:t xml:space="preserve"> historia dinástica rudimentaria  </w:t>
      </w:r>
    </w:p>
    <w:p w14:paraId="1F337CD1"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 **Nota:** Nunca aprendió a escribir correctamente; sus firmas eran torpes y sus edictos se redactaban por secretarios  </w:t>
      </w:r>
    </w:p>
    <w:p w14:paraId="1548191F" w14:textId="77777777" w:rsidR="00BD7056" w:rsidRPr="00BD7056" w:rsidRDefault="00BD7056" w:rsidP="00BD7056">
      <w:pPr>
        <w:spacing w:before="120" w:after="120" w:line="240" w:lineRule="auto"/>
        <w:jc w:val="both"/>
        <w:rPr>
          <w:rFonts w:ascii="Garamond" w:hAnsi="Garamond"/>
        </w:rPr>
      </w:pPr>
    </w:p>
    <w:p w14:paraId="09F880C6"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w:t>
      </w:r>
    </w:p>
    <w:p w14:paraId="1D70DC7C" w14:textId="77777777" w:rsidR="00BD7056" w:rsidRPr="00BD7056" w:rsidRDefault="00BD7056" w:rsidP="00BD7056">
      <w:pPr>
        <w:spacing w:before="120" w:after="120" w:line="240" w:lineRule="auto"/>
        <w:jc w:val="both"/>
        <w:rPr>
          <w:rFonts w:ascii="Garamond" w:hAnsi="Garamond"/>
        </w:rPr>
      </w:pPr>
    </w:p>
    <w:p w14:paraId="0DC74F80"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**V. MATRIMONIOS Y DESCENDENCIA**</w:t>
      </w:r>
    </w:p>
    <w:p w14:paraId="32419BCC"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**1. María Luisa de Orléans (1679–1689)**</w:t>
      </w:r>
    </w:p>
    <w:p w14:paraId="1A02A0BA"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**Parentesco:** Sobrina de Luis XIV de Francia  </w:t>
      </w:r>
    </w:p>
    <w:p w14:paraId="71DCBB36"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**Edad al casarse:** Carlos (18 años), María Luisa (17)  </w:t>
      </w:r>
    </w:p>
    <w:p w14:paraId="3C06F6EF"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**Dote:** 500.000 escudos  </w:t>
      </w:r>
    </w:p>
    <w:p w14:paraId="723C1373"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**Relación:** Afectuosa por parte del rey, frustrada sexualmente según relatos  </w:t>
      </w:r>
    </w:p>
    <w:p w14:paraId="05C320D0"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**Muerte:** Presuntamente envenenada (rumor no confirmado)</w:t>
      </w:r>
    </w:p>
    <w:p w14:paraId="29CE6CC2" w14:textId="77777777" w:rsidR="00BD7056" w:rsidRPr="00BD7056" w:rsidRDefault="00BD7056" w:rsidP="00BD7056">
      <w:pPr>
        <w:spacing w:before="120" w:after="120" w:line="240" w:lineRule="auto"/>
        <w:jc w:val="both"/>
        <w:rPr>
          <w:rFonts w:ascii="Garamond" w:hAnsi="Garamond"/>
        </w:rPr>
      </w:pPr>
    </w:p>
    <w:p w14:paraId="6F2F13DC"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**2. Mariana de Neoburgo (1689–1700)**</w:t>
      </w:r>
    </w:p>
    <w:p w14:paraId="7C19C066"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**Parentesco:** Hija del elector palatino Felipe Guillermo  </w:t>
      </w:r>
    </w:p>
    <w:p w14:paraId="02F71566"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**Edad al casarse:** Carlos (28 años), Mariana (22)  </w:t>
      </w:r>
    </w:p>
    <w:p w14:paraId="5BFCA5C5"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**Objetivo dinástico:** Procrear un heredero a toda costa  </w:t>
      </w:r>
    </w:p>
    <w:p w14:paraId="06706DDC"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**Métodos empleados:**  </w:t>
      </w:r>
    </w:p>
    <w:p w14:paraId="22333BA2"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 Dietas especiales  </w:t>
      </w:r>
    </w:p>
    <w:p w14:paraId="22837DDC"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 Pociones y remedios (incluyendo orina de monja y testículos de toro)  </w:t>
      </w:r>
    </w:p>
    <w:p w14:paraId="298029C1"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 Peregrinaciones a santuarios  </w:t>
      </w:r>
    </w:p>
    <w:p w14:paraId="34CE99DF"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 Exposición a niños (para "estimular la maternidad")  </w:t>
      </w:r>
    </w:p>
    <w:p w14:paraId="74F1C1CC"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**Resultado:** Ningún embarazo confirmado  </w:t>
      </w:r>
    </w:p>
    <w:p w14:paraId="79A49B61" w14:textId="77777777" w:rsidR="00BD7056" w:rsidRPr="00BD7056" w:rsidRDefault="00BD7056" w:rsidP="00BD7056">
      <w:pPr>
        <w:spacing w:before="120" w:after="120" w:line="240" w:lineRule="auto"/>
        <w:jc w:val="both"/>
        <w:rPr>
          <w:rFonts w:ascii="Garamond" w:hAnsi="Garamond"/>
        </w:rPr>
      </w:pPr>
    </w:p>
    <w:p w14:paraId="3AE9C436"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**Descendencia:**  </w:t>
      </w:r>
    </w:p>
    <w:p w14:paraId="35191BB7"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**0 hijos legítimos**  </w:t>
      </w:r>
    </w:p>
    <w:p w14:paraId="1F491BFE"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**0 hijos ilegítimos reconocidos** (su impotencia/esterilidad era notoria)</w:t>
      </w:r>
    </w:p>
    <w:p w14:paraId="52C390F3" w14:textId="77777777" w:rsidR="00BD7056" w:rsidRPr="00BD7056" w:rsidRDefault="00BD7056" w:rsidP="00BD7056">
      <w:pPr>
        <w:spacing w:before="120" w:after="120" w:line="240" w:lineRule="auto"/>
        <w:jc w:val="both"/>
        <w:rPr>
          <w:rFonts w:ascii="Garamond" w:hAnsi="Garamond"/>
        </w:rPr>
      </w:pPr>
    </w:p>
    <w:p w14:paraId="339CA487"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lastRenderedPageBreak/>
        <w:t>---</w:t>
      </w:r>
    </w:p>
    <w:p w14:paraId="1B609840" w14:textId="77777777" w:rsidR="00BD7056" w:rsidRPr="00BD7056" w:rsidRDefault="00BD7056" w:rsidP="00BD7056">
      <w:pPr>
        <w:spacing w:before="120" w:after="120" w:line="240" w:lineRule="auto"/>
        <w:jc w:val="both"/>
        <w:rPr>
          <w:rFonts w:ascii="Garamond" w:hAnsi="Garamond"/>
        </w:rPr>
      </w:pPr>
    </w:p>
    <w:p w14:paraId="63BD947B"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**VI. CARACTERÍSTICAS PSICOLÓGICAS Y PERSONALIDAD**</w:t>
      </w:r>
    </w:p>
    <w:p w14:paraId="7AF62C97"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**Según testimonios de cortesanos:**</w:t>
      </w:r>
    </w:p>
    <w:p w14:paraId="51198B00"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**Infancia/adolescencia:**  </w:t>
      </w:r>
    </w:p>
    <w:p w14:paraId="5BF65970"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 Timidez extrema  </w:t>
      </w:r>
    </w:p>
    <w:p w14:paraId="14D200BF"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 Apego a su madre y a sus ayos  </w:t>
      </w:r>
    </w:p>
    <w:p w14:paraId="577357CE"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 Fascinación por lo macabro (coleccionaba animales muertos)  </w:t>
      </w:r>
    </w:p>
    <w:p w14:paraId="7EFC716B"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 Juegos infantiles prolongados (muñecas, soldaditos)  </w:t>
      </w:r>
    </w:p>
    <w:p w14:paraId="3598122E" w14:textId="77777777" w:rsidR="00BD7056" w:rsidRPr="00BD7056" w:rsidRDefault="00BD7056" w:rsidP="00BD7056">
      <w:pPr>
        <w:spacing w:before="120" w:after="120" w:line="240" w:lineRule="auto"/>
        <w:jc w:val="both"/>
        <w:rPr>
          <w:rFonts w:ascii="Garamond" w:hAnsi="Garamond"/>
        </w:rPr>
      </w:pPr>
    </w:p>
    <w:p w14:paraId="25FE2F60"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**Edad adulta:**  </w:t>
      </w:r>
    </w:p>
    <w:p w14:paraId="236C465A"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 **Religiosidad obsesiva:**  </w:t>
      </w:r>
    </w:p>
    <w:p w14:paraId="0BD3A152"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 Rezaba horas diarias  </w:t>
      </w:r>
    </w:p>
    <w:p w14:paraId="50E08A39"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 Visitaba cadáveres de religiosos  </w:t>
      </w:r>
    </w:p>
    <w:p w14:paraId="512398D4"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 Autoflagelaciones  </w:t>
      </w:r>
    </w:p>
    <w:p w14:paraId="5DAADAF9"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 **Obsesiones y manías:**  </w:t>
      </w:r>
    </w:p>
    <w:p w14:paraId="7E9F7A1D"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 Temor a ser envenenado  </w:t>
      </w:r>
    </w:p>
    <w:p w14:paraId="471CADCF"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 Rituales compulsivos  </w:t>
      </w:r>
    </w:p>
    <w:p w14:paraId="3244C108"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 Coleccionismo de reliquias (llegó a tener 7.422 documentadas)  </w:t>
      </w:r>
    </w:p>
    <w:p w14:paraId="12AE19CA"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 **Capacidad de gobierno:**  </w:t>
      </w:r>
    </w:p>
    <w:p w14:paraId="3C20119B"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 Asistía a consejos pero raramente intervenía  </w:t>
      </w:r>
    </w:p>
    <w:p w14:paraId="35503C21"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 Firmaba lo que se le ponía delante  </w:t>
      </w:r>
    </w:p>
    <w:p w14:paraId="621F8924"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 Periodos de lucidez intermitente (especialmente en asuntos de caza y religión)  </w:t>
      </w:r>
    </w:p>
    <w:p w14:paraId="6EDD0B08" w14:textId="77777777" w:rsidR="00BD7056" w:rsidRPr="00BD7056" w:rsidRDefault="00BD7056" w:rsidP="00BD7056">
      <w:pPr>
        <w:spacing w:before="120" w:after="120" w:line="240" w:lineRule="auto"/>
        <w:jc w:val="both"/>
        <w:rPr>
          <w:rFonts w:ascii="Garamond" w:hAnsi="Garamond"/>
        </w:rPr>
      </w:pPr>
    </w:p>
    <w:p w14:paraId="30FD33C2"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w:t>
      </w:r>
    </w:p>
    <w:p w14:paraId="7CB76B12" w14:textId="77777777" w:rsidR="00BD7056" w:rsidRPr="00BD7056" w:rsidRDefault="00BD7056" w:rsidP="00BD7056">
      <w:pPr>
        <w:spacing w:before="120" w:after="120" w:line="240" w:lineRule="auto"/>
        <w:jc w:val="both"/>
        <w:rPr>
          <w:rFonts w:ascii="Garamond" w:hAnsi="Garamond"/>
        </w:rPr>
      </w:pPr>
    </w:p>
    <w:p w14:paraId="23938A53"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**VII. REGENCIA Y GOBIERNO**</w:t>
      </w:r>
    </w:p>
    <w:p w14:paraId="6E2E647F"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**Regentes:**</w:t>
      </w:r>
    </w:p>
    <w:p w14:paraId="04D24DE2"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1. **Mariana de Austria (1665–1675)**  </w:t>
      </w:r>
    </w:p>
    <w:p w14:paraId="13028064"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 Valido: Padre Juan Everardo Nithard (jesuita)  </w:t>
      </w:r>
    </w:p>
    <w:p w14:paraId="62043306"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 Valido: Fernando de Valenzuela  </w:t>
      </w:r>
    </w:p>
    <w:p w14:paraId="56265DF2" w14:textId="77777777" w:rsidR="00BD7056" w:rsidRPr="00BD7056" w:rsidRDefault="00BD7056" w:rsidP="00BD7056">
      <w:pPr>
        <w:spacing w:before="120" w:after="120" w:line="240" w:lineRule="auto"/>
        <w:jc w:val="both"/>
        <w:rPr>
          <w:rFonts w:ascii="Garamond" w:hAnsi="Garamond"/>
        </w:rPr>
      </w:pPr>
    </w:p>
    <w:p w14:paraId="18EEF4EB"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2. **Juan José de Austria (1677–1679)**  </w:t>
      </w:r>
    </w:p>
    <w:p w14:paraId="22369358"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 Hijo bastardo de Felipe IV  </w:t>
      </w:r>
    </w:p>
    <w:p w14:paraId="22BF64BF" w14:textId="77777777" w:rsidR="00BD7056" w:rsidRPr="00BD7056" w:rsidRDefault="00BD7056" w:rsidP="00BD7056">
      <w:pPr>
        <w:spacing w:before="120" w:after="120" w:line="240" w:lineRule="auto"/>
        <w:jc w:val="both"/>
        <w:rPr>
          <w:rFonts w:ascii="Garamond" w:hAnsi="Garamond"/>
        </w:rPr>
      </w:pPr>
    </w:p>
    <w:p w14:paraId="2388BBB2"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3. **Periodo de gobierno personal nominal (1679–1700)**  </w:t>
      </w:r>
    </w:p>
    <w:p w14:paraId="4F955A01"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lastRenderedPageBreak/>
        <w:t xml:space="preserve">   - **Validos reales:**  </w:t>
      </w:r>
    </w:p>
    <w:p w14:paraId="2FAAB700"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 Duque de Medinaceli (1680–1685)  </w:t>
      </w:r>
    </w:p>
    <w:p w14:paraId="433B3E49"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 Conde de Oropesa (1685–1691, 1698–1699)  </w:t>
      </w:r>
    </w:p>
    <w:p w14:paraId="52D154B4"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 Cardenal Portocarrero (últimos años)  </w:t>
      </w:r>
    </w:p>
    <w:p w14:paraId="43AB6398" w14:textId="77777777" w:rsidR="00BD7056" w:rsidRPr="00BD7056" w:rsidRDefault="00BD7056" w:rsidP="00BD7056">
      <w:pPr>
        <w:spacing w:before="120" w:after="120" w:line="240" w:lineRule="auto"/>
        <w:jc w:val="both"/>
        <w:rPr>
          <w:rFonts w:ascii="Garamond" w:hAnsi="Garamond"/>
        </w:rPr>
      </w:pPr>
    </w:p>
    <w:p w14:paraId="21188EC5"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**Principales crisis de su reinado:**</w:t>
      </w:r>
    </w:p>
    <w:p w14:paraId="4629D928"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**Pérdida de Portugal** (independencia reconocida en 1668)  </w:t>
      </w:r>
    </w:p>
    <w:p w14:paraId="4E7CB935"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**Guerra de Devolución** (1667–1668)  </w:t>
      </w:r>
    </w:p>
    <w:p w14:paraId="21DA12C1"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**Guerra de los Nueve Años** (1688–1697)  </w:t>
      </w:r>
    </w:p>
    <w:p w14:paraId="460E2A30"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**Crisis económica crónica** (quiebras de la Hacienda Real en 1666, 1680, 1693)  </w:t>
      </w:r>
    </w:p>
    <w:p w14:paraId="2875567F"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**Peste y hambrunas** (1676–1685)  </w:t>
      </w:r>
    </w:p>
    <w:p w14:paraId="3883FE8F" w14:textId="77777777" w:rsidR="00BD7056" w:rsidRPr="00BD7056" w:rsidRDefault="00BD7056" w:rsidP="00BD7056">
      <w:pPr>
        <w:spacing w:before="120" w:after="120" w:line="240" w:lineRule="auto"/>
        <w:jc w:val="both"/>
        <w:rPr>
          <w:rFonts w:ascii="Garamond" w:hAnsi="Garamond"/>
        </w:rPr>
      </w:pPr>
    </w:p>
    <w:p w14:paraId="3AC9852C"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w:t>
      </w:r>
    </w:p>
    <w:p w14:paraId="6006BEED" w14:textId="77777777" w:rsidR="00BD7056" w:rsidRPr="00BD7056" w:rsidRDefault="00BD7056" w:rsidP="00BD7056">
      <w:pPr>
        <w:spacing w:before="120" w:after="120" w:line="240" w:lineRule="auto"/>
        <w:jc w:val="both"/>
        <w:rPr>
          <w:rFonts w:ascii="Garamond" w:hAnsi="Garamond"/>
        </w:rPr>
      </w:pPr>
    </w:p>
    <w:p w14:paraId="7DD7710C"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**VIII. ÚLTIMOS AÑOS Y TESTAMENTO**</w:t>
      </w:r>
    </w:p>
    <w:p w14:paraId="4D18C93A"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**Decadencia física (1696–1700):**</w:t>
      </w:r>
    </w:p>
    <w:p w14:paraId="4AEC9741"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**1696:** Incapacidad progresiva, edemas generalizados  </w:t>
      </w:r>
    </w:p>
    <w:p w14:paraId="717362A4"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**1698:** Primer testamento (designa a José Fernando de Baviera como heredero)  </w:t>
      </w:r>
    </w:p>
    <w:p w14:paraId="729C1919"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**1699:** Muerte del príncipe José Fernando de Baviera (envenenamiento sospechoso)  </w:t>
      </w:r>
    </w:p>
    <w:p w14:paraId="697BC718"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**1700:**  </w:t>
      </w:r>
    </w:p>
    <w:p w14:paraId="4C91DD07"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 **Marzo-septiembre:** Agonía pública, el rey exhibido en misas como "reliquia viviente"  </w:t>
      </w:r>
    </w:p>
    <w:p w14:paraId="12D9324F"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 **Octubre:** Testamento final (3 de octubre de 1700)  </w:t>
      </w:r>
    </w:p>
    <w:p w14:paraId="316BAF3B"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 Heredero universal: Felipe de Anjou (nieto de Luis XIV)  </w:t>
      </w:r>
    </w:p>
    <w:p w14:paraId="0B2E3C8F"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 Cláusula de indivisibilidad de la monarquía  </w:t>
      </w:r>
    </w:p>
    <w:p w14:paraId="07D5F06D"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 Condición: renuncia a la corona francesa  </w:t>
      </w:r>
    </w:p>
    <w:p w14:paraId="35753B19" w14:textId="77777777" w:rsidR="00BD7056" w:rsidRPr="00BD7056" w:rsidRDefault="00BD7056" w:rsidP="00BD7056">
      <w:pPr>
        <w:spacing w:before="120" w:after="120" w:line="240" w:lineRule="auto"/>
        <w:jc w:val="both"/>
        <w:rPr>
          <w:rFonts w:ascii="Garamond" w:hAnsi="Garamond"/>
        </w:rPr>
      </w:pPr>
    </w:p>
    <w:p w14:paraId="6D68FC14"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**Autopsia (realizada por Dr. Juan de Gracia):**</w:t>
      </w:r>
    </w:p>
    <w:p w14:paraId="6F9B8ED6"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**Cerebro:** "Dos grandes piedras" (cálculos cerebrales)  </w:t>
      </w:r>
    </w:p>
    <w:p w14:paraId="3DC3A672"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**Corazón:** "Del tamaño de un grano de pimienta"  </w:t>
      </w:r>
    </w:p>
    <w:p w14:paraId="15D54340"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**Pulmones:** Corroídos  </w:t>
      </w:r>
    </w:p>
    <w:p w14:paraId="3181ADF1"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**Intestinos:** Gangrenados  </w:t>
      </w:r>
    </w:p>
    <w:p w14:paraId="56FAB929"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**Testículos:** "Negros como el carbón"  </w:t>
      </w:r>
    </w:p>
    <w:p w14:paraId="6B9E4617"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**Conclusión oficial:** "No tenía una sola gota de sangre; su corazón era del tamaño de un grano de pimienta; sus pulmones corroídos; sus intestinos putrefactos y gangrenados; tenía un solo testículo, negro como el carbón, y su cabeza estaba llena de agua."</w:t>
      </w:r>
    </w:p>
    <w:p w14:paraId="31F3C549" w14:textId="77777777" w:rsidR="00BD7056" w:rsidRPr="00BD7056" w:rsidRDefault="00BD7056" w:rsidP="00BD7056">
      <w:pPr>
        <w:spacing w:before="120" w:after="120" w:line="240" w:lineRule="auto"/>
        <w:jc w:val="both"/>
        <w:rPr>
          <w:rFonts w:ascii="Garamond" w:hAnsi="Garamond"/>
        </w:rPr>
      </w:pPr>
    </w:p>
    <w:p w14:paraId="6FE44EC5"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w:t>
      </w:r>
    </w:p>
    <w:p w14:paraId="24AEBFD3" w14:textId="77777777" w:rsidR="00BD7056" w:rsidRPr="00BD7056" w:rsidRDefault="00BD7056" w:rsidP="00BD7056">
      <w:pPr>
        <w:spacing w:before="120" w:after="120" w:line="240" w:lineRule="auto"/>
        <w:jc w:val="both"/>
        <w:rPr>
          <w:rFonts w:ascii="Garamond" w:hAnsi="Garamond"/>
        </w:rPr>
      </w:pPr>
    </w:p>
    <w:p w14:paraId="5F01B6A0"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**IX. LEGADO Y REPRESENTACIÓN CULTURAL**</w:t>
      </w:r>
    </w:p>
    <w:p w14:paraId="5FC80212"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**Sobrenombres:**</w:t>
      </w:r>
    </w:p>
    <w:p w14:paraId="1704669A"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"El Hechizado" (creencia popular en brujería)  </w:t>
      </w:r>
    </w:p>
    <w:p w14:paraId="1EE0D14D"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"El Rey Imposible"  </w:t>
      </w:r>
    </w:p>
    <w:p w14:paraId="31CA4905"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"El Fin de una Estirpe"  </w:t>
      </w:r>
    </w:p>
    <w:p w14:paraId="38601AAF" w14:textId="77777777" w:rsidR="00BD7056" w:rsidRPr="00BD7056" w:rsidRDefault="00BD7056" w:rsidP="00BD7056">
      <w:pPr>
        <w:spacing w:before="120" w:after="120" w:line="240" w:lineRule="auto"/>
        <w:jc w:val="both"/>
        <w:rPr>
          <w:rFonts w:ascii="Garamond" w:hAnsi="Garamond"/>
        </w:rPr>
      </w:pPr>
    </w:p>
    <w:p w14:paraId="59EC8B8E"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**En la cultura popular:**</w:t>
      </w:r>
    </w:p>
    <w:p w14:paraId="62B2BA93"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**Pintura:** Retratos de Juan Carreño de Miranda y Claudio Coello  </w:t>
      </w:r>
    </w:p>
    <w:p w14:paraId="7DAC7A22"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**Literatura:** *El Hechizado por fuerza* de Antonio de Zamora  </w:t>
      </w:r>
    </w:p>
    <w:p w14:paraId="5CD6574C"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**Historiografía:** Símbolo de la decadencia española  </w:t>
      </w:r>
    </w:p>
    <w:p w14:paraId="25DFDCA5" w14:textId="77777777" w:rsidR="00BD7056" w:rsidRPr="00BD7056" w:rsidRDefault="00BD7056" w:rsidP="00BD7056">
      <w:pPr>
        <w:spacing w:before="120" w:after="120" w:line="240" w:lineRule="auto"/>
        <w:jc w:val="both"/>
        <w:rPr>
          <w:rFonts w:ascii="Garamond" w:hAnsi="Garamond"/>
        </w:rPr>
      </w:pPr>
    </w:p>
    <w:p w14:paraId="18207E36"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**Consecuencias históricas:**</w:t>
      </w:r>
    </w:p>
    <w:p w14:paraId="3196900C"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**Guerra de Sucesión Española** (1701–1714)  </w:t>
      </w:r>
    </w:p>
    <w:p w14:paraId="7820D933"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**Fin de la Casa de Austria en España**  </w:t>
      </w:r>
    </w:p>
    <w:p w14:paraId="1F396640"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 **Ascenso de los Borbones**  </w:t>
      </w:r>
    </w:p>
    <w:p w14:paraId="78146E4D" w14:textId="77777777" w:rsidR="00BD7056" w:rsidRPr="00BD7056" w:rsidRDefault="00BD7056" w:rsidP="00BD7056">
      <w:pPr>
        <w:spacing w:before="120" w:after="120" w:line="240" w:lineRule="auto"/>
        <w:jc w:val="both"/>
        <w:rPr>
          <w:rFonts w:ascii="Garamond" w:hAnsi="Garamond"/>
        </w:rPr>
      </w:pPr>
    </w:p>
    <w:p w14:paraId="23124160"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 BIBLIOGRAFÍA ESENCIAL**</w:t>
      </w:r>
    </w:p>
    <w:p w14:paraId="0E62B29B"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1. **Kamen, Henry** – *La España de Carlos II*  </w:t>
      </w:r>
    </w:p>
    <w:p w14:paraId="7B6A96A8"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2. **Lynch, John** – *La España de los Austrias*  </w:t>
      </w:r>
    </w:p>
    <w:p w14:paraId="4322ADA2"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3. **Ribot, Luis** – *La Guerra de Sucesión Española*  </w:t>
      </w:r>
    </w:p>
    <w:p w14:paraId="246BEA68"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4. **García Cárcel, Ricardo** – *El sueño de la nación indomable*  </w:t>
      </w:r>
    </w:p>
    <w:p w14:paraId="5B0C675B"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 xml:space="preserve">5. **Feros, Antonio** – *El duque de Lerma*  </w:t>
      </w:r>
    </w:p>
    <w:p w14:paraId="05E5E428"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6. **Documental** – *Carlos II: El fin de los Austrias* (TVE, 2017)</w:t>
      </w:r>
    </w:p>
    <w:p w14:paraId="5F6E7AB1" w14:textId="77777777" w:rsidR="00BD7056" w:rsidRPr="00BD7056" w:rsidRDefault="00BD7056" w:rsidP="00BD7056">
      <w:pPr>
        <w:spacing w:before="120" w:after="120" w:line="240" w:lineRule="auto"/>
        <w:jc w:val="both"/>
        <w:rPr>
          <w:rFonts w:ascii="Garamond" w:hAnsi="Garamond"/>
        </w:rPr>
      </w:pPr>
    </w:p>
    <w:p w14:paraId="25AA1B06" w14:textId="77777777" w:rsidR="00BD7056" w:rsidRPr="00BD7056" w:rsidRDefault="00BD7056" w:rsidP="00BD7056">
      <w:pPr>
        <w:spacing w:before="120" w:after="120" w:line="240" w:lineRule="auto"/>
        <w:jc w:val="both"/>
        <w:rPr>
          <w:rFonts w:ascii="Garamond" w:hAnsi="Garamond"/>
        </w:rPr>
      </w:pPr>
      <w:r w:rsidRPr="00BD7056">
        <w:rPr>
          <w:rFonts w:ascii="Garamond" w:hAnsi="Garamond"/>
        </w:rPr>
        <w:t>**Nota final:** Carlos II representa un caso extremo de **endogamia dinástica**, **incapacidad física y mental para gobernar**, y **víctima de las ambiciones europeas**. Su reinado fue una **larga agonía personal y política** que culminó en el conflicto sucesorio que redefinió Europa.</w:t>
      </w:r>
    </w:p>
    <w:p w14:paraId="09DB7B9E" w14:textId="77777777" w:rsidR="00BD7056" w:rsidRPr="00BD7056" w:rsidRDefault="00BD7056" w:rsidP="00BD7056">
      <w:pPr>
        <w:spacing w:before="120" w:after="120" w:line="240" w:lineRule="auto"/>
        <w:jc w:val="both"/>
        <w:rPr>
          <w:rFonts w:ascii="Garamond" w:hAnsi="Garamond"/>
        </w:rPr>
      </w:pPr>
    </w:p>
    <w:sectPr w:rsidR="00BD7056" w:rsidRPr="00BD7056" w:rsidSect="00FD733D">
      <w:footerReference w:type="default" r:id="rId11"/>
      <w:pgSz w:w="11906" w:h="16838"/>
      <w:pgMar w:top="1417"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B2005" w14:textId="77777777" w:rsidR="00D443E2" w:rsidRDefault="00D443E2" w:rsidP="00BD7056">
      <w:pPr>
        <w:spacing w:after="0" w:line="240" w:lineRule="auto"/>
      </w:pPr>
      <w:r>
        <w:separator/>
      </w:r>
    </w:p>
  </w:endnote>
  <w:endnote w:type="continuationSeparator" w:id="0">
    <w:p w14:paraId="45E4C645" w14:textId="77777777" w:rsidR="00D443E2" w:rsidRDefault="00D443E2" w:rsidP="00BD70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dobe Garamond Pro">
    <w:panose1 w:val="02020502060506020403"/>
    <w:charset w:val="00"/>
    <w:family w:val="roman"/>
    <w:notTrueType/>
    <w:pitch w:val="variable"/>
    <w:sig w:usb0="00000007" w:usb1="00000001"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6487190"/>
      <w:docPartObj>
        <w:docPartGallery w:val="Page Numbers (Bottom of Page)"/>
        <w:docPartUnique/>
      </w:docPartObj>
    </w:sdtPr>
    <w:sdtContent>
      <w:sdt>
        <w:sdtPr>
          <w:id w:val="-1769616900"/>
          <w:docPartObj>
            <w:docPartGallery w:val="Page Numbers (Top of Page)"/>
            <w:docPartUnique/>
          </w:docPartObj>
        </w:sdtPr>
        <w:sdtContent>
          <w:p w14:paraId="286C20D7" w14:textId="320DCE28" w:rsidR="00BD7056" w:rsidRDefault="00BD7056">
            <w:pPr>
              <w:pStyle w:val="Piedepgina"/>
              <w:jc w:val="right"/>
            </w:pPr>
            <w:r>
              <w:t xml:space="preserve">Página </w:t>
            </w:r>
            <w:r>
              <w:rPr>
                <w:b/>
                <w:bCs/>
              </w:rPr>
              <w:fldChar w:fldCharType="begin"/>
            </w:r>
            <w:r>
              <w:rPr>
                <w:b/>
                <w:bCs/>
              </w:rPr>
              <w:instrText>PAGE</w:instrText>
            </w:r>
            <w:r>
              <w:rPr>
                <w:b/>
                <w:bCs/>
              </w:rPr>
              <w:fldChar w:fldCharType="separate"/>
            </w:r>
            <w:r>
              <w:rPr>
                <w:b/>
                <w:bCs/>
              </w:rPr>
              <w:t>2</w:t>
            </w:r>
            <w:r>
              <w:rPr>
                <w:b/>
                <w:bCs/>
              </w:rPr>
              <w:fldChar w:fldCharType="end"/>
            </w:r>
            <w:r>
              <w:t xml:space="preserve"> de </w:t>
            </w:r>
            <w:r>
              <w:rPr>
                <w:b/>
                <w:bCs/>
              </w:rPr>
              <w:fldChar w:fldCharType="begin"/>
            </w:r>
            <w:r>
              <w:rPr>
                <w:b/>
                <w:bCs/>
              </w:rPr>
              <w:instrText>NUMPAGES</w:instrText>
            </w:r>
            <w:r>
              <w:rPr>
                <w:b/>
                <w:bCs/>
              </w:rPr>
              <w:fldChar w:fldCharType="separate"/>
            </w:r>
            <w:r>
              <w:rPr>
                <w:b/>
                <w:bCs/>
              </w:rPr>
              <w:t>2</w:t>
            </w:r>
            <w:r>
              <w:rPr>
                <w:b/>
                <w:bCs/>
              </w:rPr>
              <w:fldChar w:fldCharType="end"/>
            </w:r>
          </w:p>
        </w:sdtContent>
      </w:sdt>
    </w:sdtContent>
  </w:sdt>
  <w:p w14:paraId="031F96B5" w14:textId="77777777" w:rsidR="00BD7056" w:rsidRDefault="00BD705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6AD06" w14:textId="77777777" w:rsidR="00D443E2" w:rsidRDefault="00D443E2" w:rsidP="00BD7056">
      <w:pPr>
        <w:spacing w:after="0" w:line="240" w:lineRule="auto"/>
      </w:pPr>
      <w:r>
        <w:separator/>
      </w:r>
    </w:p>
  </w:footnote>
  <w:footnote w:type="continuationSeparator" w:id="0">
    <w:p w14:paraId="298D3F7D" w14:textId="77777777" w:rsidR="00D443E2" w:rsidRDefault="00D443E2" w:rsidP="00BD70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5CF"/>
    <w:multiLevelType w:val="multilevel"/>
    <w:tmpl w:val="4A46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06A92"/>
    <w:multiLevelType w:val="multilevel"/>
    <w:tmpl w:val="6E308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EE4674"/>
    <w:multiLevelType w:val="multilevel"/>
    <w:tmpl w:val="3ED84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53441C"/>
    <w:multiLevelType w:val="multilevel"/>
    <w:tmpl w:val="37EA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A80529"/>
    <w:multiLevelType w:val="multilevel"/>
    <w:tmpl w:val="3430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9717105">
    <w:abstractNumId w:val="4"/>
  </w:num>
  <w:num w:numId="2" w16cid:durableId="1319920360">
    <w:abstractNumId w:val="1"/>
  </w:num>
  <w:num w:numId="3" w16cid:durableId="774636298">
    <w:abstractNumId w:val="2"/>
  </w:num>
  <w:num w:numId="4" w16cid:durableId="237131628">
    <w:abstractNumId w:val="3"/>
  </w:num>
  <w:num w:numId="5" w16cid:durableId="2090035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901"/>
    <w:rsid w:val="00027CBC"/>
    <w:rsid w:val="00126EF6"/>
    <w:rsid w:val="003B5AAA"/>
    <w:rsid w:val="008F4827"/>
    <w:rsid w:val="00BD7056"/>
    <w:rsid w:val="00D443E2"/>
    <w:rsid w:val="00D86793"/>
    <w:rsid w:val="00E52901"/>
    <w:rsid w:val="00EA7F85"/>
    <w:rsid w:val="00FD733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AB7B0"/>
  <w15:chartTrackingRefBased/>
  <w15:docId w15:val="{2BF5F00D-3E55-431D-84C9-DBC7F4AF3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529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529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5290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5290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5290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5290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5290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5290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5290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5290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5290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5290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5290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5290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5290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5290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5290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52901"/>
    <w:rPr>
      <w:rFonts w:eastAsiaTheme="majorEastAsia" w:cstheme="majorBidi"/>
      <w:color w:val="272727" w:themeColor="text1" w:themeTint="D8"/>
    </w:rPr>
  </w:style>
  <w:style w:type="paragraph" w:styleId="Ttulo">
    <w:name w:val="Title"/>
    <w:basedOn w:val="Normal"/>
    <w:next w:val="Normal"/>
    <w:link w:val="TtuloCar"/>
    <w:uiPriority w:val="10"/>
    <w:qFormat/>
    <w:rsid w:val="00E529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5290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5290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5290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52901"/>
    <w:pPr>
      <w:spacing w:before="160"/>
      <w:jc w:val="center"/>
    </w:pPr>
    <w:rPr>
      <w:i/>
      <w:iCs/>
      <w:color w:val="404040" w:themeColor="text1" w:themeTint="BF"/>
    </w:rPr>
  </w:style>
  <w:style w:type="character" w:customStyle="1" w:styleId="CitaCar">
    <w:name w:val="Cita Car"/>
    <w:basedOn w:val="Fuentedeprrafopredeter"/>
    <w:link w:val="Cita"/>
    <w:uiPriority w:val="29"/>
    <w:rsid w:val="00E52901"/>
    <w:rPr>
      <w:i/>
      <w:iCs/>
      <w:color w:val="404040" w:themeColor="text1" w:themeTint="BF"/>
    </w:rPr>
  </w:style>
  <w:style w:type="paragraph" w:styleId="Prrafodelista">
    <w:name w:val="List Paragraph"/>
    <w:basedOn w:val="Normal"/>
    <w:uiPriority w:val="34"/>
    <w:qFormat/>
    <w:rsid w:val="00E52901"/>
    <w:pPr>
      <w:ind w:left="720"/>
      <w:contextualSpacing/>
    </w:pPr>
  </w:style>
  <w:style w:type="character" w:styleId="nfasisintenso">
    <w:name w:val="Intense Emphasis"/>
    <w:basedOn w:val="Fuentedeprrafopredeter"/>
    <w:uiPriority w:val="21"/>
    <w:qFormat/>
    <w:rsid w:val="00E52901"/>
    <w:rPr>
      <w:i/>
      <w:iCs/>
      <w:color w:val="0F4761" w:themeColor="accent1" w:themeShade="BF"/>
    </w:rPr>
  </w:style>
  <w:style w:type="paragraph" w:styleId="Citadestacada">
    <w:name w:val="Intense Quote"/>
    <w:basedOn w:val="Normal"/>
    <w:next w:val="Normal"/>
    <w:link w:val="CitadestacadaCar"/>
    <w:uiPriority w:val="30"/>
    <w:qFormat/>
    <w:rsid w:val="00E529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52901"/>
    <w:rPr>
      <w:i/>
      <w:iCs/>
      <w:color w:val="0F4761" w:themeColor="accent1" w:themeShade="BF"/>
    </w:rPr>
  </w:style>
  <w:style w:type="character" w:styleId="Referenciaintensa">
    <w:name w:val="Intense Reference"/>
    <w:basedOn w:val="Fuentedeprrafopredeter"/>
    <w:uiPriority w:val="32"/>
    <w:qFormat/>
    <w:rsid w:val="00E52901"/>
    <w:rPr>
      <w:b/>
      <w:bCs/>
      <w:smallCaps/>
      <w:color w:val="0F4761" w:themeColor="accent1" w:themeShade="BF"/>
      <w:spacing w:val="5"/>
    </w:rPr>
  </w:style>
  <w:style w:type="character" w:styleId="Hipervnculo">
    <w:name w:val="Hyperlink"/>
    <w:basedOn w:val="Fuentedeprrafopredeter"/>
    <w:uiPriority w:val="99"/>
    <w:unhideWhenUsed/>
    <w:rsid w:val="00E52901"/>
    <w:rPr>
      <w:color w:val="467886" w:themeColor="hyperlink"/>
      <w:u w:val="single"/>
    </w:rPr>
  </w:style>
  <w:style w:type="character" w:styleId="Mencinsinresolver">
    <w:name w:val="Unresolved Mention"/>
    <w:basedOn w:val="Fuentedeprrafopredeter"/>
    <w:uiPriority w:val="99"/>
    <w:semiHidden/>
    <w:unhideWhenUsed/>
    <w:rsid w:val="00E52901"/>
    <w:rPr>
      <w:color w:val="605E5C"/>
      <w:shd w:val="clear" w:color="auto" w:fill="E1DFDD"/>
    </w:rPr>
  </w:style>
  <w:style w:type="paragraph" w:styleId="Encabezado">
    <w:name w:val="header"/>
    <w:basedOn w:val="Normal"/>
    <w:link w:val="EncabezadoCar"/>
    <w:uiPriority w:val="99"/>
    <w:unhideWhenUsed/>
    <w:rsid w:val="00BD705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D7056"/>
  </w:style>
  <w:style w:type="paragraph" w:styleId="Piedepgina">
    <w:name w:val="footer"/>
    <w:basedOn w:val="Normal"/>
    <w:link w:val="PiedepginaCar"/>
    <w:uiPriority w:val="99"/>
    <w:unhideWhenUsed/>
    <w:rsid w:val="00BD705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D70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elo.isciii.es/pdf/urol/v62n3/02.pdf"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historia-hispanica.rah.es/biografias/9667-carlos-ii"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scielo.isciii.es/pdf/urol/v62n3/02.pdf" TargetMode="External"/><Relationship Id="rId4" Type="http://schemas.openxmlformats.org/officeDocument/2006/relationships/webSettings" Target="webSettings.xml"/><Relationship Id="rId9" Type="http://schemas.openxmlformats.org/officeDocument/2006/relationships/hyperlink" Target="https://www.museodelprado.es/coleccion/obra-de-arte/carlos-ii/fdf97e0c-c93c-45a4-9aa2-337053e45839"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8</Pages>
  <Words>2198</Words>
  <Characters>12091</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José Talavera Salgado</dc:creator>
  <cp:keywords/>
  <dc:description/>
  <cp:lastModifiedBy>Francisco José Talavera Salgado</cp:lastModifiedBy>
  <cp:revision>2</cp:revision>
  <dcterms:created xsi:type="dcterms:W3CDTF">2026-01-27T10:24:00Z</dcterms:created>
  <dcterms:modified xsi:type="dcterms:W3CDTF">2026-01-27T10:56:00Z</dcterms:modified>
</cp:coreProperties>
</file>