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2026 Business Operations Report</w:t>
      </w:r>
    </w:p>
    <w:p>
      <w:pPr>
        <w:jc w:val="center"/>
      </w:pPr>
      <w:r>
        <w:t>FuturaEdge Solutions Inc.</w:t>
      </w:r>
    </w:p>
    <w:p>
      <w:r>
        <w:t>This report summarizes quarterly operational performance, sales metrics, customer feedback, project delivery status, and strategic concerns for Q2 2026.</w:t>
      </w:r>
    </w:p>
    <w:p>
      <w:pPr>
        <w:pStyle w:val="Heading2"/>
      </w:pPr>
      <w:r>
        <w:t>Executive Summary</w:t>
      </w:r>
    </w:p>
    <w:p>
      <w:r>
        <w:t>FuturaEdge Solutions Inc. experienced moderate revenue growth during Q2 2026 despite operational delays affecting two major client implementations. Overall customer satisfaction improved due to faster technical support response times and improved onboarding workflows.</w:t>
      </w:r>
    </w:p>
    <w:p>
      <w:pPr>
        <w:pStyle w:val="Heading2"/>
      </w:pPr>
      <w:r>
        <w:t>Sales Performance</w:t>
      </w:r>
    </w:p>
    <w:tbl>
      <w:tblPr>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w:t>
            </w:r>
          </w:p>
        </w:tc>
        <w:tc>
          <w:tcPr>
            <w:tcW w:type="dxa" w:w="2160"/>
          </w:tcPr>
          <w:p>
            <w:r>
              <w:t>Growth</w:t>
            </w:r>
          </w:p>
        </w:tc>
        <w:tc>
          <w:tcPr>
            <w:tcW w:type="dxa" w:w="2160"/>
          </w:tcPr>
          <w:p>
            <w:r>
              <w:t>Top Product</w:t>
            </w:r>
          </w:p>
        </w:tc>
      </w:tr>
      <w:tr>
        <w:tc>
          <w:tcPr>
            <w:tcW w:type="dxa" w:w="2160"/>
          </w:tcPr>
          <w:p>
            <w:r>
              <w:t>North America</w:t>
            </w:r>
          </w:p>
        </w:tc>
        <w:tc>
          <w:tcPr>
            <w:tcW w:type="dxa" w:w="2160"/>
          </w:tcPr>
          <w:p>
            <w:r>
              <w:t>$2.1M</w:t>
            </w:r>
          </w:p>
        </w:tc>
        <w:tc>
          <w:tcPr>
            <w:tcW w:type="dxa" w:w="2160"/>
          </w:tcPr>
          <w:p>
            <w:r>
              <w:t>+12%</w:t>
            </w:r>
          </w:p>
        </w:tc>
        <w:tc>
          <w:tcPr>
            <w:tcW w:type="dxa" w:w="2160"/>
          </w:tcPr>
          <w:p>
            <w:r>
              <w:t>CloudSync Pro</w:t>
            </w:r>
          </w:p>
        </w:tc>
      </w:tr>
      <w:tr>
        <w:tc>
          <w:tcPr>
            <w:tcW w:type="dxa" w:w="2160"/>
          </w:tcPr>
          <w:p>
            <w:r>
              <w:t>Europe</w:t>
            </w:r>
          </w:p>
        </w:tc>
        <w:tc>
          <w:tcPr>
            <w:tcW w:type="dxa" w:w="2160"/>
          </w:tcPr>
          <w:p>
            <w:r>
              <w:t>$1.4M</w:t>
            </w:r>
          </w:p>
        </w:tc>
        <w:tc>
          <w:tcPr>
            <w:tcW w:type="dxa" w:w="2160"/>
          </w:tcPr>
          <w:p>
            <w:r>
              <w:t>+7%</w:t>
            </w:r>
          </w:p>
        </w:tc>
        <w:tc>
          <w:tcPr>
            <w:tcW w:type="dxa" w:w="2160"/>
          </w:tcPr>
          <w:p>
            <w:r>
              <w:t>DataVault Enterprise</w:t>
            </w:r>
          </w:p>
        </w:tc>
      </w:tr>
      <w:tr>
        <w:tc>
          <w:tcPr>
            <w:tcW w:type="dxa" w:w="2160"/>
          </w:tcPr>
          <w:p>
            <w:r>
              <w:t>Asia-Pacific</w:t>
            </w:r>
          </w:p>
        </w:tc>
        <w:tc>
          <w:tcPr>
            <w:tcW w:type="dxa" w:w="2160"/>
          </w:tcPr>
          <w:p>
            <w:r>
              <w:t>$980K</w:t>
            </w:r>
          </w:p>
        </w:tc>
        <w:tc>
          <w:tcPr>
            <w:tcW w:type="dxa" w:w="2160"/>
          </w:tcPr>
          <w:p>
            <w:r>
              <w:t>+18%</w:t>
            </w:r>
          </w:p>
        </w:tc>
        <w:tc>
          <w:tcPr>
            <w:tcW w:type="dxa" w:w="2160"/>
          </w:tcPr>
          <w:p>
            <w:r>
              <w:t>CloudSync Pro</w:t>
            </w:r>
          </w:p>
        </w:tc>
      </w:tr>
      <w:tr>
        <w:tc>
          <w:tcPr>
            <w:tcW w:type="dxa" w:w="2160"/>
          </w:tcPr>
          <w:p>
            <w:r>
              <w:t>Middle East</w:t>
            </w:r>
          </w:p>
        </w:tc>
        <w:tc>
          <w:tcPr>
            <w:tcW w:type="dxa" w:w="2160"/>
          </w:tcPr>
          <w:p>
            <w:r>
              <w:t>$620K</w:t>
            </w:r>
          </w:p>
        </w:tc>
        <w:tc>
          <w:tcPr>
            <w:tcW w:type="dxa" w:w="2160"/>
          </w:tcPr>
          <w:p>
            <w:r>
              <w:t>-3%</w:t>
            </w:r>
          </w:p>
        </w:tc>
        <w:tc>
          <w:tcPr>
            <w:tcW w:type="dxa" w:w="2160"/>
          </w:tcPr>
          <w:p>
            <w:r>
              <w:t>SecureAnalytics</w:t>
            </w:r>
          </w:p>
        </w:tc>
      </w:tr>
    </w:tbl>
    <w:p>
      <w:pPr>
        <w:pStyle w:val="Heading2"/>
      </w:pPr>
      <w:r>
        <w:t>Customer Feedback Summary</w:t>
      </w:r>
    </w:p>
    <w:p>
      <w:pPr>
        <w:pStyle w:val="ListBullet"/>
      </w:pPr>
      <w:r>
        <w:t>Customers praised the new onboarding portal for reducing setup time.</w:t>
      </w:r>
    </w:p>
    <w:p>
      <w:pPr>
        <w:pStyle w:val="ListBullet"/>
      </w:pPr>
      <w:r>
        <w:t>Several enterprise clients requested better reporting customization.</w:t>
      </w:r>
    </w:p>
    <w:p>
      <w:pPr>
        <w:pStyle w:val="ListBullet"/>
      </w:pPr>
      <w:r>
        <w:t>Support ticket response times improved from 14 hours to 5 hours on average.</w:t>
      </w:r>
    </w:p>
    <w:p>
      <w:pPr>
        <w:pStyle w:val="ListBullet"/>
      </w:pPr>
      <w:r>
        <w:t>Mobile application stability issues were reported by users in Asia-Pacific.</w:t>
      </w:r>
    </w:p>
    <w:p>
      <w:pPr>
        <w:pStyle w:val="Heading2"/>
      </w:pPr>
      <w:r>
        <w:t>Operational Challenges</w:t>
      </w:r>
    </w:p>
    <w:p>
      <w:pPr>
        <w:pStyle w:val="ListBullet"/>
      </w:pPr>
      <w:r>
        <w:t>Two client deployments were delayed due to infrastructure procurement issues.</w:t>
      </w:r>
    </w:p>
    <w:p>
      <w:pPr>
        <w:pStyle w:val="ListBullet"/>
      </w:pPr>
      <w:r>
        <w:t>Hiring delays affected the cybersecurity operations team.</w:t>
      </w:r>
    </w:p>
    <w:p>
      <w:pPr>
        <w:pStyle w:val="ListBullet"/>
      </w:pPr>
      <w:r>
        <w:t>Cloud hosting costs increased by approximately 11% during the quarter.</w:t>
      </w:r>
    </w:p>
    <w:p>
      <w:pPr>
        <w:pStyle w:val="ListBullet"/>
      </w:pPr>
      <w:r>
        <w:t>Internal project coordination improved after adopting weekly sprint reviews.</w:t>
      </w:r>
    </w:p>
    <w:p>
      <w:pPr>
        <w:pStyle w:val="Heading2"/>
      </w:pPr>
      <w:r>
        <w:t>Strategic Initiatives</w:t>
      </w:r>
    </w:p>
    <w:p>
      <w:r>
        <w:t>The company launched a pilot AI analytics assistant for enterprise customers. Initial adoption has been positive, particularly among finance and logistics clients.</w:t>
      </w:r>
    </w:p>
    <w:p>
      <w:r>
        <w:t>Leadership also approved expansion plans into the Southeast Asian education sector with a focus on AI-powered workflow automation tools.</w:t>
      </w:r>
    </w:p>
    <w:p>
      <w:pPr>
        <w:pStyle w:val="Heading2"/>
      </w:pPr>
      <w:r>
        <w:t>Conclusion</w:t>
      </w:r>
    </w:p>
    <w:p>
      <w:r>
        <w:t>Q2 2026 demonstrated strong growth opportunities despite operational constraints. The company is expected to prioritize infrastructure scaling, product reliability, and enterprise AI integration initiatives in Q3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