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915a231bfc8d4098" /></Relationships>
</file>

<file path=word/document.xml><?xml version="1.0" encoding="utf-8"?>
<w:document xmlns:r="http://schemas.openxmlformats.org/officeDocument/2006/relationships" xmlns:w="http://schemas.openxmlformats.org/wordprocessingml/2006/main">
  <w:body>
    <w:p>
      <w:pPr>
        <w:spacing w:before="400" w:after="120"/>
        <w:jc w:val="center"/>
      </w:pPr>
      <w:r>
        <w:rPr>
          <w:rFonts w:ascii="Times New Roman" w:hAnsi="Times New Roman"/>
          <w:b/>
          <w:sz w:val="32"/>
        </w:rPr>
        <w:t>Target-Guided Diffusion Models for Unpaired Cross-Modality Medical Image Translation</w:t>
      </w:r>
    </w:p>
    <w:p>
      <w:pPr>
        <w:spacing w:after="80"/>
        <w:jc w:val="center"/>
      </w:pPr>
      <w:r>
        <w:rPr>
          <w:rFonts w:ascii="Times New Roman" w:hAnsi="Times New Roman"/>
          <w:sz w:val="20"/>
        </w:rPr>
        <w:t>Yimin Luo, Qinyu Yang, Ziyi Liu, Zenglin Shi, Weimin Huang, Guoyan Zheng, and Jun Cheng</w:t>
      </w:r>
    </w:p>
    <w:p>
      <w:pPr>
        <w:spacing w:before="200" w:after="80"/>
      </w:pPr>
      <w:r>
        <w:rPr>
          <w:rFonts w:ascii="Times New Roman" w:hAnsi="Times New Roman"/>
          <w:b/>
          <w:sz w:val="20"/>
        </w:rPr>
        <w:t>Abstract</w:t>
      </w:r>
    </w:p>
    <w:p>
      <w:pPr>
        <w:spacing w:after="120" w:line="276" w:lineRule="auto"/>
        <w:jc w:val="both"/>
      </w:pPr>
      <w:r>
        <w:rPr>
          <w:rFonts w:ascii="Times New Roman" w:hAnsi="Times New Roman"/>
          <w:sz w:val="20"/>
        </w:rPr>
        <w:t>In a clinical setting, the acquisition of certain medical image modality is often unavailable due to various considerations such as cost, radiation, etc. Therefore, unpaired cross-modality translation techniques, which involve training on the unpaired data and synthesizing the target modality with the guidance of the acquired source modality, are of great interest. Previous methods for synthesizing target medical images are to establish one-shot mapping through generative adversarial networks (GANs). As promising alternatives to GANs, diffusion models have recently received wide interests in generative tasks. In this paper, we propose a target-guided diffusion model (TGDM) for unpaired cross-modality medical image translation. For training, to encourage our diffusion model to learn more visual concepts, we adopted a perception prioritized weight scheme (P2W) to the training objectives. For sampling, a pre-trained classifier is adopted in the reverse process to relieve modality-specific remnants from source data. Experiments on both brain MRI-CT and prostate MRI-US datasets demonstrate that the proposed method achieves a visually realistic result that mimics a vivid anatomical section of the target organ. In addition, we have also conducted a subjective assessment based on the synthesized samples to further validate the clinical value of TGDM.</w:t>
      </w:r>
    </w:p>
    <w:p>
      <w:pPr>
        <w:spacing w:before="80" w:after="200"/>
      </w:pPr>
      <w:r>
        <w:rPr>
          <w:rFonts w:ascii="Times New Roman" w:hAnsi="Times New Roman"/>
          <w:b/>
          <w:i/>
          <w:sz w:val="20"/>
        </w:rPr>
        <w:t>Index Terms</w:t>
      </w:r>
      <w:r>
        <w:rPr>
          <w:rFonts w:ascii="Times New Roman" w:hAnsi="Times New Roman"/>
          <w:i/>
          <w:sz w:val="20"/>
        </w:rPr>
        <w:t>—Unpaired learning, cross-modality translation, medical image synthesis, diffusion model, guidance sampling.</w:t>
      </w:r>
    </w:p>
    <w:p>
      <w:pPr>
        <w:spacing w:before="360" w:after="160"/>
        <w:jc w:val="left"/>
      </w:pPr>
      <w:r>
        <w:rPr>
          <w:rFonts w:ascii="Times New Roman" w:hAnsi="Times New Roman"/>
          <w:b/>
          <w:sz w:val="24"/>
        </w:rPr>
        <w:t>I. INTRODUCTION</w:t>
      </w:r>
    </w:p>
    <w:p>
      <w:pPr>
        <w:spacing w:after="120" w:line="276" w:lineRule="auto"/>
        <w:jc w:val="both"/>
      </w:pPr>
      <w:r>
        <w:rPr>
          <w:rFonts w:ascii="Times New Roman" w:hAnsi="Times New Roman"/>
          <w:sz w:val="22"/>
        </w:rPr>
        <w:t>MEDICAL imaging has become an increasingly essential tool in modern healthcare, such as positron emission tomography (PET), magnetic resonance imaging (MRI), X-rays, computed tomography (CT), and ultrasound (US). Each modality uniquely quantifies distinct characteristics of the underlying anatomy [1]. Different imaging techniques have their own advantages and disadvantages, which often complement each other to provide clinicians with a more comprehensive understanding of patient conditions. However, the acquisition of certain modality is often restricted due to multiple considerations, such as cost and radiation [2]. Accordingly, there is a growing interest in cross-modality synthesis to obtain a missing modality from a given source modality [3], [4]. Thanks to the recent advancements of deep learning methods, we are getting closer to a promising path toward cross-modality medical image translation [5], [6].</w:t>
      </w:r>
    </w:p>
    <w:p>
      <w:pPr>
        <w:spacing w:after="120" w:line="276" w:lineRule="auto"/>
        <w:jc w:val="both"/>
      </w:pPr>
      <w:r>
        <w:rPr>
          <w:rFonts w:ascii="Times New Roman" w:hAnsi="Times New Roman"/>
          <w:sz w:val="22"/>
        </w:rPr>
        <w:t>Current medical image translation methods are generally divided into two main types: paired image-to-image translation and unpaired image-to-image translation [7]. Paired approaches obtain a mapping that translates one image to another based on paired training data. However, it is often challenging and costly to obtain paired data clinically. Therefore, unpaired methods become more attractive. For example, we often need to register ultrasound images to preoperative prostate MRI in image-guided surgery. However, it is difficult to obtain paired MRI-US datasets to train a robust registration model. To address this issue, unpaired image translation techniques could be developed to obtain large-scale paired MRI-US data. Generative adversarial networks (GANs) have been extensively developed and applied to numerous medical translation tasks, including across MR scanner synthesis [2], multi-contrast MR synthesis [8], [9], [10], and cross-modality synthesis [11], [12]. Despite the remarkable ability to synthesize realistic medical samples, GAN-based methods indirectly characterize the distribution of the target modality through a generator-discriminator interplay without considering the content fidelity [13]. This implicit characterization is often susceptible to learning biases, such as premature convergence and mode collapse. Moreover, GAN models usually rely on a rapid one-shot sampling process without intermediate iterations, which inherently restricts the reliability of the mapping. Consequently, these limitations often have a detrimental impact on the quality and diversity of the synthesized images [14].</w:t>
      </w:r>
    </w:p>
    <w:p>
      <w:pPr>
        <w:spacing w:after="120" w:line="276" w:lineRule="auto"/>
        <w:jc w:val="both"/>
      </w:pPr>
      <w:r>
        <w:rPr>
          <w:rFonts w:ascii="Times New Roman" w:hAnsi="Times New Roman"/>
          <w:sz w:val="22"/>
        </w:rPr>
        <w:t>As an emerging family of deep generative models, diffusion models, especially the denoising diffusion probabilistic model (DDPM) [15], which consists of two Markov chains. One disturbs the data into a forward chain of noise and the other converts the noise back to the reverse chain of the data. Then, variational inference is used to gradually generate samples consistent with the original data distribution. Due to their stability in training and gradual generation mechanism, diffusion models have great advantages over previous GANs. Sasaki et al. [16] pioneered the method of Unit-DDPM in unpaired image translation tasks. Unit-DDPM comprises two parallel diffusion processes for the source and target modalities, where noisy samples from each modality are given as conditional input to reverse diffusion steps for the other modality. Recently, Su et al. [17] proposed dual diffusion implicit bridges (DDIB), which has become a scalable and rigorous addition to the family of unpaired image translation. Despite its effectiveness in achieving translation between RGB images, DDIB often retains some modality-specific information from the original domain when applied to medical image translation. Fig. 1 shows two representative results together with their paired ground truth in different tasks. The first example is from brain MRI-CT translation and the second is from prostate MRI-US translation. As we can see in the first example, the black patterns (lateral ventricle) in the red rectangle appear in the translated results. However, such patterns seldom appear in real CT data as CT cannot capture some tissues due to the strong attenuation of bones. Moreover, a similar observation of white plaque can be found in the second example. To overcome this limitation, we propose a target guidance method to adopt a guidance representing global discrimination to the sampling process. In addition, to encourage the diffusion model to learn rich visual concepts, we also introduce a weighting scheme to pay more attention to visual content learning at high noise levels during training.</w:t>
      </w:r>
    </w:p>
    <w:p>
      <w:pPr>
        <w:spacing w:after="120" w:line="276" w:lineRule="auto"/>
        <w:jc w:val="both"/>
      </w:pPr>
      <w:r>
        <w:rPr>
          <w:rFonts w:ascii="Times New Roman" w:hAnsi="Times New Roman"/>
          <w:sz w:val="22"/>
        </w:rPr>
        <w:t>The main contributions of this work are summarized in the following aspects:</w:t>
      </w:r>
    </w:p>
    <w:p>
      <w:pPr>
        <w:spacing w:after="80" w:line="276" w:lineRule="auto"/>
        <w:ind w:left="720" w:hanging="360"/>
      </w:pPr>
      <w:r>
        <w:rPr>
          <w:rFonts w:ascii="Times New Roman" w:hAnsi="Times New Roman"/>
          <w:sz w:val="22"/>
        </w:rPr>
        <w:t>• We propose a target-guided diffusion model (TGDM) for unpaired medical image cross-modality translation. For training, to encourage the diffusion model to learn more visual concepts, we adopt a perception prioritized weighting scheme (P2W) to the training objectives of diffusion. For sampling, we further introduce a target-guided method in its reverse process to reduce modality-specific remnants of source data.</w:t>
      </w:r>
    </w:p>
    <w:p>
      <w:pPr>
        <w:spacing w:after="80" w:line="276" w:lineRule="auto"/>
        <w:ind w:left="720" w:hanging="360"/>
      </w:pPr>
      <w:r>
        <w:rPr>
          <w:rFonts w:ascii="Times New Roman" w:hAnsi="Times New Roman"/>
          <w:sz w:val="22"/>
        </w:rPr>
        <w:t>• Experimental results on brain MRI-CT and prostate MRI-US translations demonstrated that the proposed method is able to achieve cross-modality translation effectively. Furthermore, a detailed analysis on guidance strength and subjective assessments is provided to validate the clinical value of the proposed method.</w:t>
      </w:r>
    </w:p>
    <w:p>
      <w:pPr>
        <w:spacing w:before="360" w:after="160"/>
        <w:jc w:val="left"/>
      </w:pPr>
      <w:r>
        <w:rPr>
          <w:rFonts w:ascii="Times New Roman" w:hAnsi="Times New Roman"/>
          <w:b/>
          <w:sz w:val="24"/>
        </w:rPr>
        <w:t>II. RELATED WORK</w:t>
      </w:r>
    </w:p>
    <w:p>
      <w:pPr>
        <w:spacing w:before="240" w:after="120"/>
        <w:jc w:val="left"/>
      </w:pPr>
      <w:r>
        <w:rPr>
          <w:rFonts w:ascii="Times New Roman" w:hAnsi="Times New Roman"/>
          <w:b/>
          <w:i/>
          <w:sz w:val="22"/>
        </w:rPr>
        <w:t>A. Diffusion Models</w:t>
      </w:r>
    </w:p>
    <w:p>
      <w:pPr>
        <w:spacing w:after="120" w:line="276" w:lineRule="auto"/>
        <w:jc w:val="both"/>
      </w:pPr>
      <w:r>
        <w:rPr>
          <w:rFonts w:ascii="Times New Roman" w:hAnsi="Times New Roman"/>
          <w:sz w:val="22"/>
        </w:rPr>
        <w:t>Diffusion models [15] learn a Markov chain, gradually converting a Gaussian noise distribution into the data distribution on which the models are trained. The training procedure usually involves two phases: a forward process and a reverse process. Firstly, the forward process starts from the data distribution and sequentially corrupts the data with Markov diffusion kernels defined by a fixed variance schedule. The process can be expressed by equations (1) and (2), where the sample gradually loses its distinguishable features as the step increases. Meanwhile, we sample at any arbitrary time step t with a closed form solution using the reparameterization trick. Subsequently, the reverse (generative) process is defined as another Markov chain parameterized by denoising an arbitrary Gaussian noise to a clean data sample, as shown in equations (3) and (4).</w:t>
      </w:r>
    </w:p>
    <w:p>
      <w:pPr>
        <w:spacing w:after="120" w:line="276" w:lineRule="auto"/>
        <w:jc w:val="both"/>
      </w:pPr>
      <w:r>
        <w:rPr>
          <w:rFonts w:ascii="Times New Roman" w:hAnsi="Times New Roman"/>
          <w:sz w:val="22"/>
        </w:rPr>
        <w:t>Training is performed to maximize the model log likelihood by minimizing the variational upper bound of the negative one. By doing this, given a random Gaussian noise sample, we synthesize a sample through this model. The classic objective is derived as same as in [15], shown in equation (5).</w:t>
      </w:r>
    </w:p>
    <w:p>
      <w:pPr>
        <w:spacing w:after="120" w:line="276" w:lineRule="auto"/>
        <w:jc w:val="both"/>
      </w:pPr>
      <w:r>
        <w:rPr>
          <w:rFonts w:ascii="Times New Roman" w:hAnsi="Times New Roman"/>
          <w:sz w:val="22"/>
        </w:rPr>
        <w:t>Thanks to the exceptional quality and rich diversity of the generated samples, diffusion models have garnered remarkable success for a variety of image-related applications in computer vision fields, such as image generation [14], [15], [18]-[31], image restoration [32]-[35], image translation [17], [36], [37], and more. Capitalizing on the recent advances in computer vision, we observe a growing interest in diffusion models for medical imaging, especially the medical image synthesis. Due to the bottlenecks in medical image annotation, including the complexity of high-quality data collection, insufficient experts, and patient privacy concerns, obtaining large scale of annotated medical image datasets is very challenging. This makes generative models increasingly useful. Muller-Franzes et al. [38] presented a conditional latent DDPM for image synthesis in the medical domain, and excessive experiments showed that this method is a superior alternative to GANs for generative tasks involving optical coherence tomography (OCT), histology colorectal image, and chest x-ray image. Similar diffusion model-based generative works for MRI and PET can be found in [39] and [40] respectively. Moreover, to remove noise in retinal OCT, Hu et al. [41] presented a diffusion probabilistic model that is fully unsupervised to learn from noise instead of signal. The experimental results demonstrate that this model can significantly improve the image quality of retinal OCT with a small training cost.</w:t>
      </w:r>
    </w:p>
    <w:p>
      <w:pPr>
        <w:spacing w:before="240" w:after="120"/>
        <w:jc w:val="left"/>
      </w:pPr>
      <w:r>
        <w:rPr>
          <w:rFonts w:ascii="Times New Roman" w:hAnsi="Times New Roman"/>
          <w:b/>
          <w:i/>
          <w:sz w:val="22"/>
        </w:rPr>
        <w:t>B. Cross-Modality Translation</w:t>
      </w:r>
    </w:p>
    <w:p>
      <w:pPr>
        <w:spacing w:after="120" w:line="276" w:lineRule="auto"/>
        <w:jc w:val="both"/>
      </w:pPr>
      <w:r>
        <w:rPr>
          <w:rFonts w:ascii="Times New Roman" w:hAnsi="Times New Roman"/>
          <w:sz w:val="22"/>
        </w:rPr>
        <w:t>Cross-modality translation is an effective solution that involves synthesis of a missing target modality with the guidance of an existing source modality. It is useful in many clinical applications, such as CT or MRI based radiotherapy planning, sample synthesis, and fast MRI imaging [42]. Recent advancements in deep learning have brought researchers closer to a promising path to capture the conditional distributions from the training data. Zhu et al. [43] designed a forward and backward cycle model for unsupervised image-to-image translation and proposed a cycle consistent adversarial network (CycleGAN). CycleGAN has gained a lot of attention, and inspired many new variants and extensions for medical applications, particularly in MR-to-CT synthesis [11], [44], [45], [46], [47]. Choi et al. [48], [49] proposed a more advanced translation network named StarGAN which translates the image with richer textures than CycleGAN. StarGAN has also been introduced for medical image translations on brain MRI translations [50]. Abu-Srhan et al. [51] further improved StarGAN via a new combination of non-adversarial losses for bidirectional brain MR-to-CT synthesis. Yi et al. [52] proposed DualGAN for image translation from two sets of unlabeled images from two domains. Zhang et al. [7] proposed NAGAN to achieve noise adaptation on both OCT and ultrasound. These GAN-based methods effectively transfer the intensity distributions and reduce the domain gaps.</w:t>
      </w:r>
    </w:p>
    <w:p>
      <w:pPr>
        <w:spacing w:after="120" w:line="276" w:lineRule="auto"/>
        <w:jc w:val="both"/>
      </w:pPr>
      <w:r>
        <w:rPr>
          <w:rFonts w:ascii="Times New Roman" w:hAnsi="Times New Roman"/>
          <w:sz w:val="22"/>
        </w:rPr>
        <w:t>As promising alternatives to GANs, diffusion models have received interest for image translation tasks. Saharia et al. [37] developed a unified framework for image-to-image translation based on conditional diffusion models, which greatly inspired further innovations [53]. Besides conditional diffusion models, Li et al. [54] proposed a Brownian bridge diffusion model (BBDM), which models image-to-image translation as a stochastic Brownian bridge process, and learns the translation between two domains directly through the bidirectional diffusion process. To improve diversity in medical imaging protocols, Ozbey et al. [55] introduced a novel adversarial diffusion model, namely SynDiff, for medical image translation. SynDiff embodies a considerable enhancement with its innovative adversarial diffusion design. However, its translation performance is constrained due to the reliance on an independent CycleGAN model trained from paired data synthesis. Currently, diffusion models for cross domain translation from unpaired data remain under-explored in medical imaging fields, which is the focus of this paper.</w:t>
      </w:r>
    </w:p>
    <w:p>
      <w:pPr>
        <w:spacing w:before="360" w:after="160"/>
        <w:jc w:val="left"/>
      </w:pPr>
      <w:r>
        <w:rPr>
          <w:rFonts w:ascii="Times New Roman" w:hAnsi="Times New Roman"/>
          <w:b/>
          <w:sz w:val="24"/>
        </w:rPr>
        <w:t>III. METHODS</w:t>
      </w:r>
    </w:p>
    <w:p>
      <w:pPr>
        <w:spacing w:after="120" w:line="276" w:lineRule="auto"/>
        <w:jc w:val="both"/>
      </w:pPr>
      <w:r>
        <w:rPr>
          <w:rFonts w:ascii="Times New Roman" w:hAnsi="Times New Roman"/>
          <w:sz w:val="22"/>
        </w:rPr>
        <w:t>In this paper, our target is to design a novel diffusion model for unpaired image translation between two different medical modalities. The source domain typically provides the content of the images, while the target domain provides the domain-specific style of the images.</w:t>
      </w:r>
    </w:p>
    <w:p>
      <w:pPr>
        <w:spacing w:before="240" w:after="120"/>
        <w:jc w:val="left"/>
      </w:pPr>
      <w:r>
        <w:rPr>
          <w:rFonts w:ascii="Times New Roman" w:hAnsi="Times New Roman"/>
          <w:b/>
          <w:i/>
          <w:sz w:val="22"/>
        </w:rPr>
        <w:t>A. Overview</w:t>
      </w:r>
    </w:p>
    <w:p>
      <w:pPr>
        <w:spacing w:after="120" w:line="276" w:lineRule="auto"/>
        <w:jc w:val="both"/>
      </w:pPr>
      <w:r>
        <w:rPr>
          <w:rFonts w:ascii="Times New Roman" w:hAnsi="Times New Roman"/>
          <w:sz w:val="22"/>
        </w:rPr>
        <w:t>Recently, a diffusion model based unpaired image translation method, namely DDIB, is innovatively proposed [17] for image-to-image translation in natural images. Although DDIB is promising for natural images, its use for medical images faces some challenges due to large gaps between different modalities in medical imaging. As illustrated in the introduction, the depiction of human tissue exhibits significant changes from one medical imaging modality to another. DDIB shows limited effectiveness across different medical imaging modalities. Its translation results often retain modality-specific information from the original domain, which leads to unrealistic results. To address this limitation, we improve the training objective of diffusion with perception prioritized weighting (P2W) and design a two-stage sampling process in which strong guidance of target modality is introduced to provide gradients. The overall pipeline is illustrated in Fig. 2.</w:t>
      </w:r>
    </w:p>
    <w:p>
      <w:pPr>
        <w:spacing w:before="240" w:after="120"/>
        <w:jc w:val="left"/>
      </w:pPr>
      <w:r>
        <w:rPr>
          <w:rFonts w:ascii="Times New Roman" w:hAnsi="Times New Roman"/>
          <w:b/>
          <w:i/>
          <w:sz w:val="22"/>
        </w:rPr>
        <w:t>B. Training Objective</w:t>
      </w:r>
    </w:p>
    <w:p>
      <w:pPr>
        <w:spacing w:after="120" w:line="276" w:lineRule="auto"/>
        <w:jc w:val="both"/>
      </w:pPr>
      <w:r>
        <w:rPr>
          <w:rFonts w:ascii="Times New Roman" w:hAnsi="Times New Roman"/>
          <w:sz w:val="22"/>
        </w:rPr>
        <w:t>As shown in Fig. 2, we need to train diffusion models on the unpaired datasets. Su et al. [17] innovatively adopted the diffusion model to unpaired image translation through a special dual sampling process. Although it has lead to good progress, the classic training objective does not include a better content learning, which is important in image translation tasks. For each step, denoising score matching loss is a distance between two Gaussian distributions, which can be rewritten in terms of noise predictor. At a low noise level, the image sample is only slightly corrupted and recovering it does not require prior knowledge of image contexts.</w:t>
      </w:r>
    </w:p>
    <w:p>
      <w:pPr>
        <w:spacing w:after="120" w:line="276" w:lineRule="auto"/>
        <w:jc w:val="both"/>
      </w:pPr>
      <w:r>
        <w:rPr>
          <w:rFonts w:ascii="Times New Roman" w:hAnsi="Times New Roman"/>
          <w:sz w:val="22"/>
        </w:rPr>
        <w:t>However, when sample is seriously corrupted, its contents are unrecognizable, and we need to prioritize solving the pretext task of these important noise levels.</w:t>
      </w:r>
    </w:p>
    <w:p>
      <w:pPr>
        <w:spacing w:after="120" w:line="276" w:lineRule="auto"/>
        <w:jc w:val="both"/>
      </w:pPr>
      <w:r>
        <w:rPr>
          <w:rFonts w:ascii="Times New Roman" w:hAnsi="Times New Roman"/>
          <w:sz w:val="22"/>
        </w:rPr>
        <w:t>Since the data distribution between two medical imaging modalities is often different and we observe that the joint training of two modalities can be performed stably. Here, we design to embed the modality category information in the joint training process to fit a conditional distribution of samples in specific modality. The entire training process is unpaired. Moreover, Choi et al. [56] found that restoring data corrupted with certain noise levels offers a proper pretext task for the diffusion model to learn richer visual concepts, and they proposed to assign higher weights to the loss at levels where the model learns perceptually rich contents while minimal weights to where the model learns imperceptible details. Since using this training strategy can significantly improves the performance of diffusion models in generative tasks, to further promote translation content-consistency, the diffusion model should pay more attention to visual content learning at high noise level during training. Motivated by this, we improve and redesign the weighting scheme of the objective function as shown in equation (6), where P2W is introduced to prioritize learning from more important noise levels.</w:t>
      </w:r>
    </w:p>
    <w:p>
      <w:pPr>
        <w:spacing w:after="120" w:line="276" w:lineRule="auto"/>
        <w:jc w:val="both"/>
      </w:pPr>
      <w:r>
        <w:rPr>
          <w:rFonts w:ascii="Times New Roman" w:hAnsi="Times New Roman"/>
          <w:sz w:val="22"/>
        </w:rPr>
        <w:t>On the other hand, to achieve our target guidance sampling, we pre-train a diffusion model with category embedding as well as a two-class (source and target data) classifier with time information embedding, where the target modality label is represented. In this paper, we use a classifier architecture which is simply the down-sampling trunk of the U-Net model with an attention pool, as presented in Fig. 3, and the loss function is shown in equation (8), where cross-entropy loss function is applied.</w:t>
      </w:r>
    </w:p>
    <w:p>
      <w:pPr>
        <w:spacing w:before="240" w:after="120"/>
        <w:jc w:val="left"/>
      </w:pPr>
      <w:r>
        <w:rPr>
          <w:rFonts w:ascii="Times New Roman" w:hAnsi="Times New Roman"/>
          <w:b/>
          <w:i/>
          <w:sz w:val="22"/>
        </w:rPr>
        <w:t>C. Target Guidance Sampling</w:t>
      </w:r>
    </w:p>
    <w:p>
      <w:pPr>
        <w:spacing w:after="120" w:line="276" w:lineRule="auto"/>
        <w:jc w:val="both"/>
      </w:pPr>
      <w:r>
        <w:rPr>
          <w:rFonts w:ascii="Times New Roman" w:hAnsi="Times New Roman"/>
          <w:sz w:val="22"/>
        </w:rPr>
        <w:t>After obtaining a diffusion model and a classifier trained on the original sample sets, we come to a two-stage sampling process. The overall sampling algorithm is in Algorithm 1. Since DDIB often retains modality-specific information in cross-modality translation tasks, strong modality information should be used in the sampling process for better translation results. Recently, Zhao et al. [58] found that embedding an energy function of cross-domain correlation to the sampling process of the diffusion models can obtain a conditional distribution between the two domains. Dhariwal and Nichol [14] found that the classifier guidance enables the diffusion model to generate a more class-consistent image from a random Gaussian noise. Motivated by these works, we propose a target-guided sampling process in this paper. Our sampling has two main steps: inverse sampling and target guidance sampling. We firstly obtain latent code from source data through an inverse sampling. Then, we synthesize its counterparts in target domain through a reverse sampling process.</w:t>
      </w:r>
    </w:p>
    <w:p>
      <w:pPr>
        <w:spacing w:after="120" w:line="276" w:lineRule="auto"/>
        <w:jc w:val="both"/>
      </w:pPr>
      <w:r>
        <w:rPr>
          <w:rFonts w:ascii="Times New Roman" w:hAnsi="Times New Roman"/>
          <w:sz w:val="22"/>
        </w:rPr>
        <w:t>Hereby, we exploit the reverse process of a DDIM sampling and source-target classifier guidance sampling to further synthesize the target samples. According to [59], we infer a stochastic latent code by running the deterministic generative process of DDIMs in reverse as shown in equation (9).</w:t>
      </w:r>
    </w:p>
    <w:p>
      <w:pPr>
        <w:spacing w:after="120" w:line="276" w:lineRule="auto"/>
        <w:jc w:val="both"/>
      </w:pPr>
      <w:r>
        <w:rPr>
          <w:rFonts w:ascii="Times New Roman" w:hAnsi="Times New Roman"/>
          <w:sz w:val="22"/>
        </w:rPr>
        <w:t>Finally, we translate the target samples based on the pre-trained diffusion model by iteratively using the modality probability gradients from our pre-trained classifier. Our target-guided diffusion model performs this classifier guidance sampling by iteratively replacing in each sampling step with the formula shown in equation (10), where the coefficient is called the guidance scale. Hereby, it represents how close the translated results to the target modality. In our tasks, we find that an appropriate guidance scale is beneficial to achieve high-quality medical image translation. A large scale may contribute to the loss in diversity.</w:t>
      </w:r>
    </w:p>
    <w:p>
      <w:pPr>
        <w:spacing w:after="120" w:line="276" w:lineRule="auto"/>
        <w:jc w:val="both"/>
      </w:pPr>
      <w:r>
        <w:rPr>
          <w:rFonts w:ascii="Times New Roman" w:hAnsi="Times New Roman"/>
          <w:sz w:val="22"/>
        </w:rPr>
        <w:t>Compared to DDIB, the establishment is changed with target guidance. Adding condition to each item, and since the noise has extremely small impact on the classification, we exploit the gradients to guide our diffusion model towards the target modality. By doing this, our sampling process incorporates the global modality information for better translation results.</w:t>
      </w:r>
    </w:p>
    <w:p>
      <w:pPr>
        <w:spacing w:before="120" w:after="60"/>
      </w:pPr>
      <w:r>
        <w:rPr>
          <w:rFonts w:ascii="Times New Roman" w:hAnsi="Times New Roman"/>
          <w:b/>
          <w:sz w:val="20"/>
        </w:rPr>
        <w:t>Algorithm 1: </w:t>
      </w:r>
      <w:r>
        <w:rPr>
          <w:rFonts w:ascii="Times New Roman" w:hAnsi="Times New Roman"/>
          <w:sz w:val="20"/>
        </w:rPr>
        <w:t>Target-Guided Diffusion Model Sampling</w:t>
      </w:r>
    </w:p>
    <w:p>
      <w:pPr>
        <w:spacing w:after="120" w:line="276" w:lineRule="auto"/>
        <w:jc w:val="both"/>
      </w:pPr>
      <w:r>
        <w:rPr>
          <w:rFonts w:ascii="Times New Roman" w:hAnsi="Times New Roman"/>
          <w:sz w:val="22"/>
        </w:rPr>
        <w:t>Input: Source data, implicit diffusion model, modality classifier, label, gradient scale, inverse sampling steps, sampling steps.</w:t>
      </w:r>
    </w:p>
    <w:p>
      <w:pPr>
        <w:spacing w:after="120" w:line="276" w:lineRule="auto"/>
        <w:jc w:val="both"/>
      </w:pPr>
      <w:r>
        <w:rPr>
          <w:rFonts w:ascii="Times New Roman" w:hAnsi="Times New Roman"/>
          <w:sz w:val="22"/>
        </w:rPr>
        <w:t>Stage 1: Obtain latent code from source data.</w:t>
      </w:r>
    </w:p>
    <w:p>
      <w:pPr>
        <w:spacing w:after="120" w:line="276" w:lineRule="auto"/>
        <w:jc w:val="both"/>
      </w:pPr>
      <w:r>
        <w:rPr>
          <w:rFonts w:ascii="Times New Roman" w:hAnsi="Times New Roman"/>
          <w:sz w:val="22"/>
        </w:rPr>
        <w:t>Stage 2: Obtain target data from latent code.</w:t>
      </w:r>
    </w:p>
    <w:p>
      <w:pPr>
        <w:spacing w:after="120" w:line="276" w:lineRule="auto"/>
        <w:jc w:val="both"/>
      </w:pPr>
      <w:r>
        <w:rPr>
          <w:rFonts w:ascii="Times New Roman" w:hAnsi="Times New Roman"/>
          <w:sz w:val="22"/>
        </w:rPr>
        <w:t>Return: The translated result.</w:t>
      </w:r>
    </w:p>
    <w:p>
      <w:pPr>
        <w:spacing w:before="240" w:after="120"/>
        <w:jc w:val="left"/>
      </w:pPr>
      <w:r>
        <w:rPr>
          <w:rFonts w:ascii="Times New Roman" w:hAnsi="Times New Roman"/>
          <w:b/>
          <w:i/>
          <w:sz w:val="22"/>
        </w:rPr>
        <w:t>D. Evaluations</w:t>
      </w:r>
    </w:p>
    <w:p>
      <w:pPr>
        <w:spacing w:after="120" w:line="276" w:lineRule="auto"/>
        <w:jc w:val="both"/>
      </w:pPr>
      <w:r>
        <w:rPr>
          <w:rFonts w:ascii="Times New Roman" w:hAnsi="Times New Roman"/>
          <w:sz w:val="22"/>
        </w:rPr>
        <w:t>Assessing the performance of cross-modality medical image translation techniques poses a significant challenge as acquiring paired samples can be arduous clinically. When paired reference images from the target modality are available for validation, the standard evaluation metrics used are the peak signal-to-noise ratio (PSNR), and structural similarity (SSIM). In addition, we also use Frechet Inception Distance (FID) [60], which is used to quantify the discrepancy between the probability distributions of synthetic and real volumes. When paired reference images are unfortunately unavailable, as shown in [61], [62], only FID [60] is used. As FID tends to penalize non-GAN models, we also adopt subjective evaluation to further validate the clinical acceptance of the translated results. In this work, seven clinicians from the ultrasonography department have been invited to anonymously evaluate and compare the translated US results using a voting assessment approach.</w:t>
      </w:r>
    </w:p>
    <w:p>
      <w:pPr>
        <w:spacing w:before="360" w:after="160"/>
        <w:jc w:val="left"/>
      </w:pPr>
      <w:r>
        <w:rPr>
          <w:rFonts w:ascii="Times New Roman" w:hAnsi="Times New Roman"/>
          <w:b/>
          <w:sz w:val="24"/>
        </w:rPr>
        <w:t>IV. EXPERIMENT</w:t>
      </w:r>
    </w:p>
    <w:p>
      <w:pPr>
        <w:spacing w:after="120" w:line="276" w:lineRule="auto"/>
        <w:jc w:val="both"/>
      </w:pPr>
      <w:r>
        <w:rPr>
          <w:rFonts w:ascii="Times New Roman" w:hAnsi="Times New Roman"/>
          <w:sz w:val="22"/>
        </w:rPr>
        <w:t>In this section, we exploit the proposed method to two unpaired cross-modality medical image translation tasks. We show the details of our experimental results.</w:t>
      </w:r>
    </w:p>
    <w:p>
      <w:pPr>
        <w:spacing w:before="240" w:after="120"/>
        <w:jc w:val="left"/>
      </w:pPr>
      <w:r>
        <w:rPr>
          <w:rFonts w:ascii="Times New Roman" w:hAnsi="Times New Roman"/>
          <w:b/>
          <w:i/>
          <w:sz w:val="22"/>
        </w:rPr>
        <w:t>A. Dataset and Implementation</w:t>
      </w:r>
    </w:p>
    <w:p>
      <w:pPr>
        <w:spacing w:after="120" w:line="276" w:lineRule="auto"/>
        <w:jc w:val="both"/>
      </w:pPr>
      <w:r>
        <w:rPr>
          <w:rFonts w:ascii="Times New Roman" w:hAnsi="Times New Roman"/>
          <w:sz w:val="22"/>
        </w:rPr>
        <w:t>MRI-CT brain is a new dataset consisting of 3D MRI-CT brain scans from 50 different patients, which is slightly higher than those in [63] and [64]. Our dataset comprises images acquired in the head region for clinical purposes such as dementia, epilepsy, and brain tumor grading. The MRI images in our dataset have a voxel spacing of 0.8x0.8x0.8 mm3, while the CT images have a voxel spacing of 0.9x0.9x2.5 mm3. To align the two modalities, we perform registration and sample the aligned images with a voxel spacing of 1.0x1.0x1.5 mm3. The gray values of the CT images are uniformly distributed in the Hounsfield unit range of [-1024, 2252.7]. To ensure consistency, we resample all the training data to an isotropic resolution and normalize each MR image to have zero mean and unit variance. For the CT images, we normalize them to the range of [0, 1], expecting that the synthetic values generated as output would also fall within the same range. The final synthetic CT image is obtained by multiplying the normalized output with the Hounsfield unit range observed in our training data. As we have ground truth (paired CT samples) for validation, we use PSNR, SSIM, and FID for translation performance evaluation. Experimentally, we analyzed brain MRI and CT images from 50 patient subjects and each subject has MRI-CT image pairs from three imaging directions (X, Y, and Z). We use 4725 samples from 35 subjects for training and 1800 samples from 15 subjects for validation.</w:t>
      </w:r>
    </w:p>
    <w:p>
      <w:pPr>
        <w:spacing w:after="120" w:line="276" w:lineRule="auto"/>
        <w:jc w:val="both"/>
      </w:pPr>
      <w:r>
        <w:rPr>
          <w:rFonts w:ascii="Times New Roman" w:hAnsi="Times New Roman"/>
          <w:sz w:val="22"/>
        </w:rPr>
        <w:t>Prostate-MRI-US-Biopsy is a new data set which is extracted from [65]. In the data set, only the T2 weighted MRI is available and the 3D ultrasound is reconstructed from series of 2D ultrasound images. The original 2D ultrasound images are not included in the dataset. This dataset was derived from tracked biopsy sessions using the Artemis biopsy system and comprises 1,600 MRI images and 1,600 reconstructed ultrasound images selected and cropped from 160 subjects with the coronal section of the prostate in the centre of the patch, and their patch sizes are both 320x320 pixels. Most of these samples can clearly display the left and right lobes of the prostate. Moreover, we also select another 5 subjects where the ultrasound data is most close to the MRI for the performance evaluation of different methodologies. Since we don't have strictly paired ultrasound with golden ground truth for validation, we only use FID for translation performance evaluation. In addition, we have also invited clinicians to anonymously evaluate and compare the translated ultrasound results using a voting assessment approach.</w:t>
      </w:r>
    </w:p>
    <w:p>
      <w:pPr>
        <w:spacing w:after="120" w:line="276" w:lineRule="auto"/>
        <w:jc w:val="both"/>
      </w:pPr>
      <w:r>
        <w:rPr>
          <w:rFonts w:ascii="Times New Roman" w:hAnsi="Times New Roman"/>
          <w:sz w:val="22"/>
        </w:rPr>
        <w:t>Experimentally, we implement the proposed TGDM using PyTorch 1.8.0. We conduct the diffusion training on a system with an NVIDIA QUADRO GV100 (32 GB PCIE) GPU and the classifier training on an NVIDIA RTX 3090 (24 GB PCIE) GPU.</w:t>
      </w:r>
    </w:p>
    <w:p>
      <w:pPr>
        <w:spacing w:before="240" w:after="120"/>
        <w:jc w:val="left"/>
      </w:pPr>
      <w:r>
        <w:rPr>
          <w:rFonts w:ascii="Times New Roman" w:hAnsi="Times New Roman"/>
          <w:b/>
          <w:i/>
          <w:sz w:val="22"/>
        </w:rPr>
        <w:t>B. MRI-CT Translation</w:t>
      </w:r>
    </w:p>
    <w:p>
      <w:pPr>
        <w:spacing w:after="120" w:line="276" w:lineRule="auto"/>
        <w:jc w:val="both"/>
      </w:pPr>
      <w:r>
        <w:rPr>
          <w:rFonts w:ascii="Times New Roman" w:hAnsi="Times New Roman"/>
          <w:sz w:val="22"/>
        </w:rPr>
        <w:t>For the brain MRI-CT dataset, we compare the proposed diffusion model-based method to four well-known unpaired image translation methods including CycleGAN [43], Unit-DDPM [16], StarGAN [49], and DDIB [17]. Fig. 4 illustrates the visual comparisons of our method and other methods on this dataset, and the translation CT results are displayed from three directions (X, Y, and Z). It can be witnessed that DDIB results preserved black patterns in the brain center region from its source MRI input and our method with target guidance (guidance scale s = 5) can obviously improve this drawback. Note that, the edge of DDIB results is much brighter than ground truth and other methods, which seriously impacts the authenticity of the translation results. However, we observe notably poor and unstable performance for all examined methods. The MRI to CT results show superior performances for CycleGAN in some cases, where CycleGAN is able to completely hide the anatomical structures in the resulting CT scan. On the other hand, CycleGAN shows worse performance in other cases, where there are obvious residuals of the anatomy. The same situation can be witnessed in Unit-DDPM results. Unit-DDPM comprises two parallel diffusion processes for the source and target modalities, where noisy samples from each modality are given as conditional input to reverse diffusion steps for the other modality. In this work, the difference between the two modalities is too significant, the soft tissue information on MRI samples which is scarcely present in its CT counterparts should be fully removed. It is an extremely challenging task to current diffusion models, and it is also worth further research.</w:t>
      </w:r>
    </w:p>
    <w:p>
      <w:pPr>
        <w:spacing w:before="200" w:after="60"/>
        <w:jc w:val="center"/>
      </w:pPr>
      <w:r>
        <w:rPr>
          <w:rFonts w:ascii="Times New Roman" w:hAnsi="Times New Roman"/>
          <w:b/>
          <w:sz w:val="18"/>
        </w:rPr>
        <w:t>TABLE I</w:t>
      </w:r>
    </w:p>
    <w:p>
      <w:pPr>
        <w:spacing w:after="120"/>
        <w:jc w:val="center"/>
      </w:pPr>
      <w:r>
        <w:rPr>
          <w:rFonts w:ascii="Times New Roman" w:hAnsi="Times New Roman"/>
          <w:sz w:val="18"/>
        </w:rPr>
        <w:t>TRANSLATION RESULTS ON THE MRI-CT DATASET</w:t>
      </w:r>
    </w:p>
    <w:tbl>
      <w:tblPr>
        <w:tblW w:w="5000" w:type="pct"/>
        <w:tblBorders>
          <w:top w:val="single" w:color="000000" w:sz="12"/>
          <w:left w:val="nil"/>
          <w:bottom w:val="single" w:color="000000" w:sz="12"/>
          <w:right w:val="nil"/>
          <w:insideH w:val="single" w:color="808080" w:sz="4"/>
          <w:insideV w:val="nil"/>
        </w:tblBorders>
      </w:tblPr>
      <w:tblGrid>
        <w:gridCol w:w="2250"/>
        <w:gridCol w:w="2250"/>
        <w:gridCol w:w="2250"/>
        <w:gridCol w:w="2250"/>
      </w:tblGrid>
      <w:tr>
        <w:trPr>
          <w:tblHeader/>
        </w:trPr>
        <w:tc>
          <w:tcPr>
            <w:tcW w:w="2250" w:type="dxa"/>
            <w:shd w:val="clear" w:fill="E8E8E8"/>
          </w:tcPr>
          <w:p>
            <w:pPr>
              <w:spacing w:before="40" w:after="40"/>
              <w:jc w:val="center"/>
            </w:pPr>
            <w:r>
              <w:rPr>
                <w:rFonts w:ascii="Times New Roman" w:hAnsi="Times New Roman"/>
                <w:b/>
                <w:sz w:val="18"/>
              </w:rPr>
              <w:t>Methods</w:t>
            </w:r>
          </w:p>
        </w:tc>
        <w:tc>
          <w:tcPr>
            <w:tcW w:w="2250" w:type="dxa"/>
            <w:shd w:val="clear" w:fill="E8E8E8"/>
          </w:tcPr>
          <w:p>
            <w:pPr>
              <w:spacing w:before="40" w:after="40"/>
              <w:jc w:val="center"/>
            </w:pPr>
            <w:r>
              <w:rPr>
                <w:rFonts w:ascii="Times New Roman" w:hAnsi="Times New Roman"/>
                <w:b/>
                <w:sz w:val="18"/>
              </w:rPr>
              <w:t>PSNR</w:t>
            </w:r>
          </w:p>
        </w:tc>
        <w:tc>
          <w:tcPr>
            <w:tcW w:w="2250" w:type="dxa"/>
            <w:shd w:val="clear" w:fill="E8E8E8"/>
          </w:tcPr>
          <w:p>
            <w:pPr>
              <w:spacing w:before="40" w:after="40"/>
              <w:jc w:val="center"/>
            </w:pPr>
            <w:r>
              <w:rPr>
                <w:rFonts w:ascii="Times New Roman" w:hAnsi="Times New Roman"/>
                <w:b/>
                <w:sz w:val="18"/>
              </w:rPr>
              <w:t>SSIM</w:t>
            </w:r>
          </w:p>
        </w:tc>
        <w:tc>
          <w:tcPr>
            <w:tcW w:w="2250" w:type="dxa"/>
            <w:shd w:val="clear" w:fill="E8E8E8"/>
          </w:tcPr>
          <w:p>
            <w:pPr>
              <w:spacing w:before="40" w:after="40"/>
              <w:jc w:val="center"/>
            </w:pPr>
            <w:r>
              <w:rPr>
                <w:rFonts w:ascii="Times New Roman" w:hAnsi="Times New Roman"/>
                <w:b/>
                <w:sz w:val="18"/>
              </w:rPr>
              <w:t>FID</w:t>
            </w:r>
          </w:p>
        </w:tc>
      </w:tr>
      <w:tr>
        <w:tc>
          <w:tcPr>
            <w:tcW w:w="2250" w:type="dxa"/>
          </w:tcPr>
          <w:p>
            <w:pPr>
              <w:spacing w:before="40" w:after="40"/>
              <w:jc w:val="center"/>
            </w:pPr>
            <w:r>
              <w:rPr>
                <w:rFonts w:ascii="Times New Roman" w:hAnsi="Times New Roman"/>
                <w:sz w:val="18"/>
              </w:rPr>
              <w:t>CycleGAN [43]</w:t>
            </w:r>
          </w:p>
        </w:tc>
        <w:tc>
          <w:tcPr>
            <w:tcW w:w="2250" w:type="dxa"/>
          </w:tcPr>
          <w:p>
            <w:pPr>
              <w:spacing w:before="40" w:after="40"/>
              <w:jc w:val="center"/>
            </w:pPr>
            <w:r>
              <w:rPr>
                <w:rFonts w:ascii="Times New Roman" w:hAnsi="Times New Roman"/>
                <w:sz w:val="18"/>
              </w:rPr>
              <w:t>18.08</w:t>
            </w:r>
          </w:p>
        </w:tc>
        <w:tc>
          <w:tcPr>
            <w:tcW w:w="2250" w:type="dxa"/>
          </w:tcPr>
          <w:p>
            <w:pPr>
              <w:spacing w:before="40" w:after="40"/>
              <w:jc w:val="center"/>
            </w:pPr>
            <w:r>
              <w:rPr>
                <w:rFonts w:ascii="Times New Roman" w:hAnsi="Times New Roman"/>
                <w:sz w:val="18"/>
              </w:rPr>
              <w:t>0.695</w:t>
            </w:r>
          </w:p>
        </w:tc>
        <w:tc>
          <w:tcPr>
            <w:tcW w:w="2250" w:type="dxa"/>
          </w:tcPr>
          <w:p>
            <w:pPr>
              <w:spacing w:before="40" w:after="40"/>
              <w:jc w:val="center"/>
            </w:pPr>
            <w:r>
              <w:rPr>
                <w:rFonts w:ascii="Times New Roman" w:hAnsi="Times New Roman"/>
                <w:sz w:val="18"/>
              </w:rPr>
              <w:t>95.46</w:t>
            </w:r>
          </w:p>
        </w:tc>
      </w:tr>
      <w:tr>
        <w:tc>
          <w:tcPr>
            <w:tcW w:w="2250" w:type="dxa"/>
          </w:tcPr>
          <w:p>
            <w:pPr>
              <w:spacing w:before="40" w:after="40"/>
              <w:jc w:val="center"/>
            </w:pPr>
            <w:r>
              <w:rPr>
                <w:rFonts w:ascii="Times New Roman" w:hAnsi="Times New Roman"/>
                <w:sz w:val="18"/>
              </w:rPr>
              <w:t>Unit-DDPM [16]</w:t>
            </w:r>
          </w:p>
        </w:tc>
        <w:tc>
          <w:tcPr>
            <w:tcW w:w="2250" w:type="dxa"/>
          </w:tcPr>
          <w:p>
            <w:pPr>
              <w:spacing w:before="40" w:after="40"/>
              <w:jc w:val="center"/>
            </w:pPr>
            <w:r>
              <w:rPr>
                <w:rFonts w:ascii="Times New Roman" w:hAnsi="Times New Roman"/>
                <w:sz w:val="18"/>
              </w:rPr>
              <w:t>15.86</w:t>
            </w:r>
          </w:p>
        </w:tc>
        <w:tc>
          <w:tcPr>
            <w:tcW w:w="2250" w:type="dxa"/>
          </w:tcPr>
          <w:p>
            <w:pPr>
              <w:spacing w:before="40" w:after="40"/>
              <w:jc w:val="center"/>
            </w:pPr>
            <w:r>
              <w:rPr>
                <w:rFonts w:ascii="Times New Roman" w:hAnsi="Times New Roman"/>
                <w:sz w:val="18"/>
              </w:rPr>
              <w:t>0.548</w:t>
            </w:r>
          </w:p>
        </w:tc>
        <w:tc>
          <w:tcPr>
            <w:tcW w:w="2250" w:type="dxa"/>
          </w:tcPr>
          <w:p>
            <w:pPr>
              <w:spacing w:before="40" w:after="40"/>
              <w:jc w:val="center"/>
            </w:pPr>
            <w:r>
              <w:rPr>
                <w:rFonts w:ascii="Times New Roman" w:hAnsi="Times New Roman"/>
                <w:sz w:val="18"/>
              </w:rPr>
              <w:t>145.72</w:t>
            </w:r>
          </w:p>
        </w:tc>
      </w:tr>
      <w:tr>
        <w:tc>
          <w:tcPr>
            <w:tcW w:w="2250" w:type="dxa"/>
          </w:tcPr>
          <w:p>
            <w:pPr>
              <w:spacing w:before="40" w:after="40"/>
              <w:jc w:val="center"/>
            </w:pPr>
            <w:r>
              <w:rPr>
                <w:rFonts w:ascii="Times New Roman" w:hAnsi="Times New Roman"/>
                <w:sz w:val="18"/>
              </w:rPr>
              <w:t>StarGAN [49]</w:t>
            </w:r>
          </w:p>
        </w:tc>
        <w:tc>
          <w:tcPr>
            <w:tcW w:w="2250" w:type="dxa"/>
          </w:tcPr>
          <w:p>
            <w:pPr>
              <w:spacing w:before="40" w:after="40"/>
              <w:jc w:val="center"/>
            </w:pPr>
            <w:r>
              <w:rPr>
                <w:rFonts w:ascii="Times New Roman" w:hAnsi="Times New Roman"/>
                <w:sz w:val="18"/>
              </w:rPr>
              <w:t>16.41</w:t>
            </w:r>
          </w:p>
        </w:tc>
        <w:tc>
          <w:tcPr>
            <w:tcW w:w="2250" w:type="dxa"/>
          </w:tcPr>
          <w:p>
            <w:pPr>
              <w:spacing w:before="40" w:after="40"/>
              <w:jc w:val="center"/>
            </w:pPr>
            <w:r>
              <w:rPr>
                <w:rFonts w:ascii="Times New Roman" w:hAnsi="Times New Roman"/>
                <w:sz w:val="18"/>
              </w:rPr>
              <w:t>0.559</w:t>
            </w:r>
          </w:p>
        </w:tc>
        <w:tc>
          <w:tcPr>
            <w:tcW w:w="2250" w:type="dxa"/>
          </w:tcPr>
          <w:p>
            <w:pPr>
              <w:spacing w:before="40" w:after="40"/>
              <w:jc w:val="center"/>
            </w:pPr>
            <w:r>
              <w:rPr>
                <w:rFonts w:ascii="Times New Roman" w:hAnsi="Times New Roman"/>
                <w:sz w:val="18"/>
              </w:rPr>
              <w:t>152.01</w:t>
            </w:r>
          </w:p>
        </w:tc>
      </w:tr>
      <w:tr>
        <w:tc>
          <w:tcPr>
            <w:tcW w:w="2250" w:type="dxa"/>
          </w:tcPr>
          <w:p>
            <w:pPr>
              <w:spacing w:before="40" w:after="40"/>
              <w:jc w:val="center"/>
            </w:pPr>
            <w:r>
              <w:rPr>
                <w:rFonts w:ascii="Times New Roman" w:hAnsi="Times New Roman"/>
                <w:sz w:val="18"/>
              </w:rPr>
              <w:t>DDIB [17]</w:t>
            </w:r>
          </w:p>
        </w:tc>
        <w:tc>
          <w:tcPr>
            <w:tcW w:w="2250" w:type="dxa"/>
          </w:tcPr>
          <w:p>
            <w:pPr>
              <w:spacing w:before="40" w:after="40"/>
              <w:jc w:val="center"/>
            </w:pPr>
            <w:r>
              <w:rPr>
                <w:rFonts w:ascii="Times New Roman" w:hAnsi="Times New Roman"/>
                <w:sz w:val="18"/>
              </w:rPr>
              <w:t>15.55</w:t>
            </w:r>
          </w:p>
        </w:tc>
        <w:tc>
          <w:tcPr>
            <w:tcW w:w="2250" w:type="dxa"/>
          </w:tcPr>
          <w:p>
            <w:pPr>
              <w:spacing w:before="40" w:after="40"/>
              <w:jc w:val="center"/>
            </w:pPr>
            <w:r>
              <w:rPr>
                <w:rFonts w:ascii="Times New Roman" w:hAnsi="Times New Roman"/>
                <w:sz w:val="18"/>
              </w:rPr>
              <w:t>0.524</w:t>
            </w:r>
          </w:p>
        </w:tc>
        <w:tc>
          <w:tcPr>
            <w:tcW w:w="2250" w:type="dxa"/>
          </w:tcPr>
          <w:p>
            <w:pPr>
              <w:spacing w:before="40" w:after="40"/>
              <w:jc w:val="center"/>
            </w:pPr>
            <w:r>
              <w:rPr>
                <w:rFonts w:ascii="Times New Roman" w:hAnsi="Times New Roman"/>
                <w:sz w:val="18"/>
              </w:rPr>
              <w:t>122.45</w:t>
            </w:r>
          </w:p>
        </w:tc>
      </w:tr>
      <w:tr>
        <w:tc>
          <w:tcPr>
            <w:tcW w:w="2250" w:type="dxa"/>
          </w:tcPr>
          <w:p>
            <w:pPr>
              <w:spacing w:before="40" w:after="40"/>
              <w:jc w:val="center"/>
            </w:pPr>
            <w:r>
              <w:rPr>
                <w:rFonts w:ascii="Times New Roman" w:hAnsi="Times New Roman"/>
                <w:sz w:val="18"/>
              </w:rPr>
              <w:t>Ours (s=5)</w:t>
            </w:r>
          </w:p>
        </w:tc>
        <w:tc>
          <w:tcPr>
            <w:tcW w:w="2250" w:type="dxa"/>
          </w:tcPr>
          <w:p>
            <w:pPr>
              <w:spacing w:before="40" w:after="40"/>
              <w:jc w:val="center"/>
            </w:pPr>
            <w:r>
              <w:rPr>
                <w:rFonts w:ascii="Times New Roman" w:hAnsi="Times New Roman"/>
                <w:sz w:val="18"/>
              </w:rPr>
              <w:t>18.62</w:t>
            </w:r>
          </w:p>
        </w:tc>
        <w:tc>
          <w:tcPr>
            <w:tcW w:w="2250" w:type="dxa"/>
          </w:tcPr>
          <w:p>
            <w:pPr>
              <w:spacing w:before="40" w:after="40"/>
              <w:jc w:val="center"/>
            </w:pPr>
            <w:r>
              <w:rPr>
                <w:rFonts w:ascii="Times New Roman" w:hAnsi="Times New Roman"/>
                <w:sz w:val="18"/>
              </w:rPr>
              <w:t>0.612</w:t>
            </w:r>
          </w:p>
        </w:tc>
        <w:tc>
          <w:tcPr>
            <w:tcW w:w="2250" w:type="dxa"/>
          </w:tcPr>
          <w:p>
            <w:pPr>
              <w:spacing w:before="40" w:after="40"/>
              <w:jc w:val="center"/>
            </w:pPr>
            <w:r>
              <w:rPr>
                <w:rFonts w:ascii="Times New Roman" w:hAnsi="Times New Roman"/>
                <w:sz w:val="18"/>
              </w:rPr>
              <w:t>71.03</w:t>
            </w:r>
          </w:p>
        </w:tc>
      </w:tr>
    </w:tbl>
    <w:p>
      <w:pPr>
        <w:spacing w:after="120" w:line="276" w:lineRule="auto"/>
        <w:jc w:val="both"/>
      </w:pPr>
      <w:r>
        <w:rPr>
          <w:rFonts w:ascii="Times New Roman" w:hAnsi="Times New Roman"/>
          <w:sz w:val="22"/>
        </w:rPr>
        <w:t>To sum up, according to our initial comparisons to previous DDIB, our diffusion model can preserve better style of the target CT modality and anatomical information and achieves relatively better visual results and stability. As we have ground truth for validation, moreover, we use PSNR, SSIM, and FID for performance evaluation. Table I compares average results of the mentioned methodologies. It can be witnessed that our TGDM shows better translation performance than previous DDIB by achieving higher PSNR and SSIM as well as lower FID. Although this method is not particularly advantageous over CycleGAN, it is still overall better than it. All differences are found to be statistically different using a paired t-test.</w:t>
      </w:r>
    </w:p>
    <w:p>
      <w:pPr>
        <w:spacing w:before="200" w:after="60"/>
        <w:jc w:val="center"/>
      </w:pPr>
      <w:r>
        <w:rPr>
          <w:rFonts w:ascii="Times New Roman" w:hAnsi="Times New Roman"/>
          <w:b/>
          <w:sz w:val="18"/>
        </w:rPr>
        <w:t>TABLE II</w:t>
      </w:r>
    </w:p>
    <w:p>
      <w:pPr>
        <w:spacing w:after="120"/>
        <w:jc w:val="center"/>
      </w:pPr>
      <w:r>
        <w:rPr>
          <w:rFonts w:ascii="Times New Roman" w:hAnsi="Times New Roman"/>
          <w:sz w:val="18"/>
        </w:rPr>
        <w:t>ABLATION STUDY AND ANALYSIS ON P2W AND TARGET GUIDANCE ON THE MRI-CT DATASET</w:t>
      </w:r>
    </w:p>
    <w:tbl>
      <w:tblPr>
        <w:tblW w:w="5000" w:type="pct"/>
        <w:tblBorders>
          <w:top w:val="single" w:color="000000" w:sz="12"/>
          <w:left w:val="nil"/>
          <w:bottom w:val="single" w:color="000000" w:sz="12"/>
          <w:right w:val="nil"/>
          <w:insideH w:val="single" w:color="808080" w:sz="4"/>
          <w:insideV w:val="nil"/>
        </w:tblBorders>
      </w:tblPr>
      <w:tblGrid>
        <w:gridCol w:w="1500"/>
        <w:gridCol w:w="1500"/>
        <w:gridCol w:w="1500"/>
        <w:gridCol w:w="1500"/>
        <w:gridCol w:w="1500"/>
        <w:gridCol w:w="1500"/>
      </w:tblGrid>
      <w:tr>
        <w:trPr>
          <w:tblHeader/>
        </w:trPr>
        <w:tc>
          <w:tcPr>
            <w:tcW w:w="1500" w:type="dxa"/>
            <w:shd w:val="clear" w:fill="E8E8E8"/>
          </w:tcPr>
          <w:p>
            <w:pPr>
              <w:spacing w:before="40" w:after="40"/>
              <w:jc w:val="center"/>
            </w:pPr>
            <w:r>
              <w:rPr>
                <w:rFonts w:ascii="Times New Roman" w:hAnsi="Times New Roman"/>
                <w:b/>
                <w:sz w:val="18"/>
              </w:rPr>
              <w:t>Config</w:t>
            </w:r>
          </w:p>
        </w:tc>
        <w:tc>
          <w:tcPr>
            <w:tcW w:w="1500" w:type="dxa"/>
            <w:shd w:val="clear" w:fill="E8E8E8"/>
          </w:tcPr>
          <w:p>
            <w:pPr>
              <w:spacing w:before="40" w:after="40"/>
              <w:jc w:val="center"/>
            </w:pPr>
            <w:r>
              <w:rPr>
                <w:rFonts w:ascii="Times New Roman" w:hAnsi="Times New Roman"/>
                <w:b/>
                <w:sz w:val="18"/>
              </w:rPr>
              <w:t>Guidance</w:t>
            </w:r>
          </w:p>
        </w:tc>
        <w:tc>
          <w:tcPr>
            <w:tcW w:w="1500" w:type="dxa"/>
            <w:shd w:val="clear" w:fill="E8E8E8"/>
          </w:tcPr>
          <w:p>
            <w:pPr>
              <w:spacing w:before="40" w:after="40"/>
              <w:jc w:val="center"/>
            </w:pPr>
            <w:r>
              <w:rPr>
                <w:rFonts w:ascii="Times New Roman" w:hAnsi="Times New Roman"/>
                <w:b/>
                <w:sz w:val="18"/>
              </w:rPr>
              <w:t>P2W</w:t>
            </w:r>
          </w:p>
        </w:tc>
        <w:tc>
          <w:tcPr>
            <w:tcW w:w="1500" w:type="dxa"/>
            <w:shd w:val="clear" w:fill="E8E8E8"/>
          </w:tcPr>
          <w:p>
            <w:pPr>
              <w:spacing w:before="40" w:after="40"/>
              <w:jc w:val="center"/>
            </w:pPr>
            <w:r>
              <w:rPr>
                <w:rFonts w:ascii="Times New Roman" w:hAnsi="Times New Roman"/>
                <w:b/>
                <w:sz w:val="18"/>
              </w:rPr>
              <w:t>PSNR</w:t>
            </w:r>
          </w:p>
        </w:tc>
        <w:tc>
          <w:tcPr>
            <w:tcW w:w="1500" w:type="dxa"/>
            <w:shd w:val="clear" w:fill="E8E8E8"/>
          </w:tcPr>
          <w:p>
            <w:pPr>
              <w:spacing w:before="40" w:after="40"/>
              <w:jc w:val="center"/>
            </w:pPr>
            <w:r>
              <w:rPr>
                <w:rFonts w:ascii="Times New Roman" w:hAnsi="Times New Roman"/>
                <w:b/>
                <w:sz w:val="18"/>
              </w:rPr>
              <w:t>SSIM</w:t>
            </w:r>
          </w:p>
        </w:tc>
        <w:tc>
          <w:tcPr>
            <w:tcW w:w="1500" w:type="dxa"/>
            <w:shd w:val="clear" w:fill="E8E8E8"/>
          </w:tcPr>
          <w:p>
            <w:pPr>
              <w:spacing w:before="40" w:after="40"/>
              <w:jc w:val="center"/>
            </w:pPr>
            <w:r>
              <w:rPr>
                <w:rFonts w:ascii="Times New Roman" w:hAnsi="Times New Roman"/>
                <w:b/>
                <w:sz w:val="18"/>
              </w:rPr>
              <w:t>FID</w:t>
            </w:r>
          </w:p>
        </w:tc>
      </w:tr>
      <w:tr>
        <w:tc>
          <w:tcPr>
            <w:tcW w:w="1500" w:type="dxa"/>
          </w:tcPr>
          <w:p>
            <w:pPr>
              <w:spacing w:before="40" w:after="40"/>
              <w:jc w:val="center"/>
            </w:pPr>
            <w:r>
              <w:rPr>
                <w:rFonts w:ascii="Times New Roman" w:hAnsi="Times New Roman"/>
                <w:sz w:val="18"/>
              </w:rPr>
              <w:t>S=0</w:t>
            </w:r>
          </w:p>
        </w:tc>
        <w:tc>
          <w:tcPr>
            <w:tcW w:w="1500" w:type="dxa"/>
          </w:tcPr>
          <w:p>
            <w:pPr>
              <w:spacing w:before="40" w:after="40"/>
              <w:jc w:val="center"/>
            </w:pPr>
            <w:r>
              <w:rPr>
                <w:rFonts w:ascii="Times New Roman" w:hAnsi="Times New Roman"/>
                <w:sz w:val="18"/>
              </w:rPr>
              <w:t>No</w:t>
            </w:r>
          </w:p>
        </w:tc>
        <w:tc>
          <w:tcPr>
            <w:tcW w:w="1500" w:type="dxa"/>
          </w:tcPr>
          <w:p>
            <w:pPr>
              <w:spacing w:before="40" w:after="40"/>
              <w:jc w:val="center"/>
            </w:pPr>
            <w:r>
              <w:rPr>
                <w:rFonts w:ascii="Times New Roman" w:hAnsi="Times New Roman"/>
                <w:sz w:val="18"/>
              </w:rPr>
              <w:t>No</w:t>
            </w:r>
          </w:p>
        </w:tc>
        <w:tc>
          <w:tcPr>
            <w:tcW w:w="1500" w:type="dxa"/>
          </w:tcPr>
          <w:p>
            <w:pPr>
              <w:spacing w:before="40" w:after="40"/>
              <w:jc w:val="center"/>
            </w:pPr>
            <w:r>
              <w:rPr>
                <w:rFonts w:ascii="Times New Roman" w:hAnsi="Times New Roman"/>
                <w:sz w:val="18"/>
              </w:rPr>
              <w:t>15.55</w:t>
            </w:r>
          </w:p>
        </w:tc>
        <w:tc>
          <w:tcPr>
            <w:tcW w:w="1500" w:type="dxa"/>
          </w:tcPr>
          <w:p>
            <w:pPr>
              <w:spacing w:before="40" w:after="40"/>
              <w:jc w:val="center"/>
            </w:pPr>
            <w:r>
              <w:rPr>
                <w:rFonts w:ascii="Times New Roman" w:hAnsi="Times New Roman"/>
                <w:sz w:val="18"/>
              </w:rPr>
              <w:t>0.524</w:t>
            </w:r>
          </w:p>
        </w:tc>
        <w:tc>
          <w:tcPr>
            <w:tcW w:w="1500" w:type="dxa"/>
          </w:tcPr>
          <w:p>
            <w:pPr>
              <w:spacing w:before="40" w:after="40"/>
              <w:jc w:val="center"/>
            </w:pPr>
            <w:r>
              <w:rPr>
                <w:rFonts w:ascii="Times New Roman" w:hAnsi="Times New Roman"/>
                <w:sz w:val="18"/>
              </w:rPr>
              <w:t>122.45</w:t>
            </w:r>
          </w:p>
        </w:tc>
      </w:tr>
      <w:tr>
        <w:tc>
          <w:tcPr>
            <w:tcW w:w="1500" w:type="dxa"/>
          </w:tcPr>
          <w:p>
            <w:pPr>
              <w:spacing w:before="40" w:after="40"/>
              <w:jc w:val="center"/>
            </w:pPr>
            <w:r>
              <w:rPr>
                <w:rFonts w:ascii="Times New Roman" w:hAnsi="Times New Roman"/>
                <w:sz w:val="18"/>
              </w:rPr>
              <w:t>S=0</w:t>
            </w:r>
          </w:p>
        </w:tc>
        <w:tc>
          <w:tcPr>
            <w:tcW w:w="1500" w:type="dxa"/>
          </w:tcPr>
          <w:p>
            <w:pPr>
              <w:spacing w:before="40" w:after="40"/>
              <w:jc w:val="center"/>
            </w:pPr>
            <w:r>
              <w:rPr>
                <w:rFonts w:ascii="Times New Roman" w:hAnsi="Times New Roman"/>
                <w:sz w:val="18"/>
              </w:rPr>
              <w:t>No</w:t>
            </w:r>
          </w:p>
        </w:tc>
        <w:tc>
          <w:tcPr>
            <w:tcW w:w="1500" w:type="dxa"/>
          </w:tcPr>
          <w:p>
            <w:pPr>
              <w:spacing w:before="40" w:after="40"/>
              <w:jc w:val="center"/>
            </w:pPr>
            <w:r>
              <w:rPr>
                <w:rFonts w:ascii="Times New Roman" w:hAnsi="Times New Roman"/>
                <w:sz w:val="18"/>
              </w:rPr>
              <w:t>Yes</w:t>
            </w:r>
          </w:p>
        </w:tc>
        <w:tc>
          <w:tcPr>
            <w:tcW w:w="1500" w:type="dxa"/>
          </w:tcPr>
          <w:p>
            <w:pPr>
              <w:spacing w:before="40" w:after="40"/>
              <w:jc w:val="center"/>
            </w:pPr>
            <w:r>
              <w:rPr>
                <w:rFonts w:ascii="Times New Roman" w:hAnsi="Times New Roman"/>
                <w:sz w:val="18"/>
              </w:rPr>
              <w:t>18.53</w:t>
            </w:r>
          </w:p>
        </w:tc>
        <w:tc>
          <w:tcPr>
            <w:tcW w:w="1500" w:type="dxa"/>
          </w:tcPr>
          <w:p>
            <w:pPr>
              <w:spacing w:before="40" w:after="40"/>
              <w:jc w:val="center"/>
            </w:pPr>
            <w:r>
              <w:rPr>
                <w:rFonts w:ascii="Times New Roman" w:hAnsi="Times New Roman"/>
                <w:sz w:val="18"/>
              </w:rPr>
              <w:t>0.633</w:t>
            </w:r>
          </w:p>
        </w:tc>
        <w:tc>
          <w:tcPr>
            <w:tcW w:w="1500" w:type="dxa"/>
          </w:tcPr>
          <w:p>
            <w:pPr>
              <w:spacing w:before="40" w:after="40"/>
              <w:jc w:val="center"/>
            </w:pPr>
            <w:r>
              <w:rPr>
                <w:rFonts w:ascii="Times New Roman" w:hAnsi="Times New Roman"/>
                <w:sz w:val="18"/>
              </w:rPr>
              <w:t>73.18</w:t>
            </w:r>
          </w:p>
        </w:tc>
      </w:tr>
      <w:tr>
        <w:tc>
          <w:tcPr>
            <w:tcW w:w="1500" w:type="dxa"/>
          </w:tcPr>
          <w:p>
            <w:pPr>
              <w:spacing w:before="40" w:after="40"/>
              <w:jc w:val="center"/>
            </w:pPr>
            <w:r>
              <w:rPr>
                <w:rFonts w:ascii="Times New Roman" w:hAnsi="Times New Roman"/>
                <w:sz w:val="18"/>
              </w:rPr>
              <w:t>S=0.5</w:t>
            </w:r>
          </w:p>
        </w:tc>
        <w:tc>
          <w:tcPr>
            <w:tcW w:w="1500" w:type="dxa"/>
          </w:tcPr>
          <w:p>
            <w:pPr>
              <w:spacing w:before="40" w:after="40"/>
              <w:jc w:val="center"/>
            </w:pPr>
            <w:r>
              <w:rPr>
                <w:rFonts w:ascii="Times New Roman" w:hAnsi="Times New Roman"/>
                <w:sz w:val="18"/>
              </w:rPr>
              <w:t>Yes</w:t>
            </w:r>
          </w:p>
        </w:tc>
        <w:tc>
          <w:tcPr>
            <w:tcW w:w="1500" w:type="dxa"/>
          </w:tcPr>
          <w:p>
            <w:pPr>
              <w:spacing w:before="40" w:after="40"/>
              <w:jc w:val="center"/>
            </w:pPr>
            <w:r>
              <w:rPr>
                <w:rFonts w:ascii="Times New Roman" w:hAnsi="Times New Roman"/>
                <w:sz w:val="18"/>
              </w:rPr>
              <w:t>Yes</w:t>
            </w:r>
          </w:p>
        </w:tc>
        <w:tc>
          <w:tcPr>
            <w:tcW w:w="1500" w:type="dxa"/>
          </w:tcPr>
          <w:p>
            <w:pPr>
              <w:spacing w:before="40" w:after="40"/>
              <w:jc w:val="center"/>
            </w:pPr>
            <w:r>
              <w:rPr>
                <w:rFonts w:ascii="Times New Roman" w:hAnsi="Times New Roman"/>
                <w:sz w:val="18"/>
              </w:rPr>
              <w:t>18.55</w:t>
            </w:r>
          </w:p>
        </w:tc>
        <w:tc>
          <w:tcPr>
            <w:tcW w:w="1500" w:type="dxa"/>
          </w:tcPr>
          <w:p>
            <w:pPr>
              <w:spacing w:before="40" w:after="40"/>
              <w:jc w:val="center"/>
            </w:pPr>
            <w:r>
              <w:rPr>
                <w:rFonts w:ascii="Times New Roman" w:hAnsi="Times New Roman"/>
                <w:sz w:val="18"/>
              </w:rPr>
              <w:t>0.637</w:t>
            </w:r>
          </w:p>
        </w:tc>
        <w:tc>
          <w:tcPr>
            <w:tcW w:w="1500" w:type="dxa"/>
          </w:tcPr>
          <w:p>
            <w:pPr>
              <w:spacing w:before="40" w:after="40"/>
              <w:jc w:val="center"/>
            </w:pPr>
            <w:r>
              <w:rPr>
                <w:rFonts w:ascii="Times New Roman" w:hAnsi="Times New Roman"/>
                <w:sz w:val="18"/>
              </w:rPr>
              <w:t>72.93</w:t>
            </w:r>
          </w:p>
        </w:tc>
      </w:tr>
      <w:tr>
        <w:tc>
          <w:tcPr>
            <w:tcW w:w="1500" w:type="dxa"/>
          </w:tcPr>
          <w:p>
            <w:pPr>
              <w:spacing w:before="40" w:after="40"/>
              <w:jc w:val="center"/>
            </w:pPr>
            <w:r>
              <w:rPr>
                <w:rFonts w:ascii="Times New Roman" w:hAnsi="Times New Roman"/>
                <w:sz w:val="18"/>
              </w:rPr>
              <w:t>S=1</w:t>
            </w:r>
          </w:p>
        </w:tc>
        <w:tc>
          <w:tcPr>
            <w:tcW w:w="1500" w:type="dxa"/>
          </w:tcPr>
          <w:p>
            <w:pPr>
              <w:spacing w:before="40" w:after="40"/>
              <w:jc w:val="center"/>
            </w:pPr>
            <w:r>
              <w:rPr>
                <w:rFonts w:ascii="Times New Roman" w:hAnsi="Times New Roman"/>
                <w:sz w:val="18"/>
              </w:rPr>
              <w:t>Yes</w:t>
            </w:r>
          </w:p>
        </w:tc>
        <w:tc>
          <w:tcPr>
            <w:tcW w:w="1500" w:type="dxa"/>
          </w:tcPr>
          <w:p>
            <w:pPr>
              <w:spacing w:before="40" w:after="40"/>
              <w:jc w:val="center"/>
            </w:pPr>
            <w:r>
              <w:rPr>
                <w:rFonts w:ascii="Times New Roman" w:hAnsi="Times New Roman"/>
                <w:sz w:val="18"/>
              </w:rPr>
              <w:t>Yes</w:t>
            </w:r>
          </w:p>
        </w:tc>
        <w:tc>
          <w:tcPr>
            <w:tcW w:w="1500" w:type="dxa"/>
          </w:tcPr>
          <w:p>
            <w:pPr>
              <w:spacing w:before="40" w:after="40"/>
              <w:jc w:val="center"/>
            </w:pPr>
            <w:r>
              <w:rPr>
                <w:rFonts w:ascii="Times New Roman" w:hAnsi="Times New Roman"/>
                <w:sz w:val="18"/>
              </w:rPr>
              <w:t>18.58</w:t>
            </w:r>
          </w:p>
        </w:tc>
        <w:tc>
          <w:tcPr>
            <w:tcW w:w="1500" w:type="dxa"/>
          </w:tcPr>
          <w:p>
            <w:pPr>
              <w:spacing w:before="40" w:after="40"/>
              <w:jc w:val="center"/>
            </w:pPr>
            <w:r>
              <w:rPr>
                <w:rFonts w:ascii="Times New Roman" w:hAnsi="Times New Roman"/>
                <w:sz w:val="18"/>
              </w:rPr>
              <w:t>0.640</w:t>
            </w:r>
          </w:p>
        </w:tc>
        <w:tc>
          <w:tcPr>
            <w:tcW w:w="1500" w:type="dxa"/>
          </w:tcPr>
          <w:p>
            <w:pPr>
              <w:spacing w:before="40" w:after="40"/>
              <w:jc w:val="center"/>
            </w:pPr>
            <w:r>
              <w:rPr>
                <w:rFonts w:ascii="Times New Roman" w:hAnsi="Times New Roman"/>
                <w:sz w:val="18"/>
              </w:rPr>
              <w:t>72.36</w:t>
            </w:r>
          </w:p>
        </w:tc>
      </w:tr>
      <w:tr>
        <w:tc>
          <w:tcPr>
            <w:tcW w:w="1500" w:type="dxa"/>
          </w:tcPr>
          <w:p>
            <w:pPr>
              <w:spacing w:before="40" w:after="40"/>
              <w:jc w:val="center"/>
            </w:pPr>
            <w:r>
              <w:rPr>
                <w:rFonts w:ascii="Times New Roman" w:hAnsi="Times New Roman"/>
                <w:sz w:val="18"/>
              </w:rPr>
              <w:t>S=3</w:t>
            </w:r>
          </w:p>
        </w:tc>
        <w:tc>
          <w:tcPr>
            <w:tcW w:w="1500" w:type="dxa"/>
          </w:tcPr>
          <w:p>
            <w:pPr>
              <w:spacing w:before="40" w:after="40"/>
              <w:jc w:val="center"/>
            </w:pPr>
            <w:r>
              <w:rPr>
                <w:rFonts w:ascii="Times New Roman" w:hAnsi="Times New Roman"/>
                <w:sz w:val="18"/>
              </w:rPr>
              <w:t>Yes</w:t>
            </w:r>
          </w:p>
        </w:tc>
        <w:tc>
          <w:tcPr>
            <w:tcW w:w="1500" w:type="dxa"/>
          </w:tcPr>
          <w:p>
            <w:pPr>
              <w:spacing w:before="40" w:after="40"/>
              <w:jc w:val="center"/>
            </w:pPr>
            <w:r>
              <w:rPr>
                <w:rFonts w:ascii="Times New Roman" w:hAnsi="Times New Roman"/>
                <w:sz w:val="18"/>
              </w:rPr>
              <w:t>Yes</w:t>
            </w:r>
          </w:p>
        </w:tc>
        <w:tc>
          <w:tcPr>
            <w:tcW w:w="1500" w:type="dxa"/>
          </w:tcPr>
          <w:p>
            <w:pPr>
              <w:spacing w:before="40" w:after="40"/>
              <w:jc w:val="center"/>
            </w:pPr>
            <w:r>
              <w:rPr>
                <w:rFonts w:ascii="Times New Roman" w:hAnsi="Times New Roman"/>
                <w:sz w:val="18"/>
              </w:rPr>
              <w:t>18.60</w:t>
            </w:r>
          </w:p>
        </w:tc>
        <w:tc>
          <w:tcPr>
            <w:tcW w:w="1500" w:type="dxa"/>
          </w:tcPr>
          <w:p>
            <w:pPr>
              <w:spacing w:before="40" w:after="40"/>
              <w:jc w:val="center"/>
            </w:pPr>
            <w:r>
              <w:rPr>
                <w:rFonts w:ascii="Times New Roman" w:hAnsi="Times New Roman"/>
                <w:sz w:val="18"/>
              </w:rPr>
              <w:t>0.626</w:t>
            </w:r>
          </w:p>
        </w:tc>
        <w:tc>
          <w:tcPr>
            <w:tcW w:w="1500" w:type="dxa"/>
          </w:tcPr>
          <w:p>
            <w:pPr>
              <w:spacing w:before="40" w:after="40"/>
              <w:jc w:val="center"/>
            </w:pPr>
            <w:r>
              <w:rPr>
                <w:rFonts w:ascii="Times New Roman" w:hAnsi="Times New Roman"/>
                <w:sz w:val="18"/>
              </w:rPr>
              <w:t>71.45</w:t>
            </w:r>
          </w:p>
        </w:tc>
      </w:tr>
      <w:tr>
        <w:tc>
          <w:tcPr>
            <w:tcW w:w="1500" w:type="dxa"/>
          </w:tcPr>
          <w:p>
            <w:pPr>
              <w:spacing w:before="40" w:after="40"/>
              <w:jc w:val="center"/>
            </w:pPr>
            <w:r>
              <w:rPr>
                <w:rFonts w:ascii="Times New Roman" w:hAnsi="Times New Roman"/>
                <w:sz w:val="18"/>
              </w:rPr>
              <w:t>S=5</w:t>
            </w:r>
          </w:p>
        </w:tc>
        <w:tc>
          <w:tcPr>
            <w:tcW w:w="1500" w:type="dxa"/>
          </w:tcPr>
          <w:p>
            <w:pPr>
              <w:spacing w:before="40" w:after="40"/>
              <w:jc w:val="center"/>
            </w:pPr>
            <w:r>
              <w:rPr>
                <w:rFonts w:ascii="Times New Roman" w:hAnsi="Times New Roman"/>
                <w:sz w:val="18"/>
              </w:rPr>
              <w:t>Yes</w:t>
            </w:r>
          </w:p>
        </w:tc>
        <w:tc>
          <w:tcPr>
            <w:tcW w:w="1500" w:type="dxa"/>
          </w:tcPr>
          <w:p>
            <w:pPr>
              <w:spacing w:before="40" w:after="40"/>
              <w:jc w:val="center"/>
            </w:pPr>
            <w:r>
              <w:rPr>
                <w:rFonts w:ascii="Times New Roman" w:hAnsi="Times New Roman"/>
                <w:sz w:val="18"/>
              </w:rPr>
              <w:t>Yes</w:t>
            </w:r>
          </w:p>
        </w:tc>
        <w:tc>
          <w:tcPr>
            <w:tcW w:w="1500" w:type="dxa"/>
          </w:tcPr>
          <w:p>
            <w:pPr>
              <w:spacing w:before="40" w:after="40"/>
              <w:jc w:val="center"/>
            </w:pPr>
            <w:r>
              <w:rPr>
                <w:rFonts w:ascii="Times New Roman" w:hAnsi="Times New Roman"/>
                <w:sz w:val="18"/>
              </w:rPr>
              <w:t>18.62</w:t>
            </w:r>
          </w:p>
        </w:tc>
        <w:tc>
          <w:tcPr>
            <w:tcW w:w="1500" w:type="dxa"/>
          </w:tcPr>
          <w:p>
            <w:pPr>
              <w:spacing w:before="40" w:after="40"/>
              <w:jc w:val="center"/>
            </w:pPr>
            <w:r>
              <w:rPr>
                <w:rFonts w:ascii="Times New Roman" w:hAnsi="Times New Roman"/>
                <w:sz w:val="18"/>
              </w:rPr>
              <w:t>0.612</w:t>
            </w:r>
          </w:p>
        </w:tc>
        <w:tc>
          <w:tcPr>
            <w:tcW w:w="1500" w:type="dxa"/>
          </w:tcPr>
          <w:p>
            <w:pPr>
              <w:spacing w:before="40" w:after="40"/>
              <w:jc w:val="center"/>
            </w:pPr>
            <w:r>
              <w:rPr>
                <w:rFonts w:ascii="Times New Roman" w:hAnsi="Times New Roman"/>
                <w:sz w:val="18"/>
              </w:rPr>
              <w:t>71.03</w:t>
            </w:r>
          </w:p>
        </w:tc>
      </w:tr>
      <w:tr>
        <w:tc>
          <w:tcPr>
            <w:tcW w:w="1500" w:type="dxa"/>
          </w:tcPr>
          <w:p>
            <w:pPr>
              <w:spacing w:before="40" w:after="40"/>
              <w:jc w:val="center"/>
            </w:pPr>
            <w:r>
              <w:rPr>
                <w:rFonts w:ascii="Times New Roman" w:hAnsi="Times New Roman"/>
                <w:sz w:val="18"/>
              </w:rPr>
              <w:t>S=10</w:t>
            </w:r>
          </w:p>
        </w:tc>
        <w:tc>
          <w:tcPr>
            <w:tcW w:w="1500" w:type="dxa"/>
          </w:tcPr>
          <w:p>
            <w:pPr>
              <w:spacing w:before="40" w:after="40"/>
              <w:jc w:val="center"/>
            </w:pPr>
            <w:r>
              <w:rPr>
                <w:rFonts w:ascii="Times New Roman" w:hAnsi="Times New Roman"/>
                <w:sz w:val="18"/>
              </w:rPr>
              <w:t>Yes</w:t>
            </w:r>
          </w:p>
        </w:tc>
        <w:tc>
          <w:tcPr>
            <w:tcW w:w="1500" w:type="dxa"/>
          </w:tcPr>
          <w:p>
            <w:pPr>
              <w:spacing w:before="40" w:after="40"/>
              <w:jc w:val="center"/>
            </w:pPr>
            <w:r>
              <w:rPr>
                <w:rFonts w:ascii="Times New Roman" w:hAnsi="Times New Roman"/>
                <w:sz w:val="18"/>
              </w:rPr>
              <w:t>Yes</w:t>
            </w:r>
          </w:p>
        </w:tc>
        <w:tc>
          <w:tcPr>
            <w:tcW w:w="1500" w:type="dxa"/>
          </w:tcPr>
          <w:p>
            <w:pPr>
              <w:spacing w:before="40" w:after="40"/>
              <w:jc w:val="center"/>
            </w:pPr>
            <w:r>
              <w:rPr>
                <w:rFonts w:ascii="Times New Roman" w:hAnsi="Times New Roman"/>
                <w:sz w:val="18"/>
              </w:rPr>
              <w:t>18.63</w:t>
            </w:r>
          </w:p>
        </w:tc>
        <w:tc>
          <w:tcPr>
            <w:tcW w:w="1500" w:type="dxa"/>
          </w:tcPr>
          <w:p>
            <w:pPr>
              <w:spacing w:before="40" w:after="40"/>
              <w:jc w:val="center"/>
            </w:pPr>
            <w:r>
              <w:rPr>
                <w:rFonts w:ascii="Times New Roman" w:hAnsi="Times New Roman"/>
                <w:sz w:val="18"/>
              </w:rPr>
              <w:t>0.595</w:t>
            </w:r>
          </w:p>
        </w:tc>
        <w:tc>
          <w:tcPr>
            <w:tcW w:w="1500" w:type="dxa"/>
          </w:tcPr>
          <w:p>
            <w:pPr>
              <w:spacing w:before="40" w:after="40"/>
              <w:jc w:val="center"/>
            </w:pPr>
            <w:r>
              <w:rPr>
                <w:rFonts w:ascii="Times New Roman" w:hAnsi="Times New Roman"/>
                <w:sz w:val="18"/>
              </w:rPr>
              <w:t>70.72</w:t>
            </w:r>
          </w:p>
        </w:tc>
      </w:tr>
    </w:tbl>
    <w:p>
      <w:pPr>
        <w:spacing w:after="120" w:line="276" w:lineRule="auto"/>
        <w:jc w:val="both"/>
      </w:pPr>
      <w:r>
        <w:rPr>
          <w:rFonts w:ascii="Times New Roman" w:hAnsi="Times New Roman"/>
          <w:sz w:val="22"/>
        </w:rPr>
        <w:t>Ablation Study and Analysis: We have also conducted a comprehensive ablation study to validate the effectiveness of the target guidance in the sampling process and P2W in the training process. The results of this study are presented in Table II. As displayed in equation (10), the coefficient s represents the guidance scale, and this parameter is significant to how closed the translated results to the target medical imaging modality. Accordingly, s = 0 represents the guidance scale in the sampling process is 0, which means no guidance. In this table, we firstly compare the performance of our method without guidance in the sampling process with the previous diffusion models that use classic objective in the training process. It can be witnessed that P2W promotes diffusion model training and achieves obviously better PSNR, SSIM, and FID results. Moreover, we make a further analysis on the selection of this parameter as well as its influences on the sampling process. Table II also compares the average evaluation results under different s. Along with the increase of the guidance scale s, the PSNR gradually increases, while the FID slightly decreases. For SSIM, note that, it initially increases and then decreases.</w:t>
      </w:r>
    </w:p>
    <w:p>
      <w:pPr>
        <w:spacing w:after="120" w:line="276" w:lineRule="auto"/>
        <w:jc w:val="both"/>
      </w:pPr>
      <w:r>
        <w:rPr>
          <w:rFonts w:ascii="Times New Roman" w:hAnsi="Times New Roman"/>
          <w:sz w:val="22"/>
        </w:rPr>
        <w:t>Overall, we determine that P2W has efficacy in training diffusion models for unpaired cross-modality medical image translation tasks. Nonetheless, there is only marginal differences in PSNR, SSIM and FID by using different scales in the sampling process. Accordingly, optimizing the training process of diffusion model is necessary and the domain probability gradients provided by a pre-trained classifier in the sampling process still have limited effect on removing modality-specific remnants of source data. Therefore, more specific and local guidance, such as contour and segmentation mask, is essential for improvement.</w:t>
      </w:r>
    </w:p>
    <w:p>
      <w:pPr>
        <w:spacing w:before="240" w:after="120"/>
        <w:jc w:val="left"/>
      </w:pPr>
      <w:r>
        <w:rPr>
          <w:rFonts w:ascii="Times New Roman" w:hAnsi="Times New Roman"/>
          <w:b/>
          <w:i/>
          <w:sz w:val="22"/>
        </w:rPr>
        <w:t>C. MRI-US Translation</w:t>
      </w:r>
    </w:p>
    <w:p>
      <w:pPr>
        <w:spacing w:after="120" w:line="276" w:lineRule="auto"/>
        <w:jc w:val="both"/>
      </w:pPr>
      <w:r>
        <w:rPr>
          <w:rFonts w:ascii="Times New Roman" w:hAnsi="Times New Roman"/>
          <w:sz w:val="22"/>
        </w:rPr>
        <w:t>Moreover, we also do a further validation on another MRI-US dataset. Fig. 5 illustrates the visual comparisons of our TGDM and other methods on this dataset. There are significant differences between different examined methods on these tasks. Visibly, previous DDIB provided much brighter results, which means that it can hardly learn the data distribution during the diffusion model training. Our method reduces this drawback and modality-specific remnants of the input MRI data. The result of CycleGAN displays clear contour and texture information which does not usually occur in ultrasound samples. Moreover, Unit-DDPM produced very blurred translation results, but these results show less modality-specific remnants than our method. Finally, StarGAN produced dark and very blurred translation results.</w:t>
      </w:r>
    </w:p>
    <w:p>
      <w:pPr>
        <w:spacing w:before="200" w:after="60"/>
        <w:jc w:val="center"/>
      </w:pPr>
      <w:r>
        <w:rPr>
          <w:rFonts w:ascii="Times New Roman" w:hAnsi="Times New Roman"/>
          <w:b/>
          <w:sz w:val="18"/>
        </w:rPr>
        <w:t>TABLE III</w:t>
      </w:r>
    </w:p>
    <w:p>
      <w:pPr>
        <w:spacing w:after="120"/>
        <w:jc w:val="center"/>
      </w:pPr>
      <w:r>
        <w:rPr>
          <w:rFonts w:ascii="Times New Roman" w:hAnsi="Times New Roman"/>
          <w:sz w:val="18"/>
        </w:rPr>
        <w:t>TRANSLATION RESULTS ON THE MRI-US DATASET</w:t>
      </w:r>
    </w:p>
    <w:tbl>
      <w:tblPr>
        <w:tblW w:w="5000" w:type="pct"/>
        <w:tblBorders>
          <w:top w:val="single" w:color="000000" w:sz="12"/>
          <w:left w:val="nil"/>
          <w:bottom w:val="single" w:color="000000" w:sz="12"/>
          <w:right w:val="nil"/>
          <w:insideH w:val="single" w:color="808080" w:sz="4"/>
          <w:insideV w:val="nil"/>
        </w:tblBorders>
      </w:tblPr>
      <w:tblGrid>
        <w:gridCol w:w="4500"/>
        <w:gridCol w:w="4500"/>
      </w:tblGrid>
      <w:tr>
        <w:trPr>
          <w:tblHeader/>
        </w:trPr>
        <w:tc>
          <w:tcPr>
            <w:tcW w:w="4500" w:type="dxa"/>
            <w:shd w:val="clear" w:fill="E8E8E8"/>
          </w:tcPr>
          <w:p>
            <w:pPr>
              <w:spacing w:before="40" w:after="40"/>
              <w:jc w:val="center"/>
            </w:pPr>
            <w:r>
              <w:rPr>
                <w:rFonts w:ascii="Times New Roman" w:hAnsi="Times New Roman"/>
                <w:b/>
                <w:sz w:val="18"/>
              </w:rPr>
              <w:t>Methods</w:t>
            </w:r>
          </w:p>
        </w:tc>
        <w:tc>
          <w:tcPr>
            <w:tcW w:w="4500" w:type="dxa"/>
            <w:shd w:val="clear" w:fill="E8E8E8"/>
          </w:tcPr>
          <w:p>
            <w:pPr>
              <w:spacing w:before="40" w:after="40"/>
              <w:jc w:val="center"/>
            </w:pPr>
            <w:r>
              <w:rPr>
                <w:rFonts w:ascii="Times New Roman" w:hAnsi="Times New Roman"/>
                <w:b/>
                <w:sz w:val="18"/>
              </w:rPr>
              <w:t>FID</w:t>
            </w:r>
          </w:p>
        </w:tc>
      </w:tr>
      <w:tr>
        <w:tc>
          <w:tcPr>
            <w:tcW w:w="4500" w:type="dxa"/>
          </w:tcPr>
          <w:p>
            <w:pPr>
              <w:spacing w:before="40" w:after="40"/>
              <w:jc w:val="center"/>
            </w:pPr>
            <w:r>
              <w:rPr>
                <w:rFonts w:ascii="Times New Roman" w:hAnsi="Times New Roman"/>
                <w:sz w:val="18"/>
              </w:rPr>
              <w:t>CycleGAN [43]</w:t>
            </w:r>
          </w:p>
        </w:tc>
        <w:tc>
          <w:tcPr>
            <w:tcW w:w="4500" w:type="dxa"/>
          </w:tcPr>
          <w:p>
            <w:pPr>
              <w:spacing w:before="40" w:after="40"/>
              <w:jc w:val="center"/>
            </w:pPr>
            <w:r>
              <w:rPr>
                <w:rFonts w:ascii="Times New Roman" w:hAnsi="Times New Roman"/>
                <w:sz w:val="18"/>
              </w:rPr>
              <w:t>316.54</w:t>
            </w:r>
          </w:p>
        </w:tc>
      </w:tr>
      <w:tr>
        <w:tc>
          <w:tcPr>
            <w:tcW w:w="4500" w:type="dxa"/>
          </w:tcPr>
          <w:p>
            <w:pPr>
              <w:spacing w:before="40" w:after="40"/>
              <w:jc w:val="center"/>
            </w:pPr>
            <w:r>
              <w:rPr>
                <w:rFonts w:ascii="Times New Roman" w:hAnsi="Times New Roman"/>
                <w:sz w:val="18"/>
              </w:rPr>
              <w:t>StarGAN [49]</w:t>
            </w:r>
          </w:p>
        </w:tc>
        <w:tc>
          <w:tcPr>
            <w:tcW w:w="4500" w:type="dxa"/>
          </w:tcPr>
          <w:p>
            <w:pPr>
              <w:spacing w:before="40" w:after="40"/>
              <w:jc w:val="center"/>
            </w:pPr>
            <w:r>
              <w:rPr>
                <w:rFonts w:ascii="Times New Roman" w:hAnsi="Times New Roman"/>
                <w:sz w:val="18"/>
              </w:rPr>
              <w:t>371.32</w:t>
            </w:r>
          </w:p>
        </w:tc>
      </w:tr>
      <w:tr>
        <w:tc>
          <w:tcPr>
            <w:tcW w:w="4500" w:type="dxa"/>
          </w:tcPr>
          <w:p>
            <w:pPr>
              <w:spacing w:before="40" w:after="40"/>
              <w:jc w:val="center"/>
            </w:pPr>
            <w:r>
              <w:rPr>
                <w:rFonts w:ascii="Times New Roman" w:hAnsi="Times New Roman"/>
                <w:sz w:val="18"/>
              </w:rPr>
              <w:t>Unit-DDPM [16]</w:t>
            </w:r>
          </w:p>
        </w:tc>
        <w:tc>
          <w:tcPr>
            <w:tcW w:w="4500" w:type="dxa"/>
          </w:tcPr>
          <w:p>
            <w:pPr>
              <w:spacing w:before="40" w:after="40"/>
              <w:jc w:val="center"/>
            </w:pPr>
            <w:r>
              <w:rPr>
                <w:rFonts w:ascii="Times New Roman" w:hAnsi="Times New Roman"/>
                <w:sz w:val="18"/>
              </w:rPr>
              <w:t>284.75</w:t>
            </w:r>
          </w:p>
        </w:tc>
      </w:tr>
      <w:tr>
        <w:tc>
          <w:tcPr>
            <w:tcW w:w="4500" w:type="dxa"/>
          </w:tcPr>
          <w:p>
            <w:pPr>
              <w:spacing w:before="40" w:after="40"/>
              <w:jc w:val="center"/>
            </w:pPr>
            <w:r>
              <w:rPr>
                <w:rFonts w:ascii="Times New Roman" w:hAnsi="Times New Roman"/>
                <w:sz w:val="18"/>
              </w:rPr>
              <w:t>DDIB [17]</w:t>
            </w:r>
          </w:p>
        </w:tc>
        <w:tc>
          <w:tcPr>
            <w:tcW w:w="4500" w:type="dxa"/>
          </w:tcPr>
          <w:p>
            <w:pPr>
              <w:spacing w:before="40" w:after="40"/>
              <w:jc w:val="center"/>
            </w:pPr>
            <w:r>
              <w:rPr>
                <w:rFonts w:ascii="Times New Roman" w:hAnsi="Times New Roman"/>
                <w:sz w:val="18"/>
              </w:rPr>
              <w:t>355.28</w:t>
            </w:r>
          </w:p>
        </w:tc>
      </w:tr>
      <w:tr>
        <w:tc>
          <w:tcPr>
            <w:tcW w:w="4500" w:type="dxa"/>
          </w:tcPr>
          <w:p>
            <w:pPr>
              <w:spacing w:before="40" w:after="40"/>
              <w:jc w:val="center"/>
            </w:pPr>
            <w:r>
              <w:rPr>
                <w:rFonts w:ascii="Times New Roman" w:hAnsi="Times New Roman"/>
                <w:sz w:val="18"/>
              </w:rPr>
              <w:t>Ours</w:t>
            </w:r>
          </w:p>
        </w:tc>
        <w:tc>
          <w:tcPr>
            <w:tcW w:w="4500" w:type="dxa"/>
          </w:tcPr>
          <w:p>
            <w:pPr>
              <w:spacing w:before="40" w:after="40"/>
              <w:jc w:val="center"/>
            </w:pPr>
            <w:r>
              <w:rPr>
                <w:rFonts w:ascii="Times New Roman" w:hAnsi="Times New Roman"/>
                <w:sz w:val="18"/>
              </w:rPr>
              <w:t>143.33</w:t>
            </w:r>
          </w:p>
        </w:tc>
      </w:tr>
    </w:tbl>
    <w:p>
      <w:pPr>
        <w:spacing w:after="120" w:line="276" w:lineRule="auto"/>
        <w:jc w:val="both"/>
      </w:pPr>
      <w:r>
        <w:rPr>
          <w:rFonts w:ascii="Times New Roman" w:hAnsi="Times New Roman"/>
          <w:sz w:val="22"/>
        </w:rPr>
        <w:t>Since we do not have ground truth, we can only use FID for evaluation. Table III compares average results of the mentioned methods. There are also significant differences between different examined methods in terms of FID, which may result from the small size of our validation dataset. All differences were found to be statistically different using a paired t-test. Overall, it can be clearly witnessed that our TGDM show better translation performance than those methods by achieving lower FID.</w:t>
      </w:r>
    </w:p>
    <w:p>
      <w:pPr>
        <w:spacing w:after="120" w:line="276" w:lineRule="auto"/>
        <w:jc w:val="both"/>
      </w:pPr>
      <w:r>
        <w:rPr>
          <w:rFonts w:ascii="Times New Roman" w:hAnsi="Times New Roman"/>
          <w:sz w:val="22"/>
        </w:rPr>
        <w:t>Clinician Assessment: Due to the lack of strictly paired data acted as ground truth, we should seek other approaches to strengthen our validation. To further validate the clinical value of the MRI-US translation, in addition, seven clinicians from the ultrasonography department of two hospitals evaluated and compared translation results using a voting assessment approach. For each MRI image, we translate it to an ultrasound image using three different methods (CycleGAN [43], StarGAN [48], and ours). Then the three translated ultrasound images are shown together with the MRI image to the clinicians, who were asked to select the one that is most likely to be a real ultrasound image with acceptable quality based on their experiences. If none of the three images are acceptable, the vote will go to 'Give up'. Ten sets of images are used in our subjective test and the voting scores were tallied among seven clinicians and are compared in Fig. 6. Notably, according to our investigation, the proposed method also had the highest votes when comparing to GAN-based methods, which displays the potentials of diffusion to unpaired cross-modality medical image translation.</w:t>
      </w:r>
    </w:p>
    <w:p>
      <w:pPr>
        <w:spacing w:after="120" w:line="276" w:lineRule="auto"/>
        <w:jc w:val="both"/>
      </w:pPr>
      <w:r>
        <w:rPr>
          <w:rFonts w:ascii="Times New Roman" w:hAnsi="Times New Roman"/>
          <w:sz w:val="22"/>
        </w:rPr>
        <w:t>The inherent subjectivity among the seven observers renders the straightforward voting outcome somewhat less persuasive. Nonetheless, it is witnessed that clinicians are receptive to synthetic medical images, particularly those generated using diffusion models. Consequently, we are optimistic about the potential of this approach, and anticipate the possibility of extending validation to downstream applications, such as diagnosis and registration, in subsequent research.</w:t>
      </w:r>
    </w:p>
    <w:p>
      <w:pPr>
        <w:spacing w:before="240" w:after="120"/>
        <w:jc w:val="left"/>
      </w:pPr>
      <w:r>
        <w:rPr>
          <w:rFonts w:ascii="Times New Roman" w:hAnsi="Times New Roman"/>
          <w:b/>
          <w:i/>
          <w:sz w:val="22"/>
        </w:rPr>
        <w:t>D. Discussions</w:t>
      </w:r>
    </w:p>
    <w:p>
      <w:pPr>
        <w:spacing w:after="120" w:line="276" w:lineRule="auto"/>
        <w:jc w:val="both"/>
      </w:pPr>
      <w:r>
        <w:rPr>
          <w:rFonts w:ascii="Times New Roman" w:hAnsi="Times New Roman"/>
          <w:sz w:val="22"/>
        </w:rPr>
        <w:t>Despite desirable medical image translation results, our method requires a pre-trained classifier in the model training, which leads to some additional effort when the method is used for new data. Secondly, our current study is still at early stage and the size of the dataset is not large. Therefore, we only evaluated the method in a small validation set. Further evaluation in large dataset in downstream tasks would be helpful in future work. We hope this work can help to attract more researchers to work on medical image translation with more data.</w:t>
      </w:r>
    </w:p>
    <w:p>
      <w:pPr>
        <w:spacing w:before="360" w:after="160"/>
        <w:jc w:val="left"/>
      </w:pPr>
      <w:r>
        <w:rPr>
          <w:rFonts w:ascii="Times New Roman" w:hAnsi="Times New Roman"/>
          <w:b/>
          <w:sz w:val="24"/>
        </w:rPr>
        <w:t>V. CONCLUSION</w:t>
      </w:r>
    </w:p>
    <w:p>
      <w:pPr>
        <w:spacing w:after="120" w:line="276" w:lineRule="auto"/>
        <w:jc w:val="both"/>
      </w:pPr>
      <w:r>
        <w:rPr>
          <w:rFonts w:ascii="Times New Roman" w:hAnsi="Times New Roman"/>
          <w:sz w:val="22"/>
        </w:rPr>
        <w:t>Diffusion models have emerged as promising alternatives to GANs, garnering considerable attention in recent image generation tasks. Despite their potential, diffusion models have not yet been extensively considered for unpaired cross-modality translation in medical imaging. Previous unpaired diffusion model-based image translation methods, such as DDIB, cannot work well to remove remnants in medical image translations. To address this issue, this paper introduces a target guidance diffusion model for unpaired cross-modality medical image translation. During training, our model incorporates a P2W to enrich the learning of diverse visual concepts. In the sampling process, a pre-trained classifier is employed within the reverse process to mitigate the modality-specific features from the source data. Evaluations conducted on both brain MRI-CT and prostate MRI-US datasets demonstrate that our target guidance diffusion model presents superior translation quality, with fewer remnants of the original medical imaging modality. This indicates that diffusion models hold promise for unpaired cross-modality medical image translation tasks. Furthermore, seven clinicians from the ultrasonography department were invited to provide an assessment based on the translated samples to validate the clinical value.</w:t>
      </w:r>
    </w:p>
    <w:p>
      <w:pPr>
        <w:spacing w:before="360" w:after="160"/>
        <w:jc w:val="left"/>
      </w:pPr>
      <w:r>
        <w:rPr>
          <w:rFonts w:ascii="Times New Roman" w:hAnsi="Times New Roman"/>
          <w:b/>
          <w:sz w:val="24"/>
        </w:rPr>
        <w:t>ACKNOWLEDGMENT</w:t>
      </w:r>
    </w:p>
    <w:p>
      <w:pPr>
        <w:spacing w:after="120" w:line="276" w:lineRule="auto"/>
        <w:jc w:val="both"/>
      </w:pPr>
      <w:r>
        <w:rPr>
          <w:rFonts w:ascii="Times New Roman" w:hAnsi="Times New Roman"/>
          <w:sz w:val="22"/>
        </w:rPr>
        <w:t>The authors are grateful to all anonymous reviewers for their insightful comments on this work, especially the experimental section. Moreover, the author would like to thank Xiaoye Wang for his help and discussion of the experiments and all anonymous clinicians for their active participation in the voting process, which greatly improves our analysis subsection of this work.</w:t>
      </w:r>
    </w:p>
    <w:p>
      <w:pPr>
        <w:spacing w:before="360" w:after="160"/>
        <w:jc w:val="left"/>
      </w:pPr>
      <w:r>
        <w:rPr>
          <w:rFonts w:ascii="Times New Roman" w:hAnsi="Times New Roman"/>
          <w:b/>
          <w:sz w:val="24"/>
        </w:rPr>
        <w:t>REFERENCES</w:t>
      </w:r>
    </w:p>
    <w:p>
      <w:pPr>
        <w:spacing w:after="60" w:line="240" w:lineRule="auto"/>
        <w:ind w:left="360" w:hanging="360"/>
      </w:pPr>
      <w:r>
        <w:rPr>
          <w:rFonts w:ascii="Times New Roman" w:hAnsi="Times New Roman"/>
          <w:sz w:val="18"/>
        </w:rPr>
        <w:t>[1] D. H. Ye, D. Zikic, B. Glocker, A. Criminisi, and E. Konukoglu, "Modality propagation: Coherent synthesis of subject-specific scans with data-driven regularization," in Proc. 16th Int. Conf. Med. Image Comput. Comput.-Assist. Interv., 2013, pp. 606-613.</w:t>
      </w:r>
    </w:p>
    <w:p>
      <w:pPr>
        <w:spacing w:after="60" w:line="240" w:lineRule="auto"/>
        <w:ind w:left="360" w:hanging="360"/>
      </w:pPr>
      <w:r>
        <w:rPr>
          <w:rFonts w:ascii="Times New Roman" w:hAnsi="Times New Roman"/>
          <w:sz w:val="18"/>
        </w:rPr>
        <w:t>[2] D. Nie et al., "Medical image synthesis with deep convolutional adversarial networks," IEEE Trans. Biomed. Eng., vol. 65, no. 12, pp. 2720-2730, Dec. 2018.</w:t>
      </w:r>
    </w:p>
    <w:p>
      <w:pPr>
        <w:spacing w:after="60" w:line="240" w:lineRule="auto"/>
        <w:ind w:left="360" w:hanging="360"/>
      </w:pPr>
      <w:r>
        <w:rPr>
          <w:rFonts w:ascii="Times New Roman" w:hAnsi="Times New Roman"/>
          <w:sz w:val="18"/>
        </w:rPr>
        <w:t>[3] N. Cordier, H. Delingette, M. Le, and N. Ayache, "Extended modality propagation: Image synthesis of pathological cases," IEEE Trans. Med. Imag., vol. 35, no. 12, pp. 2598-2608, Dec. 2016.</w:t>
      </w:r>
    </w:p>
    <w:p>
      <w:pPr>
        <w:spacing w:after="60" w:line="240" w:lineRule="auto"/>
        <w:ind w:left="360" w:hanging="360"/>
      </w:pPr>
      <w:r>
        <w:rPr>
          <w:rFonts w:ascii="Times New Roman" w:hAnsi="Times New Roman"/>
          <w:sz w:val="18"/>
        </w:rPr>
        <w:t>[4] Y. Huang, L. Shao, and A. F. Frangi, "Cross-modality image synthesis via weakly coupled and geometry co-regularized joint dictionary learning," IEEE Trans. Med. Imag., vol. 37, no. 3, pp. 815-827, Mar. 2018.</w:t>
      </w:r>
    </w:p>
    <w:p>
      <w:pPr>
        <w:spacing w:after="60" w:line="240" w:lineRule="auto"/>
        <w:ind w:left="360" w:hanging="360"/>
      </w:pPr>
      <w:r>
        <w:rPr>
          <w:rFonts w:ascii="Times New Roman" w:hAnsi="Times New Roman"/>
          <w:sz w:val="18"/>
        </w:rPr>
        <w:t>[5] H. Van Nguyen, K. Zhou, and R. Vemulapalli, "Cross-domain synthesis of medical images using efficient location-sensitive deep network," in Proc. 18th Int. Conf. Med. Image Comput. Comput.-Assist. Interv., 2015, pp. 677-684.</w:t>
      </w:r>
    </w:p>
    <w:p>
      <w:pPr>
        <w:spacing w:after="60" w:line="240" w:lineRule="auto"/>
        <w:ind w:left="360" w:hanging="360"/>
      </w:pPr>
      <w:r>
        <w:rPr>
          <w:rFonts w:ascii="Times New Roman" w:hAnsi="Times New Roman"/>
          <w:sz w:val="18"/>
        </w:rPr>
        <w:t>[6] V. Sevetlidis, M. V. Giuffrida, and S. A. Tsaftaris, "Whole image synthesis using a deep encoder-decoder network," in Proc. 1st Int. Workshop Simul. Synth. Med. Imag., 2016, pp. 127-137.</w:t>
      </w:r>
    </w:p>
    <w:p>
      <w:pPr>
        <w:spacing w:after="60" w:line="240" w:lineRule="auto"/>
        <w:ind w:left="360" w:hanging="360"/>
      </w:pPr>
      <w:r>
        <w:rPr>
          <w:rFonts w:ascii="Times New Roman" w:hAnsi="Times New Roman"/>
          <w:sz w:val="18"/>
        </w:rPr>
        <w:t>[7] T. Zhang et al., "Noise adaptation generative adversarial network for medical image analysis," IEEE Trans. Med. Imag., vol. 39, no. 4, pp. 1149-1159, Apr. 2020.</w:t>
      </w:r>
    </w:p>
    <w:p>
      <w:pPr>
        <w:spacing w:after="60" w:line="240" w:lineRule="auto"/>
        <w:ind w:left="360" w:hanging="360"/>
      </w:pPr>
      <w:r>
        <w:rPr>
          <w:rFonts w:ascii="Times New Roman" w:hAnsi="Times New Roman"/>
          <w:sz w:val="18"/>
        </w:rPr>
        <w:t>[8] S. U. Dar, M. Yurt, L. Karacan, A. Erdem, E. Erdem, and T. Cukur, "Image synthesis in multi-contrast MRI with conditional generative adversarial networks," IEEE Trans. Med. Imag., vol. 38, no. 10, pp. 2375-2388, Oct. 2019.</w:t>
      </w:r>
    </w:p>
    <w:p>
      <w:pPr>
        <w:spacing w:after="60" w:line="240" w:lineRule="auto"/>
        <w:ind w:left="360" w:hanging="360"/>
      </w:pPr>
      <w:r>
        <w:rPr>
          <w:rFonts w:ascii="Times New Roman" w:hAnsi="Times New Roman"/>
          <w:sz w:val="18"/>
        </w:rPr>
        <w:t>[9] D. Lee, J. Kim, W.-J. Moon, and J. C. Ye, "CollaGAN: Collaborative GAN for missing image data imputation," in Proc. IEEE/CVF Conf. Comput. Vis. Pattern Recognit., 2019, pp. 2487-2496.</w:t>
      </w:r>
    </w:p>
    <w:p>
      <w:pPr>
        <w:spacing w:after="60" w:line="240" w:lineRule="auto"/>
        <w:ind w:left="360" w:hanging="360"/>
      </w:pPr>
      <w:r>
        <w:rPr>
          <w:rFonts w:ascii="Times New Roman" w:hAnsi="Times New Roman"/>
          <w:sz w:val="18"/>
        </w:rPr>
        <w:t>[10] M. Yurt, S. U. Dar, A. Erdem, E. Erdem, K. K. Oguz, and T. Cukur, "mustGAN: Multi-stream generative adversarial networks for MR image synthesis," Med. Image Anal., vol. 70, 2021, Art. no. 101944.</w:t>
      </w:r>
    </w:p>
    <w:p>
      <w:pPr>
        <w:spacing w:after="60" w:line="240" w:lineRule="auto"/>
        <w:ind w:left="360" w:hanging="360"/>
      </w:pPr>
      <w:r>
        <w:rPr>
          <w:rFonts w:ascii="Times New Roman" w:hAnsi="Times New Roman"/>
          <w:sz w:val="18"/>
        </w:rPr>
        <w:t>[11] C.-B. Jin et al., "Deep CT to MR synthesis using paired and unpaired data," Sensors, vol. 19, no. 10, 2019, Art. no. 2361.</w:t>
      </w:r>
    </w:p>
    <w:p>
      <w:pPr>
        <w:spacing w:after="60" w:line="240" w:lineRule="auto"/>
        <w:ind w:left="360" w:hanging="360"/>
      </w:pPr>
      <w:r>
        <w:rPr>
          <w:rFonts w:ascii="Times New Roman" w:hAnsi="Times New Roman"/>
          <w:sz w:val="18"/>
        </w:rPr>
        <w:t>[12] O. Dalmaz, M. Yurt, and T. Cukur, "ResViT: Residual vision transformers for multimodal medical image synthesis," IEEE Trans. Med. Imag., vol. 41, no. 10, pp. 2598-2614, Oct. 2022.</w:t>
      </w:r>
    </w:p>
    <w:p>
      <w:pPr>
        <w:spacing w:after="60" w:line="240" w:lineRule="auto"/>
        <w:ind w:left="360" w:hanging="360"/>
      </w:pPr>
      <w:r>
        <w:rPr>
          <w:rFonts w:ascii="Times New Roman" w:hAnsi="Times New Roman"/>
          <w:sz w:val="18"/>
        </w:rPr>
        <w:t>[13] P. Isola, J.-Y. Zhu, T. Zhou, and A. A. Efros, "Image-to-image translation with conditional adversarial networks," in Proc. IEEE Conf. Comput. Vis. Pattern Recognit., 2017, pp. 1125-1134.</w:t>
      </w:r>
    </w:p>
    <w:p>
      <w:pPr>
        <w:spacing w:after="60" w:line="240" w:lineRule="auto"/>
        <w:ind w:left="360" w:hanging="360"/>
      </w:pPr>
      <w:r>
        <w:rPr>
          <w:rFonts w:ascii="Times New Roman" w:hAnsi="Times New Roman"/>
          <w:sz w:val="18"/>
        </w:rPr>
        <w:t>[14] P. Dhariwal and A. Nichol, "Diffusion models beat GANs on image synthesis," in Proc. Adv. Neural Inf. Process. Syst., 2021, pp. 8780-8794.</w:t>
      </w:r>
    </w:p>
    <w:p>
      <w:pPr>
        <w:spacing w:after="60" w:line="240" w:lineRule="auto"/>
        <w:ind w:left="360" w:hanging="360"/>
      </w:pPr>
      <w:r>
        <w:rPr>
          <w:rFonts w:ascii="Times New Roman" w:hAnsi="Times New Roman"/>
          <w:sz w:val="18"/>
        </w:rPr>
        <w:t>[15] J. Ho, A. Jain, and P. Abbeel, "Denoising diffusion probabilistic models," in Proc. Adv. Neural Inf. Process. Syst., 2020, pp. 6840-6851.</w:t>
      </w:r>
    </w:p>
    <w:p>
      <w:pPr>
        <w:spacing w:after="60" w:line="240" w:lineRule="auto"/>
        <w:ind w:left="360" w:hanging="360"/>
      </w:pPr>
      <w:r>
        <w:rPr>
          <w:rFonts w:ascii="Times New Roman" w:hAnsi="Times New Roman"/>
          <w:sz w:val="18"/>
        </w:rPr>
        <w:t>[16] H. Sasaki, C. G. Willcocks, and T. P. Breckon, "UNIT-DDPM: Unpaired image translation with denoising diffusion probabilistic models," 2021, arXiv:2104.05358.</w:t>
      </w:r>
    </w:p>
    <w:p>
      <w:pPr>
        <w:spacing w:after="60" w:line="240" w:lineRule="auto"/>
        <w:ind w:left="360" w:hanging="360"/>
      </w:pPr>
      <w:r>
        <w:rPr>
          <w:rFonts w:ascii="Times New Roman" w:hAnsi="Times New Roman"/>
          <w:sz w:val="18"/>
        </w:rPr>
        <w:t>[17] X. Su, J. Song, C. Meng, and S. Ermon, "Dual diffusion implicit bridges for image-to-image translation," in Proc. 11th Int. Conf. Learn. Representations, 2022.</w:t>
      </w:r>
    </w:p>
    <w:p>
      <w:pPr>
        <w:spacing w:after="60" w:line="240" w:lineRule="auto"/>
        <w:ind w:left="360" w:hanging="360"/>
      </w:pPr>
      <w:r>
        <w:rPr>
          <w:rFonts w:ascii="Times New Roman" w:hAnsi="Times New Roman"/>
          <w:sz w:val="18"/>
        </w:rPr>
        <w:t>[18] Y. Song and S. Ermon, "Generative modeling by estimating gradients of the data distribution," in Proc. Adv. Neural Inf. Process. Syst., 2019, Art. no. 1067.</w:t>
      </w:r>
    </w:p>
    <w:p>
      <w:pPr>
        <w:spacing w:after="60" w:line="240" w:lineRule="auto"/>
        <w:ind w:left="360" w:hanging="360"/>
      </w:pPr>
      <w:r>
        <w:rPr>
          <w:rFonts w:ascii="Times New Roman" w:hAnsi="Times New Roman"/>
          <w:sz w:val="18"/>
        </w:rPr>
        <w:t>[19] Y. Song, J. Sohl-Dickstein, D. P. Kingma, A. Kumar, S. Ermon, and B. Poole, "Score-based generative modeling through stochastic differential equations," in Proc. Int. Conf. Learn. Representations, 2020.</w:t>
      </w:r>
    </w:p>
    <w:p>
      <w:pPr>
        <w:spacing w:after="60" w:line="240" w:lineRule="auto"/>
        <w:ind w:left="360" w:hanging="360"/>
      </w:pPr>
      <w:r>
        <w:rPr>
          <w:rFonts w:ascii="Times New Roman" w:hAnsi="Times New Roman"/>
          <w:sz w:val="18"/>
        </w:rPr>
        <w:t>[20] A. Q. Nichol and P. Dhariwal, "Improved denoising diffusion probabilistic models," in Proc. Int. Conf. Mach. Learn., PMLR, 2021, pp. 8162-8171.</w:t>
      </w:r>
    </w:p>
    <w:p>
      <w:pPr>
        <w:spacing w:after="60" w:line="240" w:lineRule="auto"/>
        <w:ind w:left="360" w:hanging="360"/>
      </w:pPr>
      <w:r>
        <w:rPr>
          <w:rFonts w:ascii="Times New Roman" w:hAnsi="Times New Roman"/>
          <w:sz w:val="18"/>
        </w:rPr>
        <w:t>[21] J. Song, C. Meng, and S. Ermon, "Denoising diffusion implicit models," in Proc. Int. Conf. Learn. Representations, 2020, arXiv:2010.02502.</w:t>
      </w:r>
    </w:p>
    <w:p>
      <w:pPr>
        <w:spacing w:after="60" w:line="240" w:lineRule="auto"/>
        <w:ind w:left="360" w:hanging="360"/>
      </w:pPr>
      <w:r>
        <w:rPr>
          <w:rFonts w:ascii="Times New Roman" w:hAnsi="Times New Roman"/>
          <w:sz w:val="18"/>
        </w:rPr>
        <w:t>[22] R. Rombach, A. Blattmann, D. Lorenz, P. Esser, and B. Ommer, "High-resolution image synthesis with latent diffusion models," in Proc. IEEE/CVF Conf. Comput. Vis. Pattern Recognit., 2022, pp. 10684-10695.</w:t>
      </w:r>
    </w:p>
    <w:p>
      <w:pPr>
        <w:spacing w:after="60" w:line="240" w:lineRule="auto"/>
        <w:ind w:left="360" w:hanging="360"/>
      </w:pPr>
      <w:r>
        <w:rPr>
          <w:rFonts w:ascii="Times New Roman" w:hAnsi="Times New Roman"/>
          <w:sz w:val="18"/>
        </w:rPr>
        <w:t>[23] Y. Song and S. Ermon, "Improved techniques for training score-based generative models," in Proc. Adv. Neural Inf. Process. Syst., 2020, pp. 12438-12448.</w:t>
      </w:r>
    </w:p>
    <w:p>
      <w:pPr>
        <w:spacing w:after="60" w:line="240" w:lineRule="auto"/>
        <w:ind w:left="360" w:hanging="360"/>
      </w:pPr>
      <w:r>
        <w:rPr>
          <w:rFonts w:ascii="Times New Roman" w:hAnsi="Times New Roman"/>
          <w:sz w:val="18"/>
        </w:rPr>
        <w:t>[24] A. Nichol et al., "GLIDE: Towards photorealistic image generation and editing with text-guided diffusion models," in Proc. Int. Conf. Mach. Learn., 2022, pp. 16784-16804.</w:t>
      </w:r>
    </w:p>
    <w:p>
      <w:pPr>
        <w:spacing w:after="60" w:line="240" w:lineRule="auto"/>
        <w:ind w:left="360" w:hanging="360"/>
      </w:pPr>
      <w:r>
        <w:rPr>
          <w:rFonts w:ascii="Times New Roman" w:hAnsi="Times New Roman"/>
          <w:sz w:val="18"/>
        </w:rPr>
        <w:t>[25] Y. Song, C. Durkan, I. Murray, and S. Ermon, "Maximum likelihood training of score-based diffusion models," in Proc. Adv. Neural Inf. Process. Syst., 2021, pp. 1415-1428.</w:t>
      </w:r>
    </w:p>
    <w:p>
      <w:pPr>
        <w:spacing w:after="60" w:line="240" w:lineRule="auto"/>
        <w:ind w:left="360" w:hanging="360"/>
      </w:pPr>
      <w:r>
        <w:rPr>
          <w:rFonts w:ascii="Times New Roman" w:hAnsi="Times New Roman"/>
          <w:sz w:val="18"/>
        </w:rPr>
        <w:t>[26] A. Sinha, J. Song, C. Meng, and S. Ermon, "D2C: Diffusion-decoding models for few-shot conditional generation," in Proc. Adv. Neural Inf. Process. Syst., 2021, pp. 12533-12548.</w:t>
      </w:r>
    </w:p>
    <w:p>
      <w:pPr>
        <w:spacing w:after="60" w:line="240" w:lineRule="auto"/>
        <w:ind w:left="360" w:hanging="360"/>
      </w:pPr>
      <w:r>
        <w:rPr>
          <w:rFonts w:ascii="Times New Roman" w:hAnsi="Times New Roman"/>
          <w:sz w:val="18"/>
        </w:rPr>
        <w:t>[27] A. Vahdat, K. Kreis, and J. Kautz, "Score-based generative modeling in latent space," in Proc. Adv. Neural Inf. Process. Syst., 2021, pp. 11287-11302.</w:t>
      </w:r>
    </w:p>
    <w:p>
      <w:pPr>
        <w:spacing w:after="60" w:line="240" w:lineRule="auto"/>
        <w:ind w:left="360" w:hanging="360"/>
      </w:pPr>
      <w:r>
        <w:rPr>
          <w:rFonts w:ascii="Times New Roman" w:hAnsi="Times New Roman"/>
          <w:sz w:val="18"/>
        </w:rPr>
        <w:t>[28] F. Bao, C. Li, J. Zhu, and B. Zhang, "Analytic-DPM: An analytic estimate of the optimal reverse variance in diffusion probabilistic models," in Proc. Int. Conf. Learn. Representations, 2021.</w:t>
      </w:r>
    </w:p>
    <w:p>
      <w:pPr>
        <w:spacing w:after="60" w:line="240" w:lineRule="auto"/>
        <w:ind w:left="360" w:hanging="360"/>
      </w:pPr>
      <w:r>
        <w:rPr>
          <w:rFonts w:ascii="Times New Roman" w:hAnsi="Times New Roman"/>
          <w:sz w:val="18"/>
        </w:rPr>
        <w:t>[29] T. Dockhorn, A. Vahdat, and K. Kreis, "Score-based generative modeling with critically-damped langevin diffusion," in Proc. Int. Conf. Learn. Representations, 2021.</w:t>
      </w:r>
    </w:p>
    <w:p>
      <w:pPr>
        <w:spacing w:after="60" w:line="240" w:lineRule="auto"/>
        <w:ind w:left="360" w:hanging="360"/>
      </w:pPr>
      <w:r>
        <w:rPr>
          <w:rFonts w:ascii="Times New Roman" w:hAnsi="Times New Roman"/>
          <w:sz w:val="18"/>
        </w:rPr>
        <w:t>[30] N. Liu, S. Li, Y. Du, A. Torralba, and J. B. Tenenbaum, "Compositional visual generation with composable diffusion models," in Proc. 17th Eur. Conf. Comput. Vis., 2022, pp. 423-439.</w:t>
      </w:r>
    </w:p>
    <w:p>
      <w:pPr>
        <w:spacing w:after="60" w:line="240" w:lineRule="auto"/>
        <w:ind w:left="360" w:hanging="360"/>
      </w:pPr>
      <w:r>
        <w:rPr>
          <w:rFonts w:ascii="Times New Roman" w:hAnsi="Times New Roman"/>
          <w:sz w:val="18"/>
        </w:rPr>
        <w:t>[31] Y. Jiang, S. Yang, H. Qiu, W. Wu, C. C. Loy, and Z. Liu, "Text2Human: Text-driven controllable human image generation," ACM Trans. Graph., vol. 41, no. 4, pp. 1-11, 2022.</w:t>
      </w:r>
    </w:p>
    <w:p>
      <w:pPr>
        <w:spacing w:after="60" w:line="240" w:lineRule="auto"/>
        <w:ind w:left="360" w:hanging="360"/>
      </w:pPr>
      <w:r>
        <w:rPr>
          <w:rFonts w:ascii="Times New Roman" w:hAnsi="Times New Roman"/>
          <w:sz w:val="18"/>
        </w:rPr>
        <w:t>[32] M. Daniels, T. Maunu, and P. Hand, "Score-based generative neural networks for large-scale optimal transport," in Proc. Adv. Neural Inf. Process. Syst., 2021, pp. 12955-12965.</w:t>
      </w:r>
    </w:p>
    <w:p>
      <w:pPr>
        <w:spacing w:after="60" w:line="240" w:lineRule="auto"/>
        <w:ind w:left="360" w:hanging="360"/>
      </w:pPr>
      <w:r>
        <w:rPr>
          <w:rFonts w:ascii="Times New Roman" w:hAnsi="Times New Roman"/>
          <w:sz w:val="18"/>
        </w:rPr>
        <w:t>[33] H. Chung, B. Sim, and J. C. Ye, "Come-closer-diffuse-faster: Accelerating conditional diffusion models for inverse problems through stochastic contraction," in Proc. IEEE/CVF Conf. Comput. Vis. Pattern Recognit., 2022, pp. 12413-12422.</w:t>
      </w:r>
    </w:p>
    <w:p>
      <w:pPr>
        <w:spacing w:after="60" w:line="240" w:lineRule="auto"/>
        <w:ind w:left="360" w:hanging="360"/>
      </w:pPr>
      <w:r>
        <w:rPr>
          <w:rFonts w:ascii="Times New Roman" w:hAnsi="Times New Roman"/>
          <w:sz w:val="18"/>
        </w:rPr>
        <w:t>[34] B. Kawar, M. Elad, S. Ermon, and J. Song, "Denoising diffusion restoration models," in Adv. Neural Inf. Process. Syst., vol. 35, pp. 23593-23606, 2022.</w:t>
      </w:r>
    </w:p>
    <w:p>
      <w:pPr>
        <w:spacing w:after="60" w:line="240" w:lineRule="auto"/>
        <w:ind w:left="360" w:hanging="360"/>
      </w:pPr>
      <w:r>
        <w:rPr>
          <w:rFonts w:ascii="Times New Roman" w:hAnsi="Times New Roman"/>
          <w:sz w:val="18"/>
        </w:rPr>
        <w:t>[35] A. Lugmayr, M. Danelljan, A. Romero, F. Yu, R. Timofte, and L. Van Gool, "RePaint: Inpainting using denoising diffusion probabilistic models," in Proc. IEEE/CVF Conf. Comput. Vis. Pattern Recognit., 2022, pp. 11461-11471.</w:t>
      </w:r>
    </w:p>
    <w:p>
      <w:pPr>
        <w:spacing w:after="60" w:line="240" w:lineRule="auto"/>
        <w:ind w:left="360" w:hanging="360"/>
      </w:pPr>
      <w:r>
        <w:rPr>
          <w:rFonts w:ascii="Times New Roman" w:hAnsi="Times New Roman"/>
          <w:sz w:val="18"/>
        </w:rPr>
        <w:t>[36] J. Choi, S. Kim, Y. Jeong, Y. Gwon, and S. Yoon, "ILVR: Conditioning method for denoising diffusion probabilistic models," in Proc. IEEE/CVF Int. Conf. Comput. Vis., 2021, pp. 14347-14356.</w:t>
      </w:r>
    </w:p>
    <w:p>
      <w:pPr>
        <w:spacing w:after="60" w:line="240" w:lineRule="auto"/>
        <w:ind w:left="360" w:hanging="360"/>
      </w:pPr>
      <w:r>
        <w:rPr>
          <w:rFonts w:ascii="Times New Roman" w:hAnsi="Times New Roman"/>
          <w:sz w:val="18"/>
        </w:rPr>
        <w:t>[37] C. Saharia et al., "Palette: Image-to-image diffusion models," in Proc. ACM SIGGRAPH Conf., 2022, pp. 1-10.</w:t>
      </w:r>
    </w:p>
    <w:p>
      <w:pPr>
        <w:spacing w:after="60" w:line="240" w:lineRule="auto"/>
        <w:ind w:left="360" w:hanging="360"/>
      </w:pPr>
      <w:r>
        <w:rPr>
          <w:rFonts w:ascii="Times New Roman" w:hAnsi="Times New Roman"/>
          <w:sz w:val="18"/>
        </w:rPr>
        <w:t>[38] G. Muller-Franzes et al., "A multimodal comparison of latent denoising diffusion probabilistic models and generative adversarial networks for medical image synthesis," Sci. Rep., vol. 13, no. 1, 2023, Art. no. 12098.</w:t>
      </w:r>
    </w:p>
    <w:p>
      <w:pPr>
        <w:spacing w:after="60" w:line="240" w:lineRule="auto"/>
        <w:ind w:left="360" w:hanging="360"/>
      </w:pPr>
      <w:r>
        <w:rPr>
          <w:rFonts w:ascii="Times New Roman" w:hAnsi="Times New Roman"/>
          <w:sz w:val="18"/>
        </w:rPr>
        <w:t>[39] B. Kim and J. C. Ye, "Diffusion deformable model for 4D temporal medical image generation," in Proc. 25th Int. Conf. Med. Image Comput. Comput. Assist. Interv., 2022, pp. 539-548.</w:t>
      </w:r>
    </w:p>
    <w:p>
      <w:pPr>
        <w:spacing w:after="60" w:line="240" w:lineRule="auto"/>
        <w:ind w:left="360" w:hanging="360"/>
      </w:pPr>
      <w:r>
        <w:rPr>
          <w:rFonts w:ascii="Times New Roman" w:hAnsi="Times New Roman"/>
          <w:sz w:val="18"/>
        </w:rPr>
        <w:t>[40] Z. Dorjsembe, S. Odonchimed, and F. Xiao, "Three-dimensional medical image synthesis with denoising diffusion probabilistic models," in Proc. Med. Imag. Deep Learn., 2022.</w:t>
      </w:r>
    </w:p>
    <w:p>
      <w:pPr>
        <w:spacing w:after="60" w:line="240" w:lineRule="auto"/>
        <w:ind w:left="360" w:hanging="360"/>
      </w:pPr>
      <w:r>
        <w:rPr>
          <w:rFonts w:ascii="Times New Roman" w:hAnsi="Times New Roman"/>
          <w:sz w:val="18"/>
        </w:rPr>
        <w:t>[41] D. Hu, Y. K. Tao, and I. Oguz, "Unsupervised denoising of retinal OCT with diffusion probabilistic model," in Medical Imaging: Image Processing, vol. 12032. Bellingham, WA, USA: SPIE, 2022, pp. 25-34.</w:t>
      </w:r>
    </w:p>
    <w:p>
      <w:pPr>
        <w:spacing w:after="60" w:line="240" w:lineRule="auto"/>
        <w:ind w:left="360" w:hanging="360"/>
      </w:pPr>
      <w:r>
        <w:rPr>
          <w:rFonts w:ascii="Times New Roman" w:hAnsi="Times New Roman"/>
          <w:sz w:val="18"/>
        </w:rPr>
        <w:t>[42] J. Chen, S. Chen, L. Wee, A. Dekker, and I. Bermejo, "Deep learning based unpaired image-to-image translation applications for medical physics: A systematic review," Phys. Med. Biol., vol. 68, 2023, Art. no. 05TR01.</w:t>
      </w:r>
    </w:p>
    <w:p>
      <w:pPr>
        <w:spacing w:after="60" w:line="240" w:lineRule="auto"/>
        <w:ind w:left="360" w:hanging="360"/>
      </w:pPr>
      <w:r>
        <w:rPr>
          <w:rFonts w:ascii="Times New Roman" w:hAnsi="Times New Roman"/>
          <w:sz w:val="18"/>
        </w:rPr>
        <w:t>[43] J.-Y. Zhu, T. Park, P. Isola, and A. A. Efros, "Unpaired image-to-image translation using cycle-consistent adversarial networks," in Proc. IEEE Int. Conf. Comput. Vis., 2017, pp. 2223-2232.</w:t>
      </w:r>
    </w:p>
    <w:p>
      <w:pPr>
        <w:spacing w:after="60" w:line="240" w:lineRule="auto"/>
        <w:ind w:left="360" w:hanging="360"/>
      </w:pPr>
      <w:r>
        <w:rPr>
          <w:rFonts w:ascii="Times New Roman" w:hAnsi="Times New Roman"/>
          <w:sz w:val="18"/>
        </w:rPr>
        <w:t>[44] K. N. Brou Boni, J. Klein, A. Gulyban, N. Reynaert, and D. Pasquier, "Improving generalization in MR-to-CT synthesis in radiotherapy by using an augmented cycle generative adversarial network with unpaired data," Med. Phys., vol. 48, no. 6, pp. 3003-3010, 2021.</w:t>
      </w:r>
    </w:p>
    <w:p>
      <w:pPr>
        <w:spacing w:after="60" w:line="240" w:lineRule="auto"/>
        <w:ind w:left="360" w:hanging="360"/>
      </w:pPr>
      <w:r>
        <w:rPr>
          <w:rFonts w:ascii="Times New Roman" w:hAnsi="Times New Roman"/>
          <w:sz w:val="18"/>
        </w:rPr>
        <w:t>[45] W. Li et al., "Magnetic resonance image (MRI) synthesis from brain computed tomography (CT) images based on deep learning methods for magnetic resonance (MR)-guided radiotherapy," Quantitative Imag. Med. Surg., vol. 10, no. 6, pp. 1223-1236, 2020.</w:t>
      </w:r>
    </w:p>
    <w:p>
      <w:pPr>
        <w:spacing w:after="60" w:line="240" w:lineRule="auto"/>
        <w:ind w:left="360" w:hanging="360"/>
      </w:pPr>
      <w:r>
        <w:rPr>
          <w:rFonts w:ascii="Times New Roman" w:hAnsi="Times New Roman"/>
          <w:sz w:val="18"/>
        </w:rPr>
        <w:t>[46] C. Wang et al., "DiCyc: GAN-based deformation invariant cross-domain information fusion for medical image synthesis," Inf. Fusion, vol. 67, pp. 147-160, 2021.</w:t>
      </w:r>
    </w:p>
    <w:p>
      <w:pPr>
        <w:spacing w:after="60" w:line="240" w:lineRule="auto"/>
        <w:ind w:left="360" w:hanging="360"/>
      </w:pPr>
      <w:r>
        <w:rPr>
          <w:rFonts w:ascii="Times New Roman" w:hAnsi="Times New Roman"/>
          <w:sz w:val="18"/>
        </w:rPr>
        <w:t>[47] H. Yang et al., "Unsupervised MR-to-CT synthesis using structure-constrained CycleGAN," IEEE Trans. Med. Imag., vol. 39, no. 12, pp. 4249-4261, Dec. 2020.</w:t>
      </w:r>
    </w:p>
    <w:p>
      <w:pPr>
        <w:spacing w:after="60" w:line="240" w:lineRule="auto"/>
        <w:ind w:left="360" w:hanging="360"/>
      </w:pPr>
      <w:r>
        <w:rPr>
          <w:rFonts w:ascii="Times New Roman" w:hAnsi="Times New Roman"/>
          <w:sz w:val="18"/>
        </w:rPr>
        <w:t>[48] Y. Choi, M. Choi, M. Kim, J.-W. Ha, S. Kim, and J. Choo, "StarGAN: Unified generative adversarial networks for multi-domain image-to-image translation," in Proc. IEEE Conf. Comput. Vis. Pattern Recognit., 2018, pp. 8789-8797.</w:t>
      </w:r>
    </w:p>
    <w:p>
      <w:pPr>
        <w:spacing w:after="60" w:line="240" w:lineRule="auto"/>
        <w:ind w:left="360" w:hanging="360"/>
      </w:pPr>
      <w:r>
        <w:rPr>
          <w:rFonts w:ascii="Times New Roman" w:hAnsi="Times New Roman"/>
          <w:sz w:val="18"/>
        </w:rPr>
        <w:t>[49] Y. Choi, Y. Uh, J. Yoo, and J.-W. Ha, "StarGAN v2: Diverse image synthesis for multiple domains," in Proc. IEEE/CVF Conf. Comput. Vis. Pattern Recognit., 2020, pp. 8188-8197.</w:t>
      </w:r>
    </w:p>
    <w:p>
      <w:pPr>
        <w:spacing w:after="60" w:line="240" w:lineRule="auto"/>
        <w:ind w:left="360" w:hanging="360"/>
      </w:pPr>
      <w:r>
        <w:rPr>
          <w:rFonts w:ascii="Times New Roman" w:hAnsi="Times New Roman"/>
          <w:sz w:val="18"/>
        </w:rPr>
        <w:t>[50] V. M. Bashyam et al., "Deep generative medical image harmonization for improving cross-site generalization in deep learning predictors," J. Magn. Reson. Imag., vol. 55, no. 3, pp. 908-916, 2022.</w:t>
      </w:r>
    </w:p>
    <w:p>
      <w:pPr>
        <w:spacing w:after="60" w:line="240" w:lineRule="auto"/>
        <w:ind w:left="360" w:hanging="360"/>
      </w:pPr>
      <w:r>
        <w:rPr>
          <w:rFonts w:ascii="Times New Roman" w:hAnsi="Times New Roman"/>
          <w:sz w:val="18"/>
        </w:rPr>
        <w:t>[51] A. Abu-Srhan, I. Almallahi, M. A. Abushariah, W. Mahafza, and O. S. Al-Kadi, "Paired-unpaired unsupervised attention guided GAN with transfer learning for bidirectional brain MR-CT synthesis," Comput. Biol. Med., vol. 136, 2021, Art. no. 104763.</w:t>
      </w:r>
    </w:p>
    <w:p>
      <w:pPr>
        <w:spacing w:after="60" w:line="240" w:lineRule="auto"/>
        <w:ind w:left="360" w:hanging="360"/>
      </w:pPr>
      <w:r>
        <w:rPr>
          <w:rFonts w:ascii="Times New Roman" w:hAnsi="Times New Roman"/>
          <w:sz w:val="18"/>
        </w:rPr>
        <w:t>[52] Z. Yi, H. Zhang, P. Tan, and M. Gong, "DualGAN: Unsupervised dual learning for image-to-image translation," in Proc. IEEE Int. Conf. Comput. Vis., 2017, pp. 2849-2857.</w:t>
      </w:r>
    </w:p>
    <w:p>
      <w:pPr>
        <w:spacing w:after="60" w:line="240" w:lineRule="auto"/>
        <w:ind w:left="360" w:hanging="360"/>
      </w:pPr>
      <w:r>
        <w:rPr>
          <w:rFonts w:ascii="Times New Roman" w:hAnsi="Times New Roman"/>
          <w:sz w:val="18"/>
        </w:rPr>
        <w:t>[53] H. Lee, M. Kang, and B. Han, "Conditional score guidance for text-driven image-to-image translation," in Proc. Adv. Neural Inf. Process. Syst., vol. 36, 2024.</w:t>
      </w:r>
    </w:p>
    <w:p>
      <w:pPr>
        <w:spacing w:after="60" w:line="240" w:lineRule="auto"/>
        <w:ind w:left="360" w:hanging="360"/>
      </w:pPr>
      <w:r>
        <w:rPr>
          <w:rFonts w:ascii="Times New Roman" w:hAnsi="Times New Roman"/>
          <w:sz w:val="18"/>
        </w:rPr>
        <w:t>[54] B. Li, K. Xue, B. Liu, and Y.-K. Lai, "BBDM: Image-to-image translation with brownian bridge diffusion models," in Proc. IEEE/CVF Conf. Comput. Vis. Pattern Recognit., 2023, pp. 1952-1961.</w:t>
      </w:r>
    </w:p>
    <w:p>
      <w:pPr>
        <w:spacing w:after="60" w:line="240" w:lineRule="auto"/>
        <w:ind w:left="360" w:hanging="360"/>
      </w:pPr>
      <w:r>
        <w:rPr>
          <w:rFonts w:ascii="Times New Roman" w:hAnsi="Times New Roman"/>
          <w:sz w:val="18"/>
        </w:rPr>
        <w:t>[55] M. Ozbey et al., "Unsupervised medical image translation with adversarial diffusion models," IEEE Trans. Med. Imag., vol. 42, no. 12, pp. 3524-3539, Dec. 2023.</w:t>
      </w:r>
    </w:p>
    <w:p>
      <w:pPr>
        <w:spacing w:after="60" w:line="240" w:lineRule="auto"/>
        <w:ind w:left="360" w:hanging="360"/>
      </w:pPr>
      <w:r>
        <w:rPr>
          <w:rFonts w:ascii="Times New Roman" w:hAnsi="Times New Roman"/>
          <w:sz w:val="18"/>
        </w:rPr>
        <w:t>[56] J. Choi, J. Lee, C. Shin, S. Kim, H. Kim, and S. Yoon, "Perception prioritized training of diffusion models," in Proc. IEEE/CVF Conf. Comput. Vis. Pattern Recognit., 2022, pp. 11472-11481.</w:t>
      </w:r>
    </w:p>
    <w:p>
      <w:pPr>
        <w:spacing w:after="60" w:line="240" w:lineRule="auto"/>
        <w:ind w:left="360" w:hanging="360"/>
      </w:pPr>
      <w:r>
        <w:rPr>
          <w:rFonts w:ascii="Times New Roman" w:hAnsi="Times New Roman"/>
          <w:sz w:val="18"/>
        </w:rPr>
        <w:t>[57] A. Radford et al., "Learning transferable visual models from natural language supervision," in Proc. Int. Conf. Mach. Learn., PMLR, 2021, pp. 8748-8763.</w:t>
      </w:r>
    </w:p>
    <w:p>
      <w:pPr>
        <w:spacing w:after="60" w:line="240" w:lineRule="auto"/>
        <w:ind w:left="360" w:hanging="360"/>
      </w:pPr>
      <w:r>
        <w:rPr>
          <w:rFonts w:ascii="Times New Roman" w:hAnsi="Times New Roman"/>
          <w:sz w:val="18"/>
        </w:rPr>
        <w:t>[58] M. Zhao, F. Bao, C. Li, and J. Zhu, "EGSDE: Unpaired image-to-image translation via energy-guided stochastic differential equations," Adv. Neural Inf. Process. Syst., vol. 35, pp. 3609-3623, 2022.</w:t>
      </w:r>
    </w:p>
    <w:p>
      <w:pPr>
        <w:spacing w:after="60" w:line="240" w:lineRule="auto"/>
        <w:ind w:left="360" w:hanging="360"/>
      </w:pPr>
      <w:r>
        <w:rPr>
          <w:rFonts w:ascii="Times New Roman" w:hAnsi="Times New Roman"/>
          <w:sz w:val="18"/>
        </w:rPr>
        <w:t>[59] Z. Zhang, Z. Zhao, and Z. Lin, "Unsupervised representation learning from pre-trained diffusion probabilistic models," in Proc. Adv. Neural Inf. Process. Syst., 2022, pp. 22117-22130.</w:t>
      </w:r>
    </w:p>
    <w:p>
      <w:pPr>
        <w:spacing w:after="60" w:line="240" w:lineRule="auto"/>
        <w:ind w:left="360" w:hanging="360"/>
      </w:pPr>
      <w:r>
        <w:rPr>
          <w:rFonts w:ascii="Times New Roman" w:hAnsi="Times New Roman"/>
          <w:sz w:val="18"/>
        </w:rPr>
        <w:t>[60] M. Heusel, H. Ramsauer, T. Unterthiner, B. Nessler, and S. Hochreiter, "GANs trained by a two time-scale update rule converge to a local nash equilibrium," in Proc. Adv. Neural Inf. Process. Syst., 2017, pp. 6629-6640.</w:t>
      </w:r>
    </w:p>
    <w:p>
      <w:pPr>
        <w:spacing w:after="60" w:line="240" w:lineRule="auto"/>
        <w:ind w:left="360" w:hanging="360"/>
      </w:pPr>
      <w:r>
        <w:rPr>
          <w:rFonts w:ascii="Times New Roman" w:hAnsi="Times New Roman"/>
          <w:sz w:val="18"/>
        </w:rPr>
        <w:t>[61] J. Li, Z. Qu, Y. Yang, F. Zhang, M. Li, and S. Hu, "TCGAN: A transformer-enhanced GAN for pet synthetic CT," Biomed. Opt. Exp., vol. 13, no. 11, pp. 6003-6018, 2022.</w:t>
      </w:r>
    </w:p>
    <w:p>
      <w:pPr>
        <w:spacing w:after="60" w:line="240" w:lineRule="auto"/>
        <w:ind w:left="360" w:hanging="360"/>
      </w:pPr>
      <w:r>
        <w:rPr>
          <w:rFonts w:ascii="Times New Roman" w:hAnsi="Times New Roman"/>
          <w:sz w:val="18"/>
        </w:rPr>
        <w:t>[62] P. Paavilainen, S. U. Akram, and J. Kannala, "Bridging the gap between paired and unpaired medical image translation," in Proc. MICCAI Workshop Deep Generative Models 2021, pp. 35-44.</w:t>
      </w:r>
    </w:p>
    <w:p>
      <w:pPr>
        <w:spacing w:after="60" w:line="240" w:lineRule="auto"/>
        <w:ind w:left="360" w:hanging="360"/>
      </w:pPr>
      <w:r>
        <w:rPr>
          <w:rFonts w:ascii="Times New Roman" w:hAnsi="Times New Roman"/>
          <w:sz w:val="18"/>
        </w:rPr>
        <w:t>[63] D. Nie et al., "Medical image synthesis with context-aware generative adversarial networks," in Proc. Med. Image Comput. Comput. Assist. Interv., 2017, pp. 417-425.</w:t>
      </w:r>
    </w:p>
    <w:p>
      <w:pPr>
        <w:spacing w:after="60" w:line="240" w:lineRule="auto"/>
        <w:ind w:left="360" w:hanging="360"/>
      </w:pPr>
      <w:r>
        <w:rPr>
          <w:rFonts w:ascii="Times New Roman" w:hAnsi="Times New Roman"/>
          <w:sz w:val="18"/>
        </w:rPr>
        <w:t>[64] X. Han, "MR-based synthetic CT generation using a deep convolutional neural network," Med. Phys., vol. 44, no. 4, pp. 1408-1419, 2017.</w:t>
      </w:r>
    </w:p>
    <w:p>
      <w:pPr>
        <w:spacing w:after="60" w:line="240" w:lineRule="auto"/>
        <w:ind w:left="360" w:hanging="360"/>
      </w:pPr>
      <w:r>
        <w:rPr>
          <w:rFonts w:ascii="Times New Roman" w:hAnsi="Times New Roman"/>
          <w:sz w:val="18"/>
        </w:rPr>
        <w:t>[65] S. Natarajan, A. Priester, D. Margolis, J. Huang, and L. Marks, "Prostate MRI and ultrasound with pathology and coordinates of tracked biopsy (prostate-MRI-us-biopsy)," Cancer Imag. Arch, vol. 10, 2020, Art. no. 7937.</w:t>
      </w:r>
    </w:p>
    <w:sectPr>
      <w:footerReference w:type="default" r:id="Rc351e1a71e984a0f"/>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p>
</w:ftr>
</file>

<file path=word/styles.xml><?xml version="1.0" encoding="utf-8"?>
<w:styles xmlns:w="http://schemas.openxmlformats.org/wordprocessingml/2006/main">
  <w:style w:type="paragraph" w:styleId="Normal" w:default="true">
    <w:name w:val="Normal"/>
    <w:pPr>
      <w:spacing w:after="120" w:line="276" w:lineRule="auto"/>
      <w:jc w:val="both"/>
    </w:pPr>
    <w:rPr>
      <w:rFonts w:ascii="Times New Roman" w:hAnsi="Times New Roman"/>
      <w:color w:val="000000"/>
      <w:sz w:val="22"/>
    </w:rPr>
  </w:style>
</w:styles>
</file>

<file path=word/_rels/document.xml.rels><?xml version='1.0' encoding='UTF-8'?>
<Relationships xmlns="http://schemas.openxmlformats.org/package/2006/relationships"><Relationship Type="http://schemas.openxmlformats.org/officeDocument/2006/relationships/styles" Target="styles.xml" Id="Rc21b27104886432e" /><Relationship Type="http://schemas.openxmlformats.org/officeDocument/2006/relationships/footer" Target="footer1.xml" Id="Rc351e1a71e984a0f" /></Relationships>
</file>