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71E2F" w14:textId="77777777" w:rsidR="00FD2FA3" w:rsidRDefault="00000000">
      <w:pPr>
        <w:pStyle w:val="Title"/>
        <w:jc w:val="center"/>
      </w:pPr>
      <w:r>
        <w:t>CS 405 Portfolio Reflection</w:t>
      </w:r>
    </w:p>
    <w:p w14:paraId="1AEDAB85" w14:textId="77777777" w:rsidR="00FD2FA3" w:rsidRDefault="00000000">
      <w:pPr>
        <w:keepNext/>
        <w:jc w:val="center"/>
      </w:pPr>
      <w:r>
        <w:t>Tre Olson | October 25, 2026</w:t>
      </w:r>
    </w:p>
    <w:p w14:paraId="2AD9DADE" w14:textId="77777777" w:rsidR="00FD2FA3" w:rsidRDefault="00000000">
      <w:pPr>
        <w:ind w:firstLine="720"/>
      </w:pPr>
      <w:r>
        <w:t>CS 405 reinforced that secure behavior belongs in the definition of working software. The SEI CERT C++ standard provides consistent rules that developers can enforce through reviews and automated checks (Software Engineering Institute, n.d.). My buffer overflow activity made this concrete: the 20-byte buffer reserves space for termination and rejects oversized input. I would establish these requirements during design and test boundaries with each change. Waiting until final testing could leave unsafe assumptions embedded across the application. This extends my focus on expected outputs to include hostile inputs and failure paths.</w:t>
      </w:r>
    </w:p>
    <w:p w14:paraId="02AE506B" w14:textId="3E0B00D0" w:rsidR="00FD2FA3" w:rsidRDefault="00000000">
      <w:pPr>
        <w:ind w:firstLine="720"/>
      </w:pPr>
      <w:r>
        <w:t>The Green Pace policy taught me to separate risk from the effort required to fix it. I would assess likelihood, exposure, and potential damage before comparing mitigation costs. An exposed memory</w:t>
      </w:r>
      <w:r w:rsidR="0013210D">
        <w:t xml:space="preserve"> </w:t>
      </w:r>
      <w:r>
        <w:t>corruption defect deserves attention before a cosmetic warning, even when repairing it takes longer. The benefit includes reducing possible data loss, downtime, and recovery work; costs include implementation, regression testing, and maintenance. A small bounds check may provide substantial protection, but a larger redesign needs a staged plan. Expensive remediation does not make a serious vulnerability less dangerous, and any accepted residual risk needs an owner and review date.</w:t>
      </w:r>
    </w:p>
    <w:p w14:paraId="744FBD35" w14:textId="3783B946" w:rsidR="00FD2FA3" w:rsidRDefault="00000000">
      <w:pPr>
        <w:ind w:firstLine="720"/>
      </w:pPr>
      <w:r>
        <w:t>Zero trust also changes how I approach access decisions. Rose et al. (2020) explain that network location or device ownership should not automatically establish trust. In an application, I would authenticate identities, authorize each protected action, and grant only necessary permissions. A valid login should not allow a user to read another user’s records. Testing denied access and revoked sessions would complement successful</w:t>
      </w:r>
      <w:r w:rsidR="0013210D">
        <w:t xml:space="preserve"> </w:t>
      </w:r>
      <w:r>
        <w:t xml:space="preserve">login tests. These controls limit </w:t>
      </w:r>
      <w:r>
        <w:lastRenderedPageBreak/>
        <w:t>damage from compromised accounts, although identity</w:t>
      </w:r>
      <w:r w:rsidR="0013210D">
        <w:t xml:space="preserve"> </w:t>
      </w:r>
      <w:r>
        <w:t xml:space="preserve">service dependencies and configuration errors can also disrupt legitimate access. Zero trust therefore requires ongoing evaluation, not a </w:t>
      </w:r>
      <w:r w:rsidR="0013210D">
        <w:t>one-time</w:t>
      </w:r>
      <w:r>
        <w:t xml:space="preserve"> login check.</w:t>
      </w:r>
    </w:p>
    <w:p w14:paraId="321A9E22" w14:textId="77777777" w:rsidR="00FD2FA3" w:rsidRDefault="00000000">
      <w:pPr>
        <w:ind w:firstLine="720"/>
      </w:pPr>
      <w:r>
        <w:t>My security policy and presentation connected individual coding fixes to repeatable team practices. I would implement the policy with named owners, secure coding examples, automated checks during builds, and documented exceptions. Encryption requirements must include key management, while audit logs must avoid exposing secrets. I recommend repair deadlines based on risk, developer training, and periodic policy reviews. Automated findings still need human judgment because passing checks cannot establish complete security (Software Engineering Institute, n.d.). One question I want to investigate further is how to tune security checks so reviewers receive useful findings without overlooking serious defects among low-value warnings.</w:t>
      </w:r>
    </w:p>
    <w:p w14:paraId="42313CC4" w14:textId="77777777" w:rsidR="00FD2FA3" w:rsidRDefault="00000000">
      <w:pPr>
        <w:keepNext/>
        <w:jc w:val="center"/>
      </w:pPr>
      <w:r>
        <w:rPr>
          <w:b/>
        </w:rPr>
        <w:t>References</w:t>
      </w:r>
    </w:p>
    <w:p w14:paraId="75F510CE" w14:textId="77777777" w:rsidR="00FD2FA3" w:rsidRDefault="00000000">
      <w:pPr>
        <w:keepLines/>
        <w:ind w:left="720" w:hanging="720"/>
      </w:pPr>
      <w:r>
        <w:t xml:space="preserve">Rose, S., Borchert, O., Mitchell, S., &amp; Connelly, S. (2020). </w:t>
      </w:r>
      <w:r>
        <w:rPr>
          <w:i/>
        </w:rPr>
        <w:t>Zero trust architecture</w:t>
      </w:r>
      <w:r>
        <w:t xml:space="preserve"> (NIST SP 800-207). National Institute of Standards and Technology. https://doi.org/10.6028/NIST.SP.800-207</w:t>
      </w:r>
    </w:p>
    <w:p w14:paraId="5592945D" w14:textId="77777777" w:rsidR="00FD2FA3" w:rsidRDefault="00000000">
      <w:pPr>
        <w:keepLines/>
        <w:ind w:left="720" w:hanging="720"/>
      </w:pPr>
      <w:r>
        <w:t xml:space="preserve">Software Engineering Institute. (n.d.). </w:t>
      </w:r>
      <w:r>
        <w:rPr>
          <w:i/>
        </w:rPr>
        <w:t>SEI CERT C++ coding standard</w:t>
      </w:r>
      <w:r>
        <w:t>. Carnegie Mellon University. https://cmu-sei.github.io/secure-coding-standards/sei-cert-cpp-coding-standard/</w:t>
      </w:r>
    </w:p>
    <w:p w14:paraId="7352926B" w14:textId="53677E42" w:rsidR="00FD2FA3" w:rsidRDefault="00FD2FA3">
      <w:pPr>
        <w:keepLines/>
      </w:pPr>
    </w:p>
    <w:sectPr w:rsidR="00FD2F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492764">
    <w:abstractNumId w:val="8"/>
  </w:num>
  <w:num w:numId="2" w16cid:durableId="1984039389">
    <w:abstractNumId w:val="6"/>
  </w:num>
  <w:num w:numId="3" w16cid:durableId="1833448437">
    <w:abstractNumId w:val="5"/>
  </w:num>
  <w:num w:numId="4" w16cid:durableId="1466661131">
    <w:abstractNumId w:val="4"/>
  </w:num>
  <w:num w:numId="5" w16cid:durableId="262497776">
    <w:abstractNumId w:val="7"/>
  </w:num>
  <w:num w:numId="6" w16cid:durableId="41711023">
    <w:abstractNumId w:val="3"/>
  </w:num>
  <w:num w:numId="7" w16cid:durableId="1161198430">
    <w:abstractNumId w:val="2"/>
  </w:num>
  <w:num w:numId="8" w16cid:durableId="1510174095">
    <w:abstractNumId w:val="1"/>
  </w:num>
  <w:num w:numId="9" w16cid:durableId="11142090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10D"/>
    <w:rsid w:val="0015074B"/>
    <w:rsid w:val="0029639D"/>
    <w:rsid w:val="00326F90"/>
    <w:rsid w:val="00AA1D8D"/>
    <w:rsid w:val="00B47730"/>
    <w:rsid w:val="00BC0123"/>
    <w:rsid w:val="00CB0664"/>
    <w:rsid w:val="00FC693F"/>
    <w:rsid w:val="00FD2F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4E6C1"/>
  <w14:defaultImageDpi w14:val="300"/>
  <w15:docId w15:val="{00956CE9-CCC2-734E-A99F-76205DA7B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eastAsia="Times New Roman"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imes New Roman"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imes New Roman"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eastAsia="Times New Roman"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imes New Roman"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imes New Roman"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imes New Roman"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imes New Roman"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imes New Roman"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4F81BD" w:themeColor="accent1"/>
    </w:rPr>
  </w:style>
  <w:style w:type="paragraph" w:styleId="Title">
    <w:name w:val="Title"/>
    <w:basedOn w:val="Normal"/>
    <w:next w:val="Normal"/>
    <w:link w:val="TitleChar"/>
    <w:uiPriority w:val="10"/>
    <w:qFormat/>
    <w:rsid w:val="00FC693F"/>
    <w:pPr>
      <w:contextualSpacing/>
    </w:pPr>
    <w:rPr>
      <w:rFonts w:eastAsia="Times New Roman" w:cstheme="majorBidi"/>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imes New Roman"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heme="majorBidi"/>
        <w:b/>
        <w:bCs/>
      </w:rPr>
    </w:tblStylePr>
    <w:tblStylePr w:type="lastCol">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Portfolio Reflection</dc:title>
  <dc:subject>Module Eight Journal on Secure Coding</dc:subject>
  <dc:creator>Tre Olson</dc:creator>
  <cp:keywords/>
  <dc:description>generated by python-docx</dc:description>
  <cp:lastModifiedBy>Olson, Tre</cp:lastModifiedBy>
  <cp:revision>2</cp:revision>
  <dcterms:created xsi:type="dcterms:W3CDTF">2013-12-23T23:15:00Z</dcterms:created>
  <dcterms:modified xsi:type="dcterms:W3CDTF">2026-10-25T20:10:00Z</dcterms:modified>
  <cp:category/>
</cp:coreProperties>
</file>