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FC3C8C" w14:textId="546DE992" w:rsidR="00F2639C" w:rsidRDefault="00BE2C4E">
      <w:pPr>
        <w:pStyle w:val="Title"/>
      </w:pPr>
      <w:r>
        <w:t>Comprehensive Report on Shipping Cost Coverage and Pricing Strategy</w:t>
      </w:r>
      <w:r w:rsidR="00C1561C">
        <w:t xml:space="preserve"> Australia June 2024</w:t>
      </w:r>
    </w:p>
    <w:p w14:paraId="2AAB8A85" w14:textId="77777777" w:rsidR="00F2639C" w:rsidRDefault="00BE2C4E">
      <w:pPr>
        <w:pStyle w:val="Heading1"/>
      </w:pPr>
      <w:r>
        <w:t>Introduction</w:t>
      </w:r>
    </w:p>
    <w:p w14:paraId="11EDEAFC" w14:textId="18A724EF" w:rsidR="00F2639C" w:rsidRPr="00976DBD" w:rsidRDefault="00BE2C4E">
      <w:pPr>
        <w:rPr>
          <w:i/>
          <w:iCs/>
        </w:rPr>
      </w:pPr>
      <w:r>
        <w:t>This report provides an analysis of the current shipping cost coverage and pricing strategy. The goal is to ensure that the shipping costs are adequately covered without significantly impacting overall revenues. The analysis includes key metrics, observations, and recommendations for optimizing the pricing strategy.</w:t>
      </w:r>
      <w:r w:rsidR="00976DBD">
        <w:t xml:space="preserve"> </w:t>
      </w:r>
      <w:r w:rsidR="00976DBD" w:rsidRPr="00976DBD">
        <w:rPr>
          <w:i/>
          <w:iCs/>
        </w:rPr>
        <w:t xml:space="preserve">The numbers may be </w:t>
      </w:r>
      <w:r w:rsidR="00976DBD">
        <w:rPr>
          <w:i/>
          <w:iCs/>
        </w:rPr>
        <w:t xml:space="preserve">slightly </w:t>
      </w:r>
      <w:r w:rsidR="00976DBD" w:rsidRPr="00976DBD">
        <w:rPr>
          <w:i/>
          <w:iCs/>
        </w:rPr>
        <w:t>skewed because of the data accuracy</w:t>
      </w:r>
      <w:r w:rsidR="00EB61D1">
        <w:rPr>
          <w:i/>
          <w:iCs/>
        </w:rPr>
        <w:t xml:space="preserve"> in </w:t>
      </w:r>
      <w:proofErr w:type="spellStart"/>
      <w:r w:rsidR="00EB61D1">
        <w:rPr>
          <w:i/>
          <w:iCs/>
        </w:rPr>
        <w:t>shopify</w:t>
      </w:r>
      <w:proofErr w:type="spellEnd"/>
      <w:r w:rsidR="00976DBD" w:rsidRPr="00976DBD">
        <w:rPr>
          <w:i/>
          <w:iCs/>
        </w:rPr>
        <w:t>.</w:t>
      </w:r>
    </w:p>
    <w:p w14:paraId="6F5C70C7" w14:textId="77777777" w:rsidR="00F2639C" w:rsidRDefault="00BE2C4E">
      <w:pPr>
        <w:pStyle w:val="Heading1"/>
      </w:pPr>
      <w:r>
        <w:t>Key Metrics</w:t>
      </w:r>
    </w:p>
    <w:p w14:paraId="485F7B14" w14:textId="77777777" w:rsidR="00F2639C" w:rsidRDefault="00BE2C4E">
      <w:r>
        <w:t>The key metrics derived from the analysis are as follows:</w:t>
      </w:r>
    </w:p>
    <w:tbl>
      <w:tblPr>
        <w:tblStyle w:val="TableGrid"/>
        <w:tblW w:w="0" w:type="auto"/>
        <w:tblLook w:val="04A0" w:firstRow="1" w:lastRow="0" w:firstColumn="1" w:lastColumn="0" w:noHBand="0" w:noVBand="1"/>
      </w:tblPr>
      <w:tblGrid>
        <w:gridCol w:w="4404"/>
        <w:gridCol w:w="4404"/>
      </w:tblGrid>
      <w:tr w:rsidR="00F2639C" w14:paraId="1A27FC02" w14:textId="77777777" w:rsidTr="00976DBD">
        <w:trPr>
          <w:trHeight w:val="322"/>
        </w:trPr>
        <w:tc>
          <w:tcPr>
            <w:tcW w:w="4404" w:type="dxa"/>
          </w:tcPr>
          <w:p w14:paraId="1201809D" w14:textId="77777777" w:rsidR="00F2639C" w:rsidRDefault="00BE2C4E">
            <w:r>
              <w:t>Adjusted Increase Percentage</w:t>
            </w:r>
          </w:p>
        </w:tc>
        <w:tc>
          <w:tcPr>
            <w:tcW w:w="4404" w:type="dxa"/>
          </w:tcPr>
          <w:p w14:paraId="5EAFD269" w14:textId="7D82BB46" w:rsidR="00F2639C" w:rsidRPr="00FE622E" w:rsidRDefault="00976DBD">
            <w:pPr>
              <w:rPr>
                <w:b/>
                <w:bCs/>
              </w:rPr>
            </w:pPr>
            <w:r>
              <w:rPr>
                <w:b/>
                <w:bCs/>
              </w:rPr>
              <w:t>6</w:t>
            </w:r>
            <w:r w:rsidR="00BE2C4E" w:rsidRPr="00FE622E">
              <w:rPr>
                <w:b/>
                <w:bCs/>
              </w:rPr>
              <w:t>.</w:t>
            </w:r>
            <w:r>
              <w:rPr>
                <w:b/>
                <w:bCs/>
              </w:rPr>
              <w:t>04</w:t>
            </w:r>
            <w:r w:rsidR="00BE2C4E" w:rsidRPr="00FE622E">
              <w:rPr>
                <w:b/>
                <w:bCs/>
              </w:rPr>
              <w:t>%</w:t>
            </w:r>
          </w:p>
        </w:tc>
      </w:tr>
      <w:tr w:rsidR="00F2639C" w14:paraId="3E22A75B" w14:textId="77777777" w:rsidTr="00976DBD">
        <w:trPr>
          <w:trHeight w:val="322"/>
        </w:trPr>
        <w:tc>
          <w:tcPr>
            <w:tcW w:w="4404" w:type="dxa"/>
          </w:tcPr>
          <w:p w14:paraId="0AFBA7DB" w14:textId="77777777" w:rsidR="00F2639C" w:rsidRDefault="00BE2C4E">
            <w:r>
              <w:t>Orders Covering Shipping Costs</w:t>
            </w:r>
          </w:p>
        </w:tc>
        <w:tc>
          <w:tcPr>
            <w:tcW w:w="4404" w:type="dxa"/>
          </w:tcPr>
          <w:p w14:paraId="736328D7" w14:textId="522BDF59" w:rsidR="00F2639C" w:rsidRDefault="00976DBD">
            <w:r>
              <w:t>648</w:t>
            </w:r>
          </w:p>
        </w:tc>
      </w:tr>
      <w:tr w:rsidR="00F2639C" w14:paraId="7A7E3566" w14:textId="77777777" w:rsidTr="00976DBD">
        <w:trPr>
          <w:trHeight w:val="309"/>
        </w:trPr>
        <w:tc>
          <w:tcPr>
            <w:tcW w:w="4404" w:type="dxa"/>
          </w:tcPr>
          <w:p w14:paraId="527B3396" w14:textId="77777777" w:rsidR="00F2639C" w:rsidRDefault="00BE2C4E">
            <w:r>
              <w:t>Total True Coverage Difference</w:t>
            </w:r>
          </w:p>
        </w:tc>
        <w:tc>
          <w:tcPr>
            <w:tcW w:w="4404" w:type="dxa"/>
          </w:tcPr>
          <w:p w14:paraId="5B76E00D" w14:textId="340EB006" w:rsidR="00F2639C" w:rsidRDefault="00BE2C4E">
            <w:r>
              <w:t>$</w:t>
            </w:r>
            <w:r w:rsidR="00976DBD">
              <w:t>72,481.26</w:t>
            </w:r>
          </w:p>
        </w:tc>
      </w:tr>
      <w:tr w:rsidR="00F2639C" w14:paraId="4D519257" w14:textId="77777777" w:rsidTr="00976DBD">
        <w:trPr>
          <w:trHeight w:val="322"/>
        </w:trPr>
        <w:tc>
          <w:tcPr>
            <w:tcW w:w="4404" w:type="dxa"/>
          </w:tcPr>
          <w:p w14:paraId="56D392B9" w14:textId="77777777" w:rsidR="00F2639C" w:rsidRDefault="00BE2C4E">
            <w:r>
              <w:t>Orders Not Covering Shipping Costs</w:t>
            </w:r>
          </w:p>
        </w:tc>
        <w:tc>
          <w:tcPr>
            <w:tcW w:w="4404" w:type="dxa"/>
          </w:tcPr>
          <w:p w14:paraId="0DB0A90A" w14:textId="390408A6" w:rsidR="00F2639C" w:rsidRDefault="00976DBD">
            <w:r>
              <w:t>28</w:t>
            </w:r>
          </w:p>
        </w:tc>
      </w:tr>
      <w:tr w:rsidR="00F2639C" w14:paraId="48BAF489" w14:textId="77777777" w:rsidTr="00976DBD">
        <w:trPr>
          <w:trHeight w:val="322"/>
        </w:trPr>
        <w:tc>
          <w:tcPr>
            <w:tcW w:w="4404" w:type="dxa"/>
          </w:tcPr>
          <w:p w14:paraId="4D67E5CD" w14:textId="77777777" w:rsidR="00F2639C" w:rsidRDefault="00BE2C4E">
            <w:r>
              <w:t>Total False Coverage Difference</w:t>
            </w:r>
          </w:p>
        </w:tc>
        <w:tc>
          <w:tcPr>
            <w:tcW w:w="4404" w:type="dxa"/>
          </w:tcPr>
          <w:p w14:paraId="25E7CD47" w14:textId="025ED985" w:rsidR="00F2639C" w:rsidRDefault="00976DBD">
            <w:r>
              <w:t>$3,394.29</w:t>
            </w:r>
          </w:p>
        </w:tc>
      </w:tr>
      <w:tr w:rsidR="00976DBD" w14:paraId="3E595118" w14:textId="77777777" w:rsidTr="00976DBD">
        <w:trPr>
          <w:trHeight w:val="322"/>
        </w:trPr>
        <w:tc>
          <w:tcPr>
            <w:tcW w:w="4404" w:type="dxa"/>
          </w:tcPr>
          <w:p w14:paraId="14A4AC9A" w14:textId="420F420F" w:rsidR="00976DBD" w:rsidRDefault="00976DBD">
            <w:r w:rsidRPr="00976DBD">
              <w:rPr>
                <w:rStyle w:val="Strong"/>
                <w:b w:val="0"/>
                <w:bCs w:val="0"/>
              </w:rPr>
              <w:t>Net Positive Coverage Difference</w:t>
            </w:r>
            <w:r w:rsidRPr="00976DBD">
              <w:rPr>
                <w:b/>
                <w:bCs/>
              </w:rPr>
              <w:t>:</w:t>
            </w:r>
            <w:r>
              <w:t xml:space="preserve"> </w:t>
            </w:r>
          </w:p>
        </w:tc>
        <w:tc>
          <w:tcPr>
            <w:tcW w:w="4404" w:type="dxa"/>
          </w:tcPr>
          <w:p w14:paraId="637FF14F" w14:textId="5E661456" w:rsidR="00976DBD" w:rsidRDefault="00976DBD">
            <w:r>
              <w:t>$72,481.26</w:t>
            </w:r>
          </w:p>
        </w:tc>
      </w:tr>
      <w:tr w:rsidR="00976DBD" w14:paraId="538B0437" w14:textId="77777777" w:rsidTr="00976DBD">
        <w:trPr>
          <w:trHeight w:val="322"/>
        </w:trPr>
        <w:tc>
          <w:tcPr>
            <w:tcW w:w="4404" w:type="dxa"/>
          </w:tcPr>
          <w:p w14:paraId="0388E70E" w14:textId="1B7FF52A" w:rsidR="00976DBD" w:rsidRPr="00976DBD" w:rsidRDefault="00976DBD">
            <w:pPr>
              <w:rPr>
                <w:b/>
                <w:bCs/>
              </w:rPr>
            </w:pPr>
            <w:r w:rsidRPr="00976DBD">
              <w:rPr>
                <w:rStyle w:val="Strong"/>
                <w:b w:val="0"/>
                <w:bCs w:val="0"/>
              </w:rPr>
              <w:t>Total Shipping Costs</w:t>
            </w:r>
            <w:r w:rsidRPr="00976DBD">
              <w:rPr>
                <w:b/>
                <w:bCs/>
              </w:rPr>
              <w:t xml:space="preserve">: </w:t>
            </w:r>
          </w:p>
        </w:tc>
        <w:tc>
          <w:tcPr>
            <w:tcW w:w="4404" w:type="dxa"/>
          </w:tcPr>
          <w:p w14:paraId="3614B5B0" w14:textId="16ED0BBA" w:rsidR="00976DBD" w:rsidRDefault="00976DBD">
            <w:r>
              <w:t>$32,914.88</w:t>
            </w:r>
          </w:p>
        </w:tc>
      </w:tr>
    </w:tbl>
    <w:p w14:paraId="4743FA25" w14:textId="77777777" w:rsidR="00F2639C" w:rsidRDefault="00BE2C4E">
      <w:pPr>
        <w:pStyle w:val="Heading1"/>
      </w:pPr>
      <w:r>
        <w:t>Observations</w:t>
      </w:r>
    </w:p>
    <w:p w14:paraId="15E03722" w14:textId="77777777" w:rsidR="00F2639C" w:rsidRDefault="00BE2C4E">
      <w:r>
        <w:t>The analysis of the adjusted increase percentage and shipping cost coverage has led to the following observations:</w:t>
      </w:r>
    </w:p>
    <w:p w14:paraId="3F75E579" w14:textId="0A9E468F" w:rsidR="00BE2C4E" w:rsidRDefault="00BE2C4E">
      <w:r>
        <w:rPr>
          <w:b/>
        </w:rPr>
        <w:t xml:space="preserve">1. High True Coverage Difference: </w:t>
      </w:r>
      <w:r>
        <w:t>The total additional revenue from orders covering shipping costs ($</w:t>
      </w:r>
      <w:r w:rsidR="00976DBD">
        <w:t>72,481.26</w:t>
      </w:r>
      <w:r>
        <w:t>) significantly exceeds the shortfall from orders not covering shipping costs (</w:t>
      </w:r>
      <w:r w:rsidR="00976DBD">
        <w:t>$3,394.29</w:t>
      </w:r>
      <w:r>
        <w:t xml:space="preserve">). This indicates a net positive impact on overall revenue due to the </w:t>
      </w:r>
      <w:r w:rsidR="00976DBD">
        <w:t>6</w:t>
      </w:r>
      <w:r>
        <w:t>.</w:t>
      </w:r>
      <w:r w:rsidR="00976DBD">
        <w:t>04</w:t>
      </w:r>
      <w:r>
        <w:t>% increase.</w:t>
      </w:r>
    </w:p>
    <w:p w14:paraId="55AFD716" w14:textId="23DA8F6E" w:rsidR="00F2639C" w:rsidRDefault="00BE2C4E">
      <w:r>
        <w:rPr>
          <w:b/>
        </w:rPr>
        <w:br/>
        <w:t xml:space="preserve">2. Small Orders Impact: </w:t>
      </w:r>
      <w:r>
        <w:t xml:space="preserve">Smaller orders tend to have higher shipping costs relative to their subtotal, leading to a higher percentage increase needed to cover these costs. </w:t>
      </w:r>
      <w:r w:rsidRPr="00976DBD">
        <w:rPr>
          <w:highlight w:val="yellow"/>
        </w:rPr>
        <w:t xml:space="preserve">Smaller orders make up a </w:t>
      </w:r>
      <w:r w:rsidR="00C1561C">
        <w:rPr>
          <w:highlight w:val="yellow"/>
        </w:rPr>
        <w:t>relevant</w:t>
      </w:r>
      <w:r w:rsidRPr="00976DBD">
        <w:rPr>
          <w:highlight w:val="yellow"/>
        </w:rPr>
        <w:t xml:space="preserve"> portion of the orders not covering shipping costs.</w:t>
      </w:r>
    </w:p>
    <w:p w14:paraId="3E6D793C" w14:textId="77777777" w:rsidR="00C1561C" w:rsidRDefault="00C1561C"/>
    <w:p w14:paraId="4B3392D0" w14:textId="5CDDAF0B" w:rsidR="00C1561C" w:rsidRDefault="00C1561C" w:rsidP="0090264D">
      <w:pPr>
        <w:pStyle w:val="Heading1"/>
      </w:pPr>
      <w:r>
        <w:lastRenderedPageBreak/>
        <w:t>Conclusion</w:t>
      </w:r>
    </w:p>
    <w:p w14:paraId="3C896209" w14:textId="77777777" w:rsidR="0090264D" w:rsidRPr="0090264D" w:rsidRDefault="0090264D" w:rsidP="0090264D"/>
    <w:p w14:paraId="35AFD48C" w14:textId="6BCCDE39" w:rsidR="00C1561C" w:rsidRDefault="007D67A7">
      <w:r>
        <w:t xml:space="preserve">Implementing a </w:t>
      </w:r>
      <w:r w:rsidRPr="007D67A7">
        <w:rPr>
          <w:b/>
          <w:bCs/>
        </w:rPr>
        <w:t>6.04%</w:t>
      </w:r>
      <w:r>
        <w:t xml:space="preserve"> required increase is a solid initial step towards offering free shipping for states with lower shipping costs. This strategy could be well-received by customers, especially since the majority are located within the free shipping zone. While this move is likely to enhance customer satisfaction in the short term, it is important to consider that a more refined pricing strategy may be needed in the long run to balance costs and maximize profitability.</w:t>
      </w:r>
    </w:p>
    <w:p w14:paraId="327E4A1D" w14:textId="77777777" w:rsidR="00976DBD" w:rsidRDefault="00976DBD"/>
    <w:p w14:paraId="4F7C2D74" w14:textId="77777777" w:rsidR="00C1561C" w:rsidRDefault="00C1561C" w:rsidP="00C1561C">
      <w:pPr>
        <w:pStyle w:val="Heading1"/>
      </w:pPr>
      <w:r>
        <w:t>Recommendations for Next Steps</w:t>
      </w:r>
    </w:p>
    <w:p w14:paraId="69E8A3AA" w14:textId="77777777" w:rsidR="00C1561C" w:rsidRDefault="00C1561C" w:rsidP="00C1561C">
      <w:r>
        <w:t>Based on the findings, the following recommendations are proposed to optimize the pricing strategy and improve shipping cost coverage:</w:t>
      </w:r>
    </w:p>
    <w:p w14:paraId="1CDB9983" w14:textId="2D762E83" w:rsidR="00C1561C" w:rsidRDefault="00C1561C" w:rsidP="00C1561C">
      <w:r>
        <w:rPr>
          <w:b/>
        </w:rPr>
        <w:t xml:space="preserve">1. Minimum Order Value for Free Shipping: </w:t>
      </w:r>
      <w:r>
        <w:rPr>
          <w:bCs/>
        </w:rPr>
        <w:t xml:space="preserve">As alternative </w:t>
      </w:r>
      <w:r>
        <w:t>implement a minimum order value to qualify for free shipping, encouraging larger orders and reducing the impact of high shipping costs on small orders.</w:t>
      </w:r>
    </w:p>
    <w:p w14:paraId="632BD0F0" w14:textId="2C3D99EF" w:rsidR="00C1561C" w:rsidRDefault="00C1561C" w:rsidP="00C1561C">
      <w:pPr>
        <w:pStyle w:val="Heading1"/>
      </w:pPr>
      <w:r>
        <w:t>Required Increase Percentage Imbalance</w:t>
      </w:r>
    </w:p>
    <w:p w14:paraId="054FF899" w14:textId="77777777" w:rsidR="00C1561C" w:rsidRDefault="00C1561C"/>
    <w:p w14:paraId="11B2D652" w14:textId="7CD3E688" w:rsidR="00C1561C" w:rsidRDefault="00C1561C">
      <w:r>
        <w:t xml:space="preserve">The small orders </w:t>
      </w:r>
      <w:proofErr w:type="gramStart"/>
      <w:r>
        <w:t>needs</w:t>
      </w:r>
      <w:proofErr w:type="gramEnd"/>
      <w:r>
        <w:t xml:space="preserve"> a balanced increase on the pricing distribution.</w:t>
      </w:r>
    </w:p>
    <w:p w14:paraId="730629C9" w14:textId="4E7E025A" w:rsidR="00C1561C" w:rsidRDefault="00C1561C">
      <w:pPr>
        <w:pStyle w:val="Heading1"/>
      </w:pPr>
      <w:r w:rsidRPr="00C1561C">
        <w:rPr>
          <w:noProof/>
        </w:rPr>
        <w:drawing>
          <wp:inline distT="0" distB="0" distL="0" distR="0" wp14:anchorId="532D0AB0" wp14:editId="527937AF">
            <wp:extent cx="4584700" cy="2951399"/>
            <wp:effectExtent l="0" t="0" r="635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87823" cy="2953409"/>
                    </a:xfrm>
                    <a:prstGeom prst="rect">
                      <a:avLst/>
                    </a:prstGeom>
                  </pic:spPr>
                </pic:pic>
              </a:graphicData>
            </a:graphic>
          </wp:inline>
        </w:drawing>
      </w:r>
    </w:p>
    <w:p w14:paraId="03E678F2" w14:textId="77777777" w:rsidR="00C1561C" w:rsidRDefault="00C1561C" w:rsidP="00C1561C"/>
    <w:p w14:paraId="2D70149D" w14:textId="04FA3889" w:rsidR="00C1561C" w:rsidRDefault="00C1561C" w:rsidP="00C1561C">
      <w:pPr>
        <w:pStyle w:val="Heading1"/>
      </w:pPr>
      <w:r>
        <w:lastRenderedPageBreak/>
        <w:t>Imbalance of the cost distribution for the customer</w:t>
      </w:r>
    </w:p>
    <w:p w14:paraId="3FD3A21A" w14:textId="77777777" w:rsidR="00C1561C" w:rsidRDefault="00C1561C" w:rsidP="00C1561C"/>
    <w:p w14:paraId="34FEA756" w14:textId="70B002B1" w:rsidR="00C1561C" w:rsidRDefault="00C1561C" w:rsidP="00C1561C">
      <w:r>
        <w:t xml:space="preserve">Having a weighted </w:t>
      </w:r>
      <w:proofErr w:type="spellStart"/>
      <w:r>
        <w:t>averaged</w:t>
      </w:r>
      <w:proofErr w:type="spellEnd"/>
      <w:r>
        <w:t xml:space="preserve"> price increase may </w:t>
      </w:r>
      <w:proofErr w:type="gramStart"/>
      <w:r>
        <w:t>effect</w:t>
      </w:r>
      <w:proofErr w:type="gramEnd"/>
      <w:r>
        <w:t xml:space="preserve"> some customers more than others.</w:t>
      </w:r>
    </w:p>
    <w:p w14:paraId="0085F0B6" w14:textId="77777777" w:rsidR="00C1561C" w:rsidRPr="00C1561C" w:rsidRDefault="00C1561C" w:rsidP="00C1561C"/>
    <w:p w14:paraId="12E456AC" w14:textId="5CDDAF0B" w:rsidR="006231D0" w:rsidRPr="00C1561C" w:rsidRDefault="00C1561C" w:rsidP="00C1561C">
      <w:r w:rsidRPr="00C1561C">
        <w:rPr>
          <w:noProof/>
        </w:rPr>
        <w:drawing>
          <wp:inline distT="0" distB="0" distL="0" distR="0" wp14:anchorId="04C9743C" wp14:editId="613C4EBF">
            <wp:extent cx="5486400" cy="35318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3531870"/>
                    </a:xfrm>
                    <a:prstGeom prst="rect">
                      <a:avLst/>
                    </a:prstGeom>
                  </pic:spPr>
                </pic:pic>
              </a:graphicData>
            </a:graphic>
          </wp:inline>
        </w:drawing>
      </w:r>
    </w:p>
    <w:sectPr w:rsidR="006231D0" w:rsidRPr="00C1561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57586729">
    <w:abstractNumId w:val="8"/>
  </w:num>
  <w:num w:numId="2" w16cid:durableId="1485976364">
    <w:abstractNumId w:val="6"/>
  </w:num>
  <w:num w:numId="3" w16cid:durableId="255017772">
    <w:abstractNumId w:val="5"/>
  </w:num>
  <w:num w:numId="4" w16cid:durableId="145704837">
    <w:abstractNumId w:val="4"/>
  </w:num>
  <w:num w:numId="5" w16cid:durableId="1274559764">
    <w:abstractNumId w:val="7"/>
  </w:num>
  <w:num w:numId="6" w16cid:durableId="1478453629">
    <w:abstractNumId w:val="3"/>
  </w:num>
  <w:num w:numId="7" w16cid:durableId="546649168">
    <w:abstractNumId w:val="2"/>
  </w:num>
  <w:num w:numId="8" w16cid:durableId="1556700570">
    <w:abstractNumId w:val="1"/>
  </w:num>
  <w:num w:numId="9" w16cid:durableId="1258962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231D0"/>
    <w:rsid w:val="007D67A7"/>
    <w:rsid w:val="0090264D"/>
    <w:rsid w:val="009102FB"/>
    <w:rsid w:val="00976DBD"/>
    <w:rsid w:val="00AA1D8D"/>
    <w:rsid w:val="00B47730"/>
    <w:rsid w:val="00BE2C4E"/>
    <w:rsid w:val="00C1561C"/>
    <w:rsid w:val="00CB0664"/>
    <w:rsid w:val="00D5353F"/>
    <w:rsid w:val="00DE3B62"/>
    <w:rsid w:val="00EB61D1"/>
    <w:rsid w:val="00F2639C"/>
    <w:rsid w:val="00FC693F"/>
    <w:rsid w:val="00FE62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88E70E"/>
  <w14:defaultImageDpi w14:val="300"/>
  <w15:docId w15:val="{A7CDA67D-9C00-427A-AAFD-2F11BC26B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837517">
      <w:bodyDiv w:val="1"/>
      <w:marLeft w:val="0"/>
      <w:marRight w:val="0"/>
      <w:marTop w:val="0"/>
      <w:marBottom w:val="0"/>
      <w:divBdr>
        <w:top w:val="none" w:sz="0" w:space="0" w:color="auto"/>
        <w:left w:val="none" w:sz="0" w:space="0" w:color="auto"/>
        <w:bottom w:val="none" w:sz="0" w:space="0" w:color="auto"/>
        <w:right w:val="none" w:sz="0" w:space="0" w:color="auto"/>
      </w:divBdr>
    </w:div>
    <w:div w:id="360470753">
      <w:bodyDiv w:val="1"/>
      <w:marLeft w:val="0"/>
      <w:marRight w:val="0"/>
      <w:marTop w:val="0"/>
      <w:marBottom w:val="0"/>
      <w:divBdr>
        <w:top w:val="none" w:sz="0" w:space="0" w:color="auto"/>
        <w:left w:val="none" w:sz="0" w:space="0" w:color="auto"/>
        <w:bottom w:val="none" w:sz="0" w:space="0" w:color="auto"/>
        <w:right w:val="none" w:sz="0" w:space="0" w:color="auto"/>
      </w:divBdr>
    </w:div>
    <w:div w:id="769395542">
      <w:bodyDiv w:val="1"/>
      <w:marLeft w:val="0"/>
      <w:marRight w:val="0"/>
      <w:marTop w:val="0"/>
      <w:marBottom w:val="0"/>
      <w:divBdr>
        <w:top w:val="none" w:sz="0" w:space="0" w:color="auto"/>
        <w:left w:val="none" w:sz="0" w:space="0" w:color="auto"/>
        <w:bottom w:val="none" w:sz="0" w:space="0" w:color="auto"/>
        <w:right w:val="none" w:sz="0" w:space="0" w:color="auto"/>
      </w:divBdr>
    </w:div>
    <w:div w:id="1184318029">
      <w:bodyDiv w:val="1"/>
      <w:marLeft w:val="0"/>
      <w:marRight w:val="0"/>
      <w:marTop w:val="0"/>
      <w:marBottom w:val="0"/>
      <w:divBdr>
        <w:top w:val="none" w:sz="0" w:space="0" w:color="auto"/>
        <w:left w:val="none" w:sz="0" w:space="0" w:color="auto"/>
        <w:bottom w:val="none" w:sz="0" w:space="0" w:color="auto"/>
        <w:right w:val="none" w:sz="0" w:space="0" w:color="auto"/>
      </w:divBdr>
    </w:div>
    <w:div w:id="1398892747">
      <w:bodyDiv w:val="1"/>
      <w:marLeft w:val="0"/>
      <w:marRight w:val="0"/>
      <w:marTop w:val="0"/>
      <w:marBottom w:val="0"/>
      <w:divBdr>
        <w:top w:val="none" w:sz="0" w:space="0" w:color="auto"/>
        <w:left w:val="none" w:sz="0" w:space="0" w:color="auto"/>
        <w:bottom w:val="none" w:sz="0" w:space="0" w:color="auto"/>
        <w:right w:val="none" w:sz="0" w:space="0" w:color="auto"/>
      </w:divBdr>
    </w:div>
    <w:div w:id="209014815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3</Pages>
  <Words>392</Words>
  <Characters>2241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2628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Olcay Bolat</cp:lastModifiedBy>
  <cp:revision>8</cp:revision>
  <dcterms:created xsi:type="dcterms:W3CDTF">2013-12-23T23:15:00Z</dcterms:created>
  <dcterms:modified xsi:type="dcterms:W3CDTF">2024-07-23T14:08:00Z</dcterms:modified>
  <cp:category/>
</cp:coreProperties>
</file>