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Expensive Orders Analysis Report</w:t>
      </w:r>
    </w:p>
    <w:p>
      <w:pPr>
        <w:pStyle w:val="Heading1"/>
      </w:pPr>
      <w:r>
        <w:t>Summary of Analyses</w:t>
      </w:r>
    </w:p>
    <w:p>
      <w:pPr>
        <w:pStyle w:val="Heading2"/>
      </w:pPr>
      <w:r>
        <w:t>Expensive Ratios per State from K-means Clustering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State</w:t>
            </w:r>
          </w:p>
        </w:tc>
        <w:tc>
          <w:tcPr>
            <w:tcW w:type="dxa" w:w="4320"/>
          </w:tcPr>
          <w:p>
            <w:r>
              <w:t>Expensive Ratio</w:t>
            </w:r>
          </w:p>
        </w:tc>
      </w:tr>
      <w:tr>
        <w:tc>
          <w:tcPr>
            <w:tcW w:type="dxa" w:w="4320"/>
          </w:tcPr>
          <w:p>
            <w:r>
              <w:t>Australian Capital Territory</w:t>
            </w:r>
          </w:p>
        </w:tc>
        <w:tc>
          <w:tcPr>
            <w:tcW w:type="dxa" w:w="4320"/>
          </w:tcPr>
          <w:p>
            <w:r>
              <w:t>0.38095238095238093</w:t>
            </w:r>
          </w:p>
        </w:tc>
      </w:tr>
      <w:tr>
        <w:tc>
          <w:tcPr>
            <w:tcW w:type="dxa" w:w="4320"/>
          </w:tcPr>
          <w:p>
            <w:r>
              <w:t>New South Wales</w:t>
            </w:r>
          </w:p>
        </w:tc>
        <w:tc>
          <w:tcPr>
            <w:tcW w:type="dxa" w:w="4320"/>
          </w:tcPr>
          <w:p>
            <w:r>
              <w:t>0.1919191919191919</w:t>
            </w:r>
          </w:p>
        </w:tc>
      </w:tr>
      <w:tr>
        <w:tc>
          <w:tcPr>
            <w:tcW w:type="dxa" w:w="4320"/>
          </w:tcPr>
          <w:p>
            <w:r>
              <w:t>New Zealand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Northern Territory</w:t>
            </w:r>
          </w:p>
        </w:tc>
        <w:tc>
          <w:tcPr>
            <w:tcW w:type="dxa" w:w="4320"/>
          </w:tcPr>
          <w:p>
            <w:r>
              <w:t>0.6</w:t>
            </w:r>
          </w:p>
        </w:tc>
      </w:tr>
      <w:tr>
        <w:tc>
          <w:tcPr>
            <w:tcW w:type="dxa" w:w="4320"/>
          </w:tcPr>
          <w:p>
            <w:r>
              <w:t>Queensland</w:t>
            </w:r>
          </w:p>
        </w:tc>
        <w:tc>
          <w:tcPr>
            <w:tcW w:type="dxa" w:w="4320"/>
          </w:tcPr>
          <w:p>
            <w:r>
              <w:t>0.144</w:t>
            </w:r>
          </w:p>
        </w:tc>
      </w:tr>
      <w:tr>
        <w:tc>
          <w:tcPr>
            <w:tcW w:type="dxa" w:w="4320"/>
          </w:tcPr>
          <w:p>
            <w:r>
              <w:t>South Australia</w:t>
            </w:r>
          </w:p>
        </w:tc>
        <w:tc>
          <w:tcPr>
            <w:tcW w:type="dxa" w:w="4320"/>
          </w:tcPr>
          <w:p>
            <w:r>
              <w:t>0.37209302325581395</w:t>
            </w:r>
          </w:p>
        </w:tc>
      </w:tr>
      <w:tr>
        <w:tc>
          <w:tcPr>
            <w:tcW w:type="dxa" w:w="4320"/>
          </w:tcPr>
          <w:p>
            <w:r>
              <w:t>Tasmania</w:t>
            </w:r>
          </w:p>
        </w:tc>
        <w:tc>
          <w:tcPr>
            <w:tcW w:type="dxa" w:w="4320"/>
          </w:tcPr>
          <w:p>
            <w:r>
              <w:t>0.3684210526315789</w:t>
            </w:r>
          </w:p>
        </w:tc>
      </w:tr>
      <w:tr>
        <w:tc>
          <w:tcPr>
            <w:tcW w:type="dxa" w:w="4320"/>
          </w:tcPr>
          <w:p>
            <w:r>
              <w:t>Victoria</w:t>
            </w:r>
          </w:p>
        </w:tc>
        <w:tc>
          <w:tcPr>
            <w:tcW w:type="dxa" w:w="4320"/>
          </w:tcPr>
          <w:p>
            <w:r>
              <w:t>0.25</w:t>
            </w:r>
          </w:p>
        </w:tc>
      </w:tr>
      <w:tr>
        <w:tc>
          <w:tcPr>
            <w:tcW w:type="dxa" w:w="4320"/>
          </w:tcPr>
          <w:p>
            <w:r>
              <w:t>Western Australia</w:t>
            </w:r>
          </w:p>
        </w:tc>
        <w:tc>
          <w:tcPr>
            <w:tcW w:type="dxa" w:w="4320"/>
          </w:tcPr>
          <w:p>
            <w:r>
              <w:t>0.3402061855670103</w:t>
            </w:r>
          </w:p>
        </w:tc>
      </w:tr>
    </w:tbl>
    <w:p>
      <w:pPr>
        <w:pStyle w:val="Heading2"/>
      </w:pPr>
      <w:r>
        <w:t>Predicted Expensive Ratios per State using Gradient Boosting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State</w:t>
            </w:r>
          </w:p>
        </w:tc>
        <w:tc>
          <w:tcPr>
            <w:tcW w:type="dxa" w:w="4320"/>
          </w:tcPr>
          <w:p>
            <w:r>
              <w:t>Predicted Expensive Ratio</w:t>
            </w:r>
          </w:p>
        </w:tc>
      </w:tr>
      <w:tr>
        <w:tc>
          <w:tcPr>
            <w:tcW w:type="dxa" w:w="4320"/>
          </w:tcPr>
          <w:p>
            <w:r>
              <w:t>Australian Capital Territory</w:t>
            </w:r>
          </w:p>
        </w:tc>
        <w:tc>
          <w:tcPr>
            <w:tcW w:type="dxa" w:w="4320"/>
          </w:tcPr>
          <w:p>
            <w:r>
              <w:t>0.38095238095238093</w:t>
            </w:r>
          </w:p>
        </w:tc>
      </w:tr>
      <w:tr>
        <w:tc>
          <w:tcPr>
            <w:tcW w:type="dxa" w:w="4320"/>
          </w:tcPr>
          <w:p>
            <w:r>
              <w:t>New South Wales</w:t>
            </w:r>
          </w:p>
        </w:tc>
        <w:tc>
          <w:tcPr>
            <w:tcW w:type="dxa" w:w="4320"/>
          </w:tcPr>
          <w:p>
            <w:r>
              <w:t>0.19696969696969696</w:t>
            </w:r>
          </w:p>
        </w:tc>
      </w:tr>
      <w:tr>
        <w:tc>
          <w:tcPr>
            <w:tcW w:type="dxa" w:w="4320"/>
          </w:tcPr>
          <w:p>
            <w:r>
              <w:t>New Zealand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Northern Territory</w:t>
            </w:r>
          </w:p>
        </w:tc>
        <w:tc>
          <w:tcPr>
            <w:tcW w:type="dxa" w:w="4320"/>
          </w:tcPr>
          <w:p>
            <w:r>
              <w:t>0.6</w:t>
            </w:r>
          </w:p>
        </w:tc>
      </w:tr>
      <w:tr>
        <w:tc>
          <w:tcPr>
            <w:tcW w:type="dxa" w:w="4320"/>
          </w:tcPr>
          <w:p>
            <w:r>
              <w:t>Queensland</w:t>
            </w:r>
          </w:p>
        </w:tc>
        <w:tc>
          <w:tcPr>
            <w:tcW w:type="dxa" w:w="4320"/>
          </w:tcPr>
          <w:p>
            <w:r>
              <w:t>0.144</w:t>
            </w:r>
          </w:p>
        </w:tc>
      </w:tr>
      <w:tr>
        <w:tc>
          <w:tcPr>
            <w:tcW w:type="dxa" w:w="4320"/>
          </w:tcPr>
          <w:p>
            <w:r>
              <w:t>South Australia</w:t>
            </w:r>
          </w:p>
        </w:tc>
        <w:tc>
          <w:tcPr>
            <w:tcW w:type="dxa" w:w="4320"/>
          </w:tcPr>
          <w:p>
            <w:r>
              <w:t>0.37209302325581395</w:t>
            </w:r>
          </w:p>
        </w:tc>
      </w:tr>
      <w:tr>
        <w:tc>
          <w:tcPr>
            <w:tcW w:type="dxa" w:w="4320"/>
          </w:tcPr>
          <w:p>
            <w:r>
              <w:t>Tasmania</w:t>
            </w:r>
          </w:p>
        </w:tc>
        <w:tc>
          <w:tcPr>
            <w:tcW w:type="dxa" w:w="4320"/>
          </w:tcPr>
          <w:p>
            <w:r>
              <w:t>0.3684210526315789</w:t>
            </w:r>
          </w:p>
        </w:tc>
      </w:tr>
      <w:tr>
        <w:tc>
          <w:tcPr>
            <w:tcW w:type="dxa" w:w="4320"/>
          </w:tcPr>
          <w:p>
            <w:r>
              <w:t>Victoria</w:t>
            </w:r>
          </w:p>
        </w:tc>
        <w:tc>
          <w:tcPr>
            <w:tcW w:type="dxa" w:w="4320"/>
          </w:tcPr>
          <w:p>
            <w:r>
              <w:t>0.25</w:t>
            </w:r>
          </w:p>
        </w:tc>
      </w:tr>
      <w:tr>
        <w:tc>
          <w:tcPr>
            <w:tcW w:type="dxa" w:w="4320"/>
          </w:tcPr>
          <w:p>
            <w:r>
              <w:t>Western Australia</w:t>
            </w:r>
          </w:p>
        </w:tc>
        <w:tc>
          <w:tcPr>
            <w:tcW w:type="dxa" w:w="4320"/>
          </w:tcPr>
          <w:p>
            <w:r>
              <w:t>0.3402061855670103</w:t>
            </w:r>
          </w:p>
        </w:tc>
      </w:tr>
    </w:tbl>
    <w:p>
      <w:pPr>
        <w:pStyle w:val="Heading2"/>
      </w:pPr>
      <w:r>
        <w:t>Feature Importance from Gradient Boosting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Importance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0.7937688946281836</w:t>
            </w:r>
          </w:p>
        </w:tc>
      </w:tr>
      <w:tr>
        <w:tc>
          <w:tcPr>
            <w:tcW w:type="dxa" w:w="4320"/>
          </w:tcPr>
          <w:p>
            <w:r>
              <w:t>State</w:t>
            </w:r>
          </w:p>
        </w:tc>
        <w:tc>
          <w:tcPr>
            <w:tcW w:type="dxa" w:w="4320"/>
          </w:tcPr>
          <w:p>
            <w:r>
              <w:t>0.08352739084499208</w:t>
            </w:r>
          </w:p>
        </w:tc>
      </w:tr>
      <w:tr>
        <w:tc>
          <w:tcPr>
            <w:tcW w:type="dxa" w:w="4320"/>
          </w:tcPr>
          <w:p>
            <w:r>
              <w:t>Domestic_Charge</w:t>
            </w:r>
          </w:p>
        </w:tc>
        <w:tc>
          <w:tcPr>
            <w:tcW w:type="dxa" w:w="4320"/>
          </w:tcPr>
          <w:p>
            <w:r>
              <w:t>0.039485103073474914</w:t>
            </w:r>
          </w:p>
        </w:tc>
      </w:tr>
      <w:tr>
        <w:tc>
          <w:tcPr>
            <w:tcW w:type="dxa" w:w="4320"/>
          </w:tcPr>
          <w:p>
            <w:r>
              <w:t>Process_Charge</w:t>
            </w:r>
          </w:p>
        </w:tc>
        <w:tc>
          <w:tcPr>
            <w:tcW w:type="dxa" w:w="4320"/>
          </w:tcPr>
          <w:p>
            <w:r>
              <w:t>0.03388466374865773</w:t>
            </w:r>
          </w:p>
        </w:tc>
      </w:tr>
      <w:tr>
        <w:tc>
          <w:tcPr>
            <w:tcW w:type="dxa" w:w="4320"/>
          </w:tcPr>
          <w:p>
            <w:r>
              <w:t>Total_Charge</w:t>
            </w:r>
          </w:p>
        </w:tc>
        <w:tc>
          <w:tcPr>
            <w:tcW w:type="dxa" w:w="4320"/>
          </w:tcPr>
          <w:p>
            <w:r>
              <w:t>0.0213518233633482</w:t>
            </w:r>
          </w:p>
        </w:tc>
      </w:tr>
      <w:tr>
        <w:tc>
          <w:tcPr>
            <w:tcW w:type="dxa" w:w="4320"/>
          </w:tcPr>
          <w:p>
            <w:r>
              <w:t>International_Charge</w:t>
            </w:r>
          </w:p>
        </w:tc>
        <w:tc>
          <w:tcPr>
            <w:tcW w:type="dxa" w:w="4320"/>
          </w:tcPr>
          <w:p>
            <w:r>
              <w:t>0.01423469951182467</w:t>
            </w:r>
          </w:p>
        </w:tc>
      </w:tr>
      <w:tr>
        <w:tc>
          <w:tcPr>
            <w:tcW w:type="dxa" w:w="4320"/>
          </w:tcPr>
          <w:p>
            <w:r>
              <w:t>Qty</w:t>
            </w:r>
          </w:p>
        </w:tc>
        <w:tc>
          <w:tcPr>
            <w:tcW w:type="dxa" w:w="4320"/>
          </w:tcPr>
          <w:p>
            <w:r>
              <w:t>0.013747424829518835</w:t>
            </w:r>
          </w:p>
        </w:tc>
      </w:tr>
    </w:tbl>
    <w:p>
      <w:pPr>
        <w:pStyle w:val="Heading2"/>
      </w:pPr>
      <w:r>
        <w:t>Confusion Matrix: Original vs Predicted Clusters</w:t>
      </w:r>
    </w:p>
    <w:p>
      <w:r>
        <w:t>The confusion matrix shows the following:</w:t>
      </w:r>
    </w:p>
    <w:p>
      <w:r>
        <w:t>- **True Positives (Expensive)**: The number of orders correctly predicted as 'Expensive'.</w:t>
      </w:r>
    </w:p>
    <w:p>
      <w:r>
        <w:t>- **True Negatives (Not Expensive)**: The number of orders correctly predicted as 'Not Expensive'.</w:t>
      </w:r>
    </w:p>
    <w:p>
      <w:r>
        <w:t>- **False Positives (Expensive)**: The number of orders incorrectly predicted as 'Expensive'.</w:t>
      </w:r>
    </w:p>
    <w:p>
      <w:r>
        <w:t>- **False Negatives (Not Expensive)**: The number of orders incorrectly predicted as 'Not Expensive'.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