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Expensive Orders Analysis Report</w:t>
      </w:r>
    </w:p>
    <w:p>
      <w:pPr>
        <w:pStyle w:val="Heading1"/>
      </w:pPr>
      <w:r>
        <w:t>Summary of Orders by State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State</w:t>
            </w:r>
          </w:p>
        </w:tc>
        <w:tc>
          <w:tcPr>
            <w:tcW w:type="dxa" w:w="2160"/>
          </w:tcPr>
          <w:p>
            <w:r>
              <w:t>Expensive</w:t>
            </w:r>
          </w:p>
        </w:tc>
        <w:tc>
          <w:tcPr>
            <w:tcW w:type="dxa" w:w="2160"/>
          </w:tcPr>
          <w:p>
            <w:r>
              <w:t>Not Expensive</w:t>
            </w:r>
          </w:p>
        </w:tc>
        <w:tc>
          <w:tcPr>
            <w:tcW w:type="dxa" w:w="2160"/>
          </w:tcPr>
          <w:p>
            <w:r>
              <w:t>Expensive Ratio</w:t>
            </w:r>
          </w:p>
        </w:tc>
      </w:tr>
      <w:tr>
        <w:tc>
          <w:tcPr>
            <w:tcW w:type="dxa" w:w="2160"/>
          </w:tcPr>
          <w:p>
            <w:r>
              <w:t>Australian Capital Territory</w:t>
            </w:r>
          </w:p>
        </w:tc>
        <w:tc>
          <w:tcPr>
            <w:tcW w:type="dxa" w:w="2160"/>
          </w:tcPr>
          <w:p>
            <w:r>
              <w:t>6</w:t>
            </w:r>
          </w:p>
        </w:tc>
        <w:tc>
          <w:tcPr>
            <w:tcW w:type="dxa" w:w="2160"/>
          </w:tcPr>
          <w:p>
            <w:r>
              <w:t>15</w:t>
            </w:r>
          </w:p>
        </w:tc>
        <w:tc>
          <w:tcPr>
            <w:tcW w:type="dxa" w:w="2160"/>
          </w:tcPr>
          <w:p>
            <w:r>
              <w:t>0.29</w:t>
            </w:r>
          </w:p>
        </w:tc>
      </w:tr>
      <w:tr>
        <w:tc>
          <w:tcPr>
            <w:tcW w:type="dxa" w:w="2160"/>
          </w:tcPr>
          <w:p>
            <w:r>
              <w:t>New South Wales</w:t>
            </w:r>
          </w:p>
        </w:tc>
        <w:tc>
          <w:tcPr>
            <w:tcW w:type="dxa" w:w="2160"/>
          </w:tcPr>
          <w:p>
            <w:r>
              <w:t>35</w:t>
            </w:r>
          </w:p>
        </w:tc>
        <w:tc>
          <w:tcPr>
            <w:tcW w:type="dxa" w:w="2160"/>
          </w:tcPr>
          <w:p>
            <w:r>
              <w:t>163</w:t>
            </w:r>
          </w:p>
        </w:tc>
        <w:tc>
          <w:tcPr>
            <w:tcW w:type="dxa" w:w="2160"/>
          </w:tcPr>
          <w:p>
            <w:r>
              <w:t>0.18</w:t>
            </w:r>
          </w:p>
        </w:tc>
      </w:tr>
      <w:tr>
        <w:tc>
          <w:tcPr>
            <w:tcW w:type="dxa" w:w="2160"/>
          </w:tcPr>
          <w:p>
            <w:r>
              <w:t>New Zealand</w:t>
            </w:r>
          </w:p>
        </w:tc>
        <w:tc>
          <w:tcPr>
            <w:tcW w:type="dxa" w:w="2160"/>
          </w:tcPr>
          <w:p>
            <w:r>
              <w:t>1</w:t>
            </w:r>
          </w:p>
        </w:tc>
        <w:tc>
          <w:tcPr>
            <w:tcW w:type="dxa" w:w="2160"/>
          </w:tcPr>
          <w:p>
            <w:r>
              <w:t>1</w:t>
            </w:r>
          </w:p>
        </w:tc>
        <w:tc>
          <w:tcPr>
            <w:tcW w:type="dxa" w:w="2160"/>
          </w:tcPr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t>Northern Territory</w:t>
            </w:r>
          </w:p>
        </w:tc>
        <w:tc>
          <w:tcPr>
            <w:tcW w:type="dxa" w:w="2160"/>
          </w:tcPr>
          <w:p>
            <w:r>
              <w:t>2</w:t>
            </w:r>
          </w:p>
        </w:tc>
        <w:tc>
          <w:tcPr>
            <w:tcW w:type="dxa" w:w="2160"/>
          </w:tcPr>
          <w:p>
            <w:r>
              <w:t>3</w:t>
            </w:r>
          </w:p>
        </w:tc>
        <w:tc>
          <w:tcPr>
            <w:tcW w:type="dxa" w:w="2160"/>
          </w:tcPr>
          <w:p>
            <w:r>
              <w:t>0.40</w:t>
            </w:r>
          </w:p>
        </w:tc>
      </w:tr>
      <w:tr>
        <w:tc>
          <w:tcPr>
            <w:tcW w:type="dxa" w:w="2160"/>
          </w:tcPr>
          <w:p>
            <w:r>
              <w:t>Queensland</w:t>
            </w:r>
          </w:p>
        </w:tc>
        <w:tc>
          <w:tcPr>
            <w:tcW w:type="dxa" w:w="2160"/>
          </w:tcPr>
          <w:p>
            <w:r>
              <w:t>32</w:t>
            </w:r>
          </w:p>
        </w:tc>
        <w:tc>
          <w:tcPr>
            <w:tcW w:type="dxa" w:w="2160"/>
          </w:tcPr>
          <w:p>
            <w:r>
              <w:t>93</w:t>
            </w:r>
          </w:p>
        </w:tc>
        <w:tc>
          <w:tcPr>
            <w:tcW w:type="dxa" w:w="2160"/>
          </w:tcPr>
          <w:p>
            <w:r>
              <w:t>0.26</w:t>
            </w:r>
          </w:p>
        </w:tc>
      </w:tr>
      <w:tr>
        <w:tc>
          <w:tcPr>
            <w:tcW w:type="dxa" w:w="2160"/>
          </w:tcPr>
          <w:p>
            <w:r>
              <w:t>South Australia</w:t>
            </w:r>
          </w:p>
        </w:tc>
        <w:tc>
          <w:tcPr>
            <w:tcW w:type="dxa" w:w="2160"/>
          </w:tcPr>
          <w:p>
            <w:r>
              <w:t>5</w:t>
            </w:r>
          </w:p>
        </w:tc>
        <w:tc>
          <w:tcPr>
            <w:tcW w:type="dxa" w:w="2160"/>
          </w:tcPr>
          <w:p>
            <w:r>
              <w:t>38</w:t>
            </w:r>
          </w:p>
        </w:tc>
        <w:tc>
          <w:tcPr>
            <w:tcW w:type="dxa" w:w="2160"/>
          </w:tcPr>
          <w:p>
            <w:r>
              <w:t>0.12</w:t>
            </w:r>
          </w:p>
        </w:tc>
      </w:tr>
      <w:tr>
        <w:tc>
          <w:tcPr>
            <w:tcW w:type="dxa" w:w="2160"/>
          </w:tcPr>
          <w:p>
            <w:r>
              <w:t>Tasmania</w:t>
            </w:r>
          </w:p>
        </w:tc>
        <w:tc>
          <w:tcPr>
            <w:tcW w:type="dxa" w:w="2160"/>
          </w:tcPr>
          <w:p>
            <w:r>
              <w:t>6</w:t>
            </w:r>
          </w:p>
        </w:tc>
        <w:tc>
          <w:tcPr>
            <w:tcW w:type="dxa" w:w="2160"/>
          </w:tcPr>
          <w:p>
            <w:r>
              <w:t>13</w:t>
            </w:r>
          </w:p>
        </w:tc>
        <w:tc>
          <w:tcPr>
            <w:tcW w:type="dxa" w:w="2160"/>
          </w:tcPr>
          <w:p>
            <w:r>
              <w:t>0.32</w:t>
            </w:r>
          </w:p>
        </w:tc>
      </w:tr>
      <w:tr>
        <w:tc>
          <w:tcPr>
            <w:tcW w:type="dxa" w:w="2160"/>
          </w:tcPr>
          <w:p>
            <w:r>
              <w:t>Victoria</w:t>
            </w:r>
          </w:p>
        </w:tc>
        <w:tc>
          <w:tcPr>
            <w:tcW w:type="dxa" w:w="2160"/>
          </w:tcPr>
          <w:p>
            <w:r>
              <w:t>49</w:t>
            </w:r>
          </w:p>
        </w:tc>
        <w:tc>
          <w:tcPr>
            <w:tcW w:type="dxa" w:w="2160"/>
          </w:tcPr>
          <w:p>
            <w:r>
              <w:t>147</w:t>
            </w:r>
          </w:p>
        </w:tc>
        <w:tc>
          <w:tcPr>
            <w:tcW w:type="dxa" w:w="2160"/>
          </w:tcPr>
          <w:p>
            <w:r>
              <w:t>0.25</w:t>
            </w:r>
          </w:p>
        </w:tc>
      </w:tr>
      <w:tr>
        <w:tc>
          <w:tcPr>
            <w:tcW w:type="dxa" w:w="2160"/>
          </w:tcPr>
          <w:p>
            <w:r>
              <w:t>Western Australia</w:t>
            </w:r>
          </w:p>
        </w:tc>
        <w:tc>
          <w:tcPr>
            <w:tcW w:type="dxa" w:w="2160"/>
          </w:tcPr>
          <w:p>
            <w:r>
              <w:t>32</w:t>
            </w:r>
          </w:p>
        </w:tc>
        <w:tc>
          <w:tcPr>
            <w:tcW w:type="dxa" w:w="2160"/>
          </w:tcPr>
          <w:p>
            <w:r>
              <w:t>65</w:t>
            </w:r>
          </w:p>
        </w:tc>
        <w:tc>
          <w:tcPr>
            <w:tcW w:type="dxa" w:w="2160"/>
          </w:tcPr>
          <w:p>
            <w:r>
              <w:t>0.33</w:t>
            </w:r>
          </w:p>
        </w:tc>
      </w:tr>
    </w:tbl>
    <w:p>
      <w:pPr>
        <w:pStyle w:val="Heading1"/>
      </w:pPr>
      <w:r>
        <w:t>Feature Distributions by State</w:t>
      </w:r>
    </w:p>
    <w:p>
      <w:pPr>
        <w:pStyle w:val="Heading2"/>
      </w:pPr>
      <w:r>
        <w:t>Australian Capital Territory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ustralian Capital Territory_Qty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ustralian Capital Territory_Process_Char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ustralian Capital Territory_Domestic_Char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ustralian Capital Territory_International_Char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ustralian Capital Territory_Total_Char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ustralian Capital Territory_Weigh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New South Wales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 South Wales_Qty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 South Wales_Process_Char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 South Wales_Domestic_Char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 South Wales_International_Char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 South Wales_Total_Char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 South Wales_Weigh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New Zealand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 Zealand_Qty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 Zealand_Process_Char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 Zealand_Domestic_Char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 Zealand_International_Char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 Zealand_Total_Char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 Zealand_Weigh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Northern Territory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rthern Territory_Qty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rthern Territory_Process_Char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rthern Territory_Domestic_Char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rthern Territory_International_Char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rthern Territory_Total_Char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rthern Territory_Weigh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Queensland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ensland_Qty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ensland_Process_Char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ensland_Domestic_Char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ensland_International_Char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ensland_Total_Char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ensland_Weight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South Australia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outh Australia_Qty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outh Australia_Process_Char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outh Australia_Domestic_Char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outh Australia_International_Char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outh Australia_Total_Char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outh Australia_Weight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Tasmania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asmania_Qty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asmania_Process_Char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asmania_Domestic_Char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asmania_International_Char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asmania_Total_Char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asmania_Weight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Victoria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ctoria_Qty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ctoria_Process_Char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ctoria_Domestic_Char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ctoria_International_Char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ctoria_Total_Char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ctoria_Weight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Western Australia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estern Australia_Qty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estern Australia_Process_Char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estern Australia_Domestic_Char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estern Australia_International_Char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estern Australia_Total_Char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estern Australia_Weight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Cluster Centers from K-means Model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Cluster</w:t>
            </w:r>
          </w:p>
        </w:tc>
        <w:tc>
          <w:tcPr>
            <w:tcW w:type="dxa" w:w="1234"/>
          </w:tcPr>
          <w:p>
            <w:r>
              <w:t>Qty</w:t>
            </w:r>
          </w:p>
        </w:tc>
        <w:tc>
          <w:tcPr>
            <w:tcW w:type="dxa" w:w="1234"/>
          </w:tcPr>
          <w:p>
            <w:r>
              <w:t>Process_Charge</w:t>
            </w:r>
          </w:p>
        </w:tc>
        <w:tc>
          <w:tcPr>
            <w:tcW w:type="dxa" w:w="1234"/>
          </w:tcPr>
          <w:p>
            <w:r>
              <w:t>Domestic_Charge</w:t>
            </w:r>
          </w:p>
        </w:tc>
        <w:tc>
          <w:tcPr>
            <w:tcW w:type="dxa" w:w="1234"/>
          </w:tcPr>
          <w:p>
            <w:r>
              <w:t>International_Charge</w:t>
            </w:r>
          </w:p>
        </w:tc>
        <w:tc>
          <w:tcPr>
            <w:tcW w:type="dxa" w:w="1234"/>
          </w:tcPr>
          <w:p>
            <w:r>
              <w:t>Total_Charge</w:t>
            </w:r>
          </w:p>
        </w:tc>
        <w:tc>
          <w:tcPr>
            <w:tcW w:type="dxa" w:w="1234"/>
          </w:tcPr>
          <w:p>
            <w:r>
              <w:t>Weight</w:t>
            </w:r>
          </w:p>
        </w:tc>
      </w:tr>
      <w:tr>
        <w:tc>
          <w:tcPr>
            <w:tcW w:type="dxa" w:w="1234"/>
          </w:tcPr>
          <w:p>
            <w:r>
              <w:t>0</w:t>
            </w:r>
          </w:p>
        </w:tc>
        <w:tc>
          <w:tcPr>
            <w:tcW w:type="dxa" w:w="1234"/>
          </w:tcPr>
          <w:p>
            <w:r>
              <w:t>0.78</w:t>
            </w:r>
          </w:p>
        </w:tc>
        <w:tc>
          <w:tcPr>
            <w:tcW w:type="dxa" w:w="1234"/>
          </w:tcPr>
          <w:p>
            <w:r>
              <w:t>0.70</w:t>
            </w:r>
          </w:p>
        </w:tc>
        <w:tc>
          <w:tcPr>
            <w:tcW w:type="dxa" w:w="1234"/>
          </w:tcPr>
          <w:p>
            <w:r>
              <w:t>3.22</w:t>
            </w:r>
          </w:p>
        </w:tc>
        <w:tc>
          <w:tcPr>
            <w:tcW w:type="dxa" w:w="1234"/>
          </w:tcPr>
          <w:p>
            <w:r>
              <w:t>-0.07</w:t>
            </w:r>
          </w:p>
        </w:tc>
        <w:tc>
          <w:tcPr>
            <w:tcW w:type="dxa" w:w="1234"/>
          </w:tcPr>
          <w:p>
            <w:r>
              <w:t>3.08</w:t>
            </w:r>
          </w:p>
        </w:tc>
        <w:tc>
          <w:tcPr>
            <w:tcW w:type="dxa" w:w="1234"/>
          </w:tcPr>
          <w:p>
            <w:r>
              <w:t>1.25</w:t>
            </w:r>
          </w:p>
        </w:tc>
      </w:tr>
      <w:tr>
        <w:tc>
          <w:tcPr>
            <w:tcW w:type="dxa" w:w="1234"/>
          </w:tcPr>
          <w:p>
            <w:r>
              <w:t>1</w:t>
            </w:r>
          </w:p>
        </w:tc>
        <w:tc>
          <w:tcPr>
            <w:tcW w:type="dxa" w:w="1234"/>
          </w:tcPr>
          <w:p>
            <w:r>
              <w:t>-0.43</w:t>
            </w:r>
          </w:p>
        </w:tc>
        <w:tc>
          <w:tcPr>
            <w:tcW w:type="dxa" w:w="1234"/>
          </w:tcPr>
          <w:p>
            <w:r>
              <w:t>-0.42</w:t>
            </w:r>
          </w:p>
        </w:tc>
        <w:tc>
          <w:tcPr>
            <w:tcW w:type="dxa" w:w="1234"/>
          </w:tcPr>
          <w:p>
            <w:r>
              <w:t>-0.32</w:t>
            </w:r>
          </w:p>
        </w:tc>
        <w:tc>
          <w:tcPr>
            <w:tcW w:type="dxa" w:w="1234"/>
          </w:tcPr>
          <w:p>
            <w:r>
              <w:t>-0.04</w:t>
            </w:r>
          </w:p>
        </w:tc>
        <w:tc>
          <w:tcPr>
            <w:tcW w:type="dxa" w:w="1234"/>
          </w:tcPr>
          <w:p>
            <w:r>
              <w:t>-0.39</w:t>
            </w:r>
          </w:p>
        </w:tc>
        <w:tc>
          <w:tcPr>
            <w:tcW w:type="dxa" w:w="1234"/>
          </w:tcPr>
          <w:p>
            <w:r>
              <w:t>-0.42</w:t>
            </w:r>
          </w:p>
        </w:tc>
      </w:tr>
      <w:tr>
        <w:tc>
          <w:tcPr>
            <w:tcW w:type="dxa" w:w="1234"/>
          </w:tcPr>
          <w:p>
            <w:r>
              <w:t>2</w:t>
            </w:r>
          </w:p>
        </w:tc>
        <w:tc>
          <w:tcPr>
            <w:tcW w:type="dxa" w:w="1234"/>
          </w:tcPr>
          <w:p>
            <w:r>
              <w:t>-0.43</w:t>
            </w:r>
          </w:p>
        </w:tc>
        <w:tc>
          <w:tcPr>
            <w:tcW w:type="dxa" w:w="1234"/>
          </w:tcPr>
          <w:p>
            <w:r>
              <w:t>-0.37</w:t>
            </w:r>
          </w:p>
        </w:tc>
        <w:tc>
          <w:tcPr>
            <w:tcW w:type="dxa" w:w="1234"/>
          </w:tcPr>
          <w:p>
            <w:r>
              <w:t>-0.72</w:t>
            </w:r>
          </w:p>
        </w:tc>
        <w:tc>
          <w:tcPr>
            <w:tcW w:type="dxa" w:w="1234"/>
          </w:tcPr>
          <w:p>
            <w:r>
              <w:t>16.80</w:t>
            </w:r>
          </w:p>
        </w:tc>
        <w:tc>
          <w:tcPr>
            <w:tcW w:type="dxa" w:w="1234"/>
          </w:tcPr>
          <w:p>
            <w:r>
              <w:t>0.06</w:t>
            </w:r>
          </w:p>
        </w:tc>
        <w:tc>
          <w:tcPr>
            <w:tcW w:type="dxa" w:w="1234"/>
          </w:tcPr>
          <w:p>
            <w:r>
              <w:t>-0.58</w:t>
            </w:r>
          </w:p>
        </w:tc>
      </w:tr>
      <w:tr>
        <w:tc>
          <w:tcPr>
            <w:tcW w:type="dxa" w:w="1234"/>
          </w:tcPr>
          <w:p>
            <w:r>
              <w:t>3</w:t>
            </w:r>
          </w:p>
        </w:tc>
        <w:tc>
          <w:tcPr>
            <w:tcW w:type="dxa" w:w="1234"/>
          </w:tcPr>
          <w:p>
            <w:r>
              <w:t>1.58</w:t>
            </w:r>
          </w:p>
        </w:tc>
        <w:tc>
          <w:tcPr>
            <w:tcW w:type="dxa" w:w="1234"/>
          </w:tcPr>
          <w:p>
            <w:r>
              <w:t>1.58</w:t>
            </w:r>
          </w:p>
        </w:tc>
        <w:tc>
          <w:tcPr>
            <w:tcW w:type="dxa" w:w="1234"/>
          </w:tcPr>
          <w:p>
            <w:r>
              <w:t>0.36</w:t>
            </w:r>
          </w:p>
        </w:tc>
        <w:tc>
          <w:tcPr>
            <w:tcW w:type="dxa" w:w="1234"/>
          </w:tcPr>
          <w:p>
            <w:r>
              <w:t>-0.07</w:t>
            </w:r>
          </w:p>
        </w:tc>
        <w:tc>
          <w:tcPr>
            <w:tcW w:type="dxa" w:w="1234"/>
          </w:tcPr>
          <w:p>
            <w:r>
              <w:t>0.67</w:t>
            </w:r>
          </w:p>
        </w:tc>
        <w:tc>
          <w:tcPr>
            <w:tcW w:type="dxa" w:w="1234"/>
          </w:tcPr>
          <w:p>
            <w:r>
              <w:t>1.39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