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BAB2C5">
      <w:pPr>
        <w:pStyle w:val="21"/>
        <w:jc w:val="center"/>
      </w:pPr>
      <w:r>
        <w:rPr>
          <w:rFonts w:ascii="Aptos" w:hAnsi="Aptos"/>
          <w:color w:val="1F2937"/>
          <w:sz w:val="21"/>
        </w:rPr>
        <w:t>CASTÚO-SYSTEM™ · Plan de Empresa PIE PLUS 2026</w:t>
      </w:r>
      <w:r>
        <w:br/>
        <w:drawing>
          <wp:inline xmlns:a="http://schemas.openxmlformats.org/drawingml/2006/main" xmlns:pic="http://schemas.openxmlformats.org/drawingml/2006/picture">
            <wp:extent cx="658368" cy="563563"/>
            <wp:docPr id="3" name="Picture 3"/>
            <wp:cNvGraphicFramePr>
              <a:graphicFrameLocks noChangeAspect="1"/>
            </wp:cNvGraphicFramePr>
            <a:graphic>
              <a:graphicData uri="http://schemas.openxmlformats.org/drawingml/2006/picture">
                <pic:pic>
                  <pic:nvPicPr>
                    <pic:cNvPr id="0" name="logo_diputacion.png"/>
                    <pic:cNvPicPr/>
                  </pic:nvPicPr>
                  <pic:blipFill>
                    <a:blip r:embed="rId11"/>
                    <a:stretch>
                      <a:fillRect/>
                    </a:stretch>
                  </pic:blipFill>
                  <pic:spPr>
                    <a:xfrm>
                      <a:off x="0" y="0"/>
                      <a:ext cx="658368" cy="563563"/>
                    </a:xfrm>
                    <a:prstGeom prst="rect"/>
                  </pic:spPr>
                </pic:pic>
              </a:graphicData>
            </a:graphic>
          </wp:inline>
        </w:drawing>
      </w:r>
    </w:p>
    <w:p>
      <w:pPr>
        <w:jc w:val="center"/>
      </w:pPr>
      <w:r>
        <w:drawing>
          <wp:inline xmlns:a="http://schemas.openxmlformats.org/drawingml/2006/main" xmlns:pic="http://schemas.openxmlformats.org/drawingml/2006/picture">
            <wp:extent cx="1325880" cy="1018991"/>
            <wp:docPr id="1" name="Picture 1"/>
            <wp:cNvGraphicFramePr>
              <a:graphicFrameLocks noChangeAspect="1"/>
            </wp:cNvGraphicFramePr>
            <a:graphic>
              <a:graphicData uri="http://schemas.openxmlformats.org/drawingml/2006/picture">
                <pic:pic>
                  <pic:nvPicPr>
                    <pic:cNvPr id="0" name="logo_diputacion.png"/>
                    <pic:cNvPicPr/>
                  </pic:nvPicPr>
                  <pic:blipFill>
                    <a:blip r:embed="rId9"/>
                    <a:stretch>
                      <a:fillRect/>
                    </a:stretch>
                  </pic:blipFill>
                  <pic:spPr>
                    <a:xfrm>
                      <a:off x="0" y="0"/>
                      <a:ext cx="1325880" cy="1018991"/>
                    </a:xfrm>
                    <a:prstGeom prst="rect"/>
                  </pic:spPr>
                </pic:pic>
              </a:graphicData>
            </a:graphic>
          </wp:inline>
        </w:drawing>
      </w:r>
    </w:p>
    <w:p w14:paraId="2564A078">
      <w:pPr>
        <w:pStyle w:val="20"/>
      </w:pPr>
      <w:r>
        <w:rPr>
          <w:rFonts w:ascii="Aptos" w:hAnsi="Aptos"/>
          <w:color w:val="1F2937"/>
          <w:sz w:val="21"/>
        </w:rPr>
        <w:t>Memoria Descriptiva oficial · Proyecto piloto de innovación rural · Membrío (Cáceres) · v5.6 FINAL · DEFENSA PIE PLUS (arquitectura de inversión por fases · evidencia GitHub/Traky12 · base v5.6)</w:t>
      </w:r>
    </w:p>
    <w:p w14:paraId="735455BB">
      <w:pPr>
        <w:pStyle w:val="25"/>
      </w:pPr>
      <w:r>
        <w:rPr>
          <w:rFonts w:ascii="Aptos" w:hAnsi="Aptos"/>
          <w:color w:val="1F2937"/>
          <w:sz w:val="21"/>
        </w:rPr>
        <w:t>Gregorio Jiménez Bodes · CASTÚO-SYSTEM</w:t>
      </w:r>
    </w:p>
    <w:p w14:paraId="6508897E">
      <w:pPr>
        <w:pStyle w:val="19"/>
      </w:pPr>
      <w:r>
        <w:rPr>
          <w:rFonts w:ascii="Aptos" w:hAnsi="Aptos"/>
          <w:color w:val="1F2937"/>
          <w:sz w:val="21"/>
        </w:rPr>
        <w:t>Julio de 2026</w:t>
      </w:r>
    </w:p>
    <w:sdt>
      <w:sdtPr>
        <w:id w:val="147468025"/>
        <w:docPartObj>
          <w:docPartGallery w:val="Table of Contents"/>
          <w:docPartUnique/>
        </w:docPartObj>
      </w:sdtPr>
      <w:sdtContent>
        <w:p w14:paraId="031F53CB">
          <w:pPr>
            <w:pStyle w:val="37"/>
          </w:pPr>
          <w:r>
            <w:t>Índice</w:t>
          </w:r>
        </w:p>
        <w:p w14:paraId="0EF3912C">
          <w:r>
            <w:fldChar w:fldCharType="begin"/>
          </w:r>
          <w:r>
            <w:instrText xml:space="preserve">TOC \o "1-2" \h \z \u</w:instrText>
          </w:r>
          <w:r>
            <w:fldChar w:fldCharType="separate"/>
          </w:r>
          <w:r>
            <w:fldChar w:fldCharType="end"/>
          </w:r>
        </w:p>
      </w:sdtContent>
    </w:sdt>
    <w:p>
      <w:r>
        <w:br w:type="page"/>
      </w:r>
    </w:p>
    <w:p>
      <w:pPr>
        <w:jc w:val="center"/>
      </w:pPr>
      <w:r>
        <w:br/>
        <w:drawing>
          <wp:inline xmlns:a="http://schemas.openxmlformats.org/drawingml/2006/main" xmlns:pic="http://schemas.openxmlformats.org/drawingml/2006/picture">
            <wp:extent cx="2743200" cy="3021313"/>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743200" cy="3021313"/>
                    </a:xfrm>
                    <a:prstGeom prst="rect"/>
                  </pic:spPr>
                </pic:pic>
              </a:graphicData>
            </a:graphic>
          </wp:inline>
        </w:drawing>
      </w:r>
      <w:r>
        <w:br/>
      </w:r>
      <w:r>
        <w:rPr>
          <w:rFonts w:ascii="Aptos Display" w:hAnsi="Aptos Display"/>
          <w:b/>
          <w:color w:val="174A2E"/>
          <w:sz w:val="24"/>
        </w:rPr>
        <w:t>CASTÚO-SYSTEM™ · LOGOTIPO OFICIAL</w:t>
      </w:r>
    </w:p>
    <w:p>
      <w:r>
        <w:br/>
      </w:r>
    </w:p>
    <w:p>
      <w:r>
        <w:br w:type="page"/>
      </w:r>
    </w:p>
    <w:p w14:paraId="51C911E6">
      <w:pPr>
        <w:pStyle w:val="23"/>
      </w:pPr>
      <w:r>
        <w:rPr>
          <w:rFonts w:ascii="Aptos" w:hAnsi="Aptos"/>
          <w:b/>
          <w:color w:val="1F2937"/>
          <w:sz w:val="21"/>
        </w:rPr>
        <w:t>Coherente con la Memoria Técnica v3.7 (MEEV), el Dossier de referencia v2.0 y el Plan Económico-Financiero (Excel).</w:t>
      </w:r>
    </w:p>
    <w:p>
      <w:pPr>
        <w:jc w:val="center"/>
      </w:pPr>
      <w:r>
        <w:rPr>
          <w:rFonts w:ascii="Aptos" w:hAnsi="Aptos"/>
          <w:color w:val="1F2937"/>
          <w:sz w:val="21"/>
        </w:rPr>
      </w:r>
      <w:r>
        <w:rPr>
          <w:rFonts w:ascii="Aptos" w:hAnsi="Aptos"/>
          <w:color w:val="1F2937"/>
          <w:sz w:val="21"/>
        </w:rPr>
        <w:br/>
      </w:r>
    </w:p>
    <w:p>
      <w:pPr>
        <w:pStyle w:val="22"/>
      </w:pPr>
      <w:r>
        <w:rPr>
          <w:rFonts w:ascii="Aptos" w:hAnsi="Aptos"/>
          <w:b/>
          <w:color w:val="9B1C1C"/>
          <w:sz w:val="18"/>
        </w:rPr>
        <w:t>CUMPLIMIENTO PIE PLUS 2026 — La convocatoria consultada establece la participación de personas físicas y la implantación del proyecto en un municipio de la provincia de Cáceres de menos de 20.000 habitantes, con sede social y fiscal en dichos municipios. Esta memoria presenta al solicitante como persona física y la sociedad como forma prevista, pendiente de constitución. La elegibilidad definitiva queda sujeta a la revisión del expediente y de las bases aplicables.</w:t>
      </w:r>
    </w:p>
    <w:p w14:paraId="4F25842B">
      <w:pPr>
        <w:pStyle w:val="22"/>
      </w:pPr>
      <w:r>
        <w:rPr>
          <w:rFonts w:ascii="Aptos" w:hAnsi="Aptos"/>
          <w:b/>
          <w:color w:val="1F2937"/>
          <w:sz w:val="21"/>
        </w:rPr>
        <w:t>Nota de coherencia y honestidad.</w:t>
      </w:r>
      <w:r>
        <w:rPr>
          <w:rFonts w:ascii="Aptos" w:hAnsi="Aptos"/>
          <w:color w:val="1F2937"/>
          <w:sz w:val="21"/>
        </w:rPr>
        <w:t xml:space="preserve"> Desarrolla íntegramente la estructura oficial de la Memoria Descriptiva PIE PLUS (apartados 1–9 + anexos). Toda cifra procede de los parámetros del proyecto y del Plan Económico-Financiero oficial; toda hipótesis se declara como tal; ningún compromiso (convenio, ayuda, aportación) se presenta como firmado/concedido si no lo está. Estrategia piloto-primero: arranque acotado (Fase 1) e infraestructura completa condicionada a Gates. </w:t>
      </w:r>
      <w:r>
        <w:rPr>
          <w:rFonts w:ascii="Aptos" w:hAnsi="Aptos"/>
          <w:i/>
          <w:color w:val="1F2937"/>
          <w:sz w:val="21"/>
        </w:rPr>
        <w:t>“Primero probamos, medimos y validamos; después escalamos.”</w:t>
      </w:r>
      <w:r>
        <w:rPr>
          <w:rFonts w:ascii="Aptos" w:hAnsi="Aptos"/>
          <w:color w:val="1F2937"/>
          <w:sz w:val="21"/>
        </w:rPr>
        <w:t xml:space="preserve"> La estructura económica única es: 165.000 € prudente, 180.000 € central y 195.000 € techo; la financiación cobrada permanece en 0,00 € hasta desembolso documentado.</w:t>
      </w:r>
    </w:p>
    <w:p w14:paraId="4D920354">
      <w:pPr>
        <w:pStyle w:val="23"/>
      </w:pPr>
      <w:r>
        <w:t>Versión 5.6 FINAL — JURADO (auditoría de honestidad financiera). Memoria en el formato oficial PIE PLUS (apartados 1–9 + anexos), condensada. Fase 1 de consolidación operativa con envolvente 165.000–195.000 € (central 180.000 €); activo tecnológico 420.000 € (RCN, aportación en especie, no caja); cumplimiento e ISO/ENS condicionados; GaiaChain como refuerzo técnico; evidencia pública de ingeniería (GitHub/Traky12, §2.2); CAPEX físico futuro por subsistemas (§4.3.6). Estados de evidencia honestos (Cuatrecasas en selección, ganaderos colaboración, incubadoras en candidatura). Principio rector: “no declarar una capacidad por encima de su evidencia disponible”.</w:t>
      </w:r>
    </w:p>
    <w:p w14:paraId="457863A3">
      <w:pPr>
        <w:pStyle w:val="3"/>
      </w:pPr>
      <w:r>
        <w:rPr>
          <w:b/>
        </w:rPr>
        <w:t>Tesis única (para el jurado). CASTÚO-SYSTEM™ parte de un núcleo digital ya implementado y de una capacidad técnica documentada en repositorios y pruebas internas. La Fase 1 solicita recursos para convertir esa capacidad en evidencia empresarial: validación territorial, pilotos, usuarios, resultados y recurrencia. Su impacto comercial no se presenta como conseguido; se medirá mediante conversión de colaboradores a pilotos remunerados, clientes activados, CAC y repetición. La expansión física queda bloqueada hasta superar Gates técnicos, comerciales, financieros y administrativos. Esta combinación de prudencia financiera, acompañamiento comarcal, operación offline/edge e integración agroenergética ofrece una propuesta diferenciada, pero su tracción y rentabilidad siguen condicionadas a la validación de mercado.</w:t>
      </w:r>
    </w:p>
    <w:p w14:paraId="71338CD3">
      <w:pPr>
        <w:pStyle w:val="3"/>
      </w:pPr>
      <w:r>
        <w:rPr>
          <w:rFonts w:ascii="Aptos" w:hAnsi="Aptos"/>
          <w:b/>
          <w:color w:val="1F2937"/>
          <w:sz w:val="21"/>
        </w:rPr>
        <w:t>Tres planos.</w:t>
      </w:r>
      <w:r>
        <w:rPr>
          <w:rFonts w:ascii="Aptos" w:hAnsi="Aptos"/>
          <w:color w:val="1F2937"/>
          <w:sz w:val="21"/>
        </w:rPr>
        <w:t xml:space="preserve"> (A) </w:t>
      </w:r>
      <w:r>
        <w:rPr>
          <w:rFonts w:ascii="Aptos" w:hAnsi="Aptos"/>
          <w:b/>
          <w:color w:val="1F2937"/>
          <w:sz w:val="21"/>
        </w:rPr>
        <w:t>Estado actual verificado</w:t>
      </w:r>
      <w:r>
        <w:rPr>
          <w:rFonts w:ascii="Aptos" w:hAnsi="Aptos"/>
          <w:color w:val="1F2937"/>
          <w:sz w:val="21"/>
        </w:rPr>
        <w:t xml:space="preserve"> — arquitectura, repositorio, CI/CD (116 tests), sistema de evidencias, activo tecnológico (420.000 €, valoración RCN) y situación real (caja propia 0 €). (B) </w:t>
      </w:r>
      <w:r>
        <w:rPr>
          <w:rFonts w:ascii="Aptos" w:hAnsi="Aptos"/>
          <w:b/>
          <w:color w:val="1F2937"/>
          <w:sz w:val="21"/>
        </w:rPr>
        <w:t>Fase 1 financiable</w:t>
      </w:r>
      <w:r>
        <w:rPr>
          <w:rFonts w:ascii="Aptos" w:hAnsi="Aptos"/>
          <w:color w:val="1F2937"/>
          <w:sz w:val="21"/>
        </w:rPr>
        <w:t xml:space="preserve"> — consolidación del SaaS con IoT/edge, trazabilidad y servicios; envolvente 12 meses </w:t>
      </w:r>
      <w:r>
        <w:rPr>
          <w:rFonts w:ascii="Aptos" w:hAnsi="Aptos"/>
          <w:b/>
          <w:color w:val="1F2937"/>
          <w:sz w:val="21"/>
        </w:rPr>
        <w:t>165.000–195.000 € (central 180.000 €)</w:t>
      </w:r>
      <w:r>
        <w:rPr>
          <w:rFonts w:ascii="Aptos" w:hAnsi="Aptos"/>
          <w:color w:val="1F2937"/>
          <w:sz w:val="21"/>
        </w:rPr>
        <w:t xml:space="preserve">, necesidad de financiación a captar (§4.3). (C) </w:t>
      </w:r>
      <w:r>
        <w:rPr>
          <w:rFonts w:ascii="Aptos" w:hAnsi="Aptos"/>
          <w:b/>
          <w:color w:val="1F2937"/>
          <w:sz w:val="21"/>
        </w:rPr>
        <w:t>Fases futuras condicionadas</w:t>
      </w:r>
      <w:r>
        <w:rPr>
          <w:rFonts w:ascii="Aptos" w:hAnsi="Aptos"/>
          <w:color w:val="1F2937"/>
          <w:sz w:val="21"/>
        </w:rPr>
        <w:t xml:space="preserve"> — geotermia, invernadero, agrovoltaica, almacenamiento energético y datos soberanos, fuera del gasto de arranque. </w:t>
      </w:r>
      <w:r>
        <w:rPr>
          <w:rFonts w:ascii="Aptos" w:hAnsi="Aptos"/>
          <w:b/>
          <w:color w:val="1F2937"/>
          <w:sz w:val="21"/>
        </w:rPr>
        <w:t>Qué se presenta al PIE PLUS:</w:t>
      </w:r>
      <w:r>
        <w:rPr>
          <w:rFonts w:ascii="Aptos" w:hAnsi="Aptos"/>
          <w:color w:val="1F2937"/>
          <w:sz w:val="21"/>
        </w:rPr>
        <w:t xml:space="preserve"> exclusivamente la Fase 1 de consolidación; el premio es catalizador y </w:t>
      </w:r>
      <w:r>
        <w:rPr>
          <w:rFonts w:ascii="Aptos" w:hAnsi="Aptos"/>
          <w:b/>
          <w:color w:val="1F2937"/>
          <w:sz w:val="21"/>
        </w:rPr>
        <w:t>no se computa</w:t>
      </w:r>
      <w:r>
        <w:rPr>
          <w:rFonts w:ascii="Aptos" w:hAnsi="Aptos"/>
          <w:color w:val="1F2937"/>
          <w:sz w:val="21"/>
        </w:rPr>
        <w:t xml:space="preserve"> en el modelo financiero.</w:t>
      </w:r>
    </w:p>
    <w:p w14:paraId="1F28BE6D">
      <w:pPr>
        <w:pStyle w:val="2"/>
      </w:pPr>
      <w:bookmarkStart w:id="0" w:name="X74e6aad9da2c76a1ba5a40d90fc754c0a858b37"/>
      <w:r>
        <w:rPr>
          <w:rFonts w:ascii="Aptos Display" w:hAnsi="Aptos Display"/>
          <w:b/>
          <w:color w:val="174A2E"/>
          <w:sz w:val="21"/>
        </w:rPr>
        <w:t>Arquitectura de inversión por fases (cuadro de mando financiero)</w:t>
      </w:r>
      <w:bookmarkEnd w:id="0"/>
    </w:p>
    <w:p w14:paraId="41028CB6">
      <w:pPr>
        <w:pStyle w:val="22"/>
      </w:pPr>
      <w:r>
        <w:rPr>
          <w:rFonts w:ascii="Aptos" w:hAnsi="Aptos"/>
          <w:b/>
          <w:color w:val="1F2937"/>
          <w:sz w:val="21"/>
        </w:rPr>
        <w:t>Tres planos independientes.</w:t>
      </w:r>
      <w:r>
        <w:rPr>
          <w:rFonts w:ascii="Aptos" w:hAnsi="Aptos"/>
          <w:color w:val="1F2937"/>
          <w:sz w:val="21"/>
        </w:rPr>
        <w:t xml:space="preserve"> No se mezclan gasto ya realizado, inversión de arranque y visión futura. La tabla es la </w:t>
      </w:r>
      <w:r>
        <w:rPr>
          <w:rFonts w:ascii="Aptos" w:hAnsi="Aptos"/>
          <w:b/>
          <w:color w:val="1F2937"/>
          <w:sz w:val="21"/>
        </w:rPr>
        <w:t>fuente única</w:t>
      </w:r>
      <w:r>
        <w:rPr>
          <w:rFonts w:ascii="Aptos" w:hAnsi="Aptos"/>
          <w:color w:val="1F2937"/>
          <w:sz w:val="21"/>
        </w:rPr>
        <w:t xml:space="preserve"> de cifras (coincide con el Plan Económico-Financiero oficial y con los apartados §3.8, §4.3 y §4.3.6).</w:t>
      </w:r>
    </w:p>
    <w:tbl>
      <w:tblPr>
        <w:tblStyle w:val="28"/>
        <w:tblW w:w="5000" w:type="pct"/>
        <w:jc w:val="center"/>
        <w:tblInd w:w="0" w:type="dxa"/>
        <w:tblLayout w:type="fixed"/>
        <w:tblCellMar>
          <w:top w:w="0" w:type="dxa"/>
          <w:left w:w="108" w:type="dxa"/>
          <w:bottom w:w="0" w:type="dxa"/>
          <w:right w:w="108" w:type="dxa"/>
        </w:tblCellMar>
      </w:tblPr>
      <w:tblGrid>
        <w:gridCol w:w="1771"/>
        <w:gridCol w:w="1771"/>
        <w:gridCol w:w="1771"/>
        <w:gridCol w:w="1771"/>
        <w:gridCol w:w="1771"/>
      </w:tblGrid>
      <w:tr w14:paraId="1E42594F">
        <w:tblPrEx>
          <w:tblCellMar>
            <w:top w:w="0" w:type="dxa"/>
            <w:left w:w="108" w:type="dxa"/>
            <w:bottom w:w="0" w:type="dxa"/>
            <w:right w:w="108" w:type="dxa"/>
          </w:tblCellMar>
        </w:tblPrEx>
        <w:tc>
          <w:tcPr>
            <w:tcW w:w="1872" w:type="dxa"/>
            <w:tcBorders>
              <w:bottom w:val="single" w:color="auto" w:sz="0" w:space="0"/>
            </w:tcBorders>
            <w:vAlign w:val="bottom"/>
          </w:tcPr>
          <w:p w14:paraId="40EBE72D">
            <w:pPr>
              <w:pStyle w:val="24"/>
              <w:spacing w:after="0"/>
              <w:jc w:val="left"/>
            </w:pPr>
            <w:r>
              <w:rPr>
                <w:rFonts w:ascii="Aptos" w:hAnsi="Aptos"/>
                <w:color w:val="1F2937"/>
                <w:sz w:val="18"/>
              </w:rPr>
              <w:t>Plano</w:t>
            </w:r>
          </w:p>
        </w:tc>
        <w:tc>
          <w:tcPr>
            <w:tcW w:w="1872" w:type="dxa"/>
            <w:tcBorders>
              <w:bottom w:val="single" w:color="auto" w:sz="0" w:space="0"/>
            </w:tcBorders>
            <w:vAlign w:val="bottom"/>
          </w:tcPr>
          <w:p w14:paraId="6B4B98EA">
            <w:pPr>
              <w:pStyle w:val="24"/>
              <w:spacing w:after="0"/>
              <w:jc w:val="left"/>
            </w:pPr>
            <w:r>
              <w:rPr>
                <w:rFonts w:ascii="Aptos" w:hAnsi="Aptos"/>
                <w:color w:val="1F2937"/>
                <w:sz w:val="18"/>
              </w:rPr>
              <w:t>Concepto</w:t>
            </w:r>
          </w:p>
        </w:tc>
        <w:tc>
          <w:tcPr>
            <w:tcW w:w="1872" w:type="dxa"/>
            <w:tcBorders>
              <w:bottom w:val="single" w:color="auto" w:sz="0" w:space="0"/>
            </w:tcBorders>
            <w:vAlign w:val="bottom"/>
          </w:tcPr>
          <w:p w14:paraId="2628E6B7">
            <w:pPr>
              <w:pStyle w:val="24"/>
              <w:spacing w:after="0"/>
              <w:jc w:val="left"/>
            </w:pPr>
            <w:r>
              <w:rPr>
                <w:rFonts w:ascii="Aptos" w:hAnsi="Aptos"/>
                <w:color w:val="1F2937"/>
                <w:sz w:val="18"/>
              </w:rPr>
              <w:t>Escala</w:t>
            </w:r>
          </w:p>
        </w:tc>
        <w:tc>
          <w:tcPr>
            <w:tcW w:w="1872" w:type="dxa"/>
            <w:tcBorders>
              <w:bottom w:val="single" w:color="auto" w:sz="0" w:space="0"/>
            </w:tcBorders>
            <w:vAlign w:val="bottom"/>
          </w:tcPr>
          <w:p w14:paraId="387EB562">
            <w:pPr>
              <w:pStyle w:val="24"/>
              <w:spacing w:after="0"/>
              <w:jc w:val="right"/>
            </w:pPr>
            <w:r>
              <w:rPr>
                <w:rFonts w:ascii="Aptos" w:hAnsi="Aptos"/>
                <w:color w:val="1F2937"/>
                <w:sz w:val="18"/>
              </w:rPr>
              <w:t>Importe central</w:t>
            </w:r>
          </w:p>
        </w:tc>
        <w:tc>
          <w:tcPr>
            <w:tcW w:w="1872" w:type="dxa"/>
            <w:tcBorders>
              <w:bottom w:val="single" w:color="auto" w:sz="0" w:space="0"/>
            </w:tcBorders>
            <w:vAlign w:val="bottom"/>
          </w:tcPr>
          <w:p w14:paraId="4072FB2E">
            <w:pPr>
              <w:pStyle w:val="24"/>
              <w:spacing w:after="0"/>
              <w:jc w:val="left"/>
            </w:pPr>
            <w:r>
              <w:rPr>
                <w:rFonts w:ascii="Aptos" w:hAnsi="Aptos"/>
                <w:color w:val="1F2937"/>
                <w:sz w:val="18"/>
              </w:rPr>
              <w:t>Estado</w:t>
            </w:r>
          </w:p>
        </w:tc>
      </w:tr>
      <w:tr w14:paraId="0DEC351B">
        <w:tblPrEx>
          <w:tblCellMar>
            <w:top w:w="0" w:type="dxa"/>
            <w:left w:w="108" w:type="dxa"/>
            <w:bottom w:w="0" w:type="dxa"/>
            <w:right w:w="108" w:type="dxa"/>
          </w:tblCellMar>
        </w:tblPrEx>
        <w:tc>
          <w:p w14:paraId="378255F8">
            <w:pPr>
              <w:pStyle w:val="24"/>
              <w:spacing w:after="0"/>
              <w:jc w:val="left"/>
            </w:pPr>
            <w:r>
              <w:rPr>
                <w:rFonts w:ascii="Aptos" w:hAnsi="Aptos"/>
                <w:b/>
                <w:color w:val="1F2937"/>
                <w:sz w:val="18"/>
              </w:rPr>
              <w:t>A</w:t>
            </w:r>
          </w:p>
        </w:tc>
        <w:tc>
          <w:p w14:paraId="7E864815">
            <w:pPr>
              <w:pStyle w:val="24"/>
              <w:spacing w:after="0"/>
              <w:jc w:val="left"/>
            </w:pPr>
            <w:r>
              <w:rPr>
                <w:rFonts w:ascii="Aptos" w:hAnsi="Aptos"/>
                <w:color w:val="1F2937"/>
                <w:sz w:val="18"/>
              </w:rPr>
              <w:t>Activo tecnológico (RCN)</w:t>
            </w:r>
          </w:p>
        </w:tc>
        <w:tc>
          <w:p w14:paraId="721B2913">
            <w:pPr>
              <w:pStyle w:val="24"/>
              <w:spacing w:after="0"/>
              <w:jc w:val="left"/>
            </w:pPr>
            <w:r>
              <w:rPr>
                <w:rFonts w:ascii="Aptos" w:hAnsi="Aptos"/>
                <w:color w:val="1F2937"/>
                <w:sz w:val="18"/>
              </w:rPr>
              <w:t>5.600 h × 75 €/h</w:t>
            </w:r>
          </w:p>
        </w:tc>
        <w:tc>
          <w:p w14:paraId="4E9B7A76">
            <w:pPr>
              <w:pStyle w:val="24"/>
              <w:spacing w:after="0"/>
              <w:jc w:val="right"/>
            </w:pPr>
            <w:r>
              <w:rPr>
                <w:rFonts w:ascii="Aptos" w:hAnsi="Aptos"/>
                <w:b/>
                <w:color w:val="1F2937"/>
                <w:sz w:val="18"/>
              </w:rPr>
              <w:t>420.000 €</w:t>
            </w:r>
          </w:p>
        </w:tc>
        <w:tc>
          <w:p w14:paraId="081D70E4">
            <w:pPr>
              <w:pStyle w:val="24"/>
              <w:spacing w:after="0"/>
              <w:jc w:val="left"/>
            </w:pPr>
            <w:r>
              <w:rPr>
                <w:rFonts w:ascii="Aptos" w:hAnsi="Aptos"/>
                <w:color w:val="1F2937"/>
                <w:sz w:val="18"/>
              </w:rPr>
              <w:t xml:space="preserve">Patrimonio técnico — </w:t>
            </w:r>
            <w:r>
              <w:rPr>
                <w:rFonts w:ascii="Aptos" w:hAnsi="Aptos"/>
                <w:b/>
                <w:color w:val="1F2937"/>
                <w:sz w:val="18"/>
              </w:rPr>
              <w:t>NO caja, NO CAPEX</w:t>
            </w:r>
          </w:p>
        </w:tc>
      </w:tr>
      <w:tr w14:paraId="58E68234">
        <w:tblPrEx>
          <w:tblCellMar>
            <w:top w:w="0" w:type="dxa"/>
            <w:left w:w="108" w:type="dxa"/>
            <w:bottom w:w="0" w:type="dxa"/>
            <w:right w:w="108" w:type="dxa"/>
          </w:tblCellMar>
        </w:tblPrEx>
        <w:tc>
          <w:p w14:paraId="4C7F3F43">
            <w:pPr>
              <w:pStyle w:val="24"/>
              <w:spacing w:after="0"/>
              <w:jc w:val="left"/>
            </w:pPr>
            <w:r>
              <w:rPr>
                <w:rFonts w:ascii="Aptos" w:hAnsi="Aptos"/>
                <w:b/>
                <w:color w:val="1F2937"/>
                <w:sz w:val="18"/>
              </w:rPr>
              <w:t>A</w:t>
            </w:r>
          </w:p>
        </w:tc>
        <w:tc>
          <w:p w14:paraId="466D4970">
            <w:pPr>
              <w:pStyle w:val="24"/>
              <w:spacing w:after="0"/>
              <w:jc w:val="left"/>
            </w:pPr>
            <w:r>
              <w:rPr>
                <w:rFonts w:ascii="Aptos" w:hAnsi="Aptos"/>
                <w:color w:val="1F2937"/>
                <w:sz w:val="18"/>
              </w:rPr>
              <w:t>Gasto histórico documentado</w:t>
            </w:r>
          </w:p>
        </w:tc>
        <w:tc>
          <w:p w14:paraId="3AB3E938">
            <w:pPr>
              <w:pStyle w:val="24"/>
              <w:spacing w:after="0"/>
              <w:jc w:val="left"/>
            </w:pPr>
            <w:r>
              <w:rPr>
                <w:rFonts w:ascii="Aptos" w:hAnsi="Aptos"/>
                <w:color w:val="1F2937"/>
                <w:sz w:val="18"/>
              </w:rPr>
              <w:t>21/01–14/08/2026</w:t>
            </w:r>
          </w:p>
        </w:tc>
        <w:tc>
          <w:p w14:paraId="3DDF5327">
            <w:pPr>
              <w:pStyle w:val="24"/>
              <w:spacing w:after="0"/>
              <w:jc w:val="right"/>
            </w:pPr>
            <w:r>
              <w:rPr>
                <w:rFonts w:ascii="Aptos" w:hAnsi="Aptos"/>
                <w:b/>
                <w:color w:val="1F2937"/>
                <w:sz w:val="18"/>
              </w:rPr>
              <w:t>1.058,31 € + 21,42 USD</w:t>
            </w:r>
          </w:p>
        </w:tc>
        <w:tc>
          <w:p w14:paraId="4705F049">
            <w:pPr>
              <w:pStyle w:val="24"/>
              <w:spacing w:after="0"/>
              <w:jc w:val="left"/>
            </w:pPr>
            <w:r>
              <w:rPr>
                <w:rFonts w:ascii="Aptos" w:hAnsi="Aptos"/>
                <w:color w:val="1F2937"/>
                <w:sz w:val="18"/>
              </w:rPr>
              <w:t xml:space="preserve">Evidencia de ejecución (Anexo G) — </w:t>
            </w:r>
            <w:r>
              <w:rPr>
                <w:rFonts w:ascii="Aptos" w:hAnsi="Aptos"/>
                <w:b/>
                <w:color w:val="1F2937"/>
                <w:sz w:val="18"/>
              </w:rPr>
              <w:t>NO presupuesto</w:t>
            </w:r>
          </w:p>
        </w:tc>
      </w:tr>
      <w:tr w14:paraId="586A090C">
        <w:tblPrEx>
          <w:tblCellMar>
            <w:top w:w="0" w:type="dxa"/>
            <w:left w:w="108" w:type="dxa"/>
            <w:bottom w:w="0" w:type="dxa"/>
            <w:right w:w="108" w:type="dxa"/>
          </w:tblCellMar>
        </w:tblPrEx>
        <w:tc>
          <w:p w14:paraId="188A6DD2">
            <w:pPr>
              <w:pStyle w:val="24"/>
              <w:spacing w:after="0"/>
              <w:jc w:val="left"/>
            </w:pPr>
            <w:r>
              <w:rPr>
                <w:rFonts w:ascii="Aptos" w:hAnsi="Aptos"/>
                <w:b/>
                <w:color w:val="1F2937"/>
                <w:sz w:val="18"/>
              </w:rPr>
              <w:t>B</w:t>
            </w:r>
          </w:p>
        </w:tc>
        <w:tc>
          <w:p w14:paraId="597D746B">
            <w:pPr>
              <w:pStyle w:val="24"/>
              <w:spacing w:after="0"/>
              <w:jc w:val="left"/>
            </w:pPr>
            <w:r>
              <w:rPr>
                <w:rFonts w:ascii="Aptos" w:hAnsi="Aptos"/>
                <w:b/>
                <w:color w:val="1F2937"/>
                <w:sz w:val="18"/>
              </w:rPr>
              <w:t>Fase 1 — consolidación</w:t>
            </w:r>
          </w:p>
        </w:tc>
        <w:tc>
          <w:p w14:paraId="0E326658">
            <w:pPr>
              <w:pStyle w:val="24"/>
              <w:spacing w:after="0"/>
              <w:jc w:val="left"/>
            </w:pPr>
            <w:r>
              <w:rPr>
                <w:rFonts w:ascii="Aptos" w:hAnsi="Aptos"/>
                <w:color w:val="1F2937"/>
                <w:sz w:val="18"/>
              </w:rPr>
              <w:t>12 meses</w:t>
            </w:r>
          </w:p>
        </w:tc>
        <w:tc>
          <w:p w14:paraId="040B9CB5">
            <w:pPr>
              <w:pStyle w:val="24"/>
              <w:spacing w:after="0"/>
              <w:jc w:val="right"/>
            </w:pPr>
            <w:r>
              <w:rPr>
                <w:rFonts w:ascii="Aptos" w:hAnsi="Aptos"/>
                <w:b/>
                <w:color w:val="1F2937"/>
                <w:sz w:val="18"/>
              </w:rPr>
              <w:t>180.000 € (165.000–195.000)</w:t>
            </w:r>
            <w:r>
              <w:rPr>
                <w:rFonts w:ascii="Aptos" w:hAnsi="Aptos"/>
                <w:color w:val="1F2937"/>
                <w:sz w:val="18"/>
              </w:rPr>
            </w:r>
          </w:p>
        </w:tc>
        <w:tc>
          <w:p w14:paraId="6CF4599A">
            <w:pPr>
              <w:pStyle w:val="24"/>
              <w:spacing w:after="0"/>
              <w:jc w:val="left"/>
            </w:pPr>
            <w:r>
              <w:rPr>
                <w:rFonts w:ascii="Aptos" w:hAnsi="Aptos"/>
                <w:color w:val="1F2937"/>
                <w:sz w:val="18"/>
              </w:rPr>
              <w:t>Financiable · lo que se presenta al PIE PLUS</w:t>
            </w:r>
          </w:p>
        </w:tc>
      </w:tr>
      <w:tr w14:paraId="2B7CADF1">
        <w:tblPrEx>
          <w:tblCellMar>
            <w:top w:w="0" w:type="dxa"/>
            <w:left w:w="108" w:type="dxa"/>
            <w:bottom w:w="0" w:type="dxa"/>
            <w:right w:w="108" w:type="dxa"/>
          </w:tblCellMar>
        </w:tblPrEx>
        <w:tc>
          <w:p w14:paraId="67F3E62E">
            <w:pPr>
              <w:pStyle w:val="24"/>
              <w:spacing w:after="0"/>
              <w:jc w:val="left"/>
            </w:pPr>
            <w:r>
              <w:rPr>
                <w:rFonts w:ascii="Aptos" w:hAnsi="Aptos"/>
                <w:b/>
                <w:color w:val="1F2937"/>
                <w:sz w:val="18"/>
              </w:rPr>
              <w:t>C</w:t>
            </w:r>
          </w:p>
        </w:tc>
        <w:tc>
          <w:p w14:paraId="55D8FFCB">
            <w:pPr>
              <w:pStyle w:val="24"/>
              <w:spacing w:after="0"/>
              <w:jc w:val="left"/>
            </w:pPr>
            <w:r>
              <w:rPr>
                <w:rFonts w:ascii="Aptos" w:hAnsi="Aptos"/>
                <w:color w:val="1F2937"/>
                <w:sz w:val="18"/>
              </w:rPr>
              <w:t>F2 Geotermia</w:t>
            </w:r>
          </w:p>
        </w:tc>
        <w:tc>
          <w:p w14:paraId="450C4D17">
            <w:pPr>
              <w:pStyle w:val="24"/>
              <w:spacing w:after="0"/>
              <w:jc w:val="left"/>
            </w:pPr>
            <w:r>
              <w:rPr>
                <w:rFonts w:ascii="Aptos" w:hAnsi="Aptos"/>
                <w:color w:val="1F2937"/>
                <w:sz w:val="18"/>
              </w:rPr>
              <w:t>TRT + campo</w:t>
            </w:r>
          </w:p>
        </w:tc>
        <w:tc>
          <w:p w14:paraId="2943C566">
            <w:pPr>
              <w:pStyle w:val="24"/>
              <w:spacing w:after="0"/>
              <w:jc w:val="right"/>
            </w:pPr>
            <w:r>
              <w:rPr>
                <w:rFonts w:ascii="Aptos" w:hAnsi="Aptos"/>
                <w:color w:val="1F2937"/>
                <w:sz w:val="18"/>
              </w:rPr>
              <w:t>0,78 M€</w:t>
            </w:r>
          </w:p>
        </w:tc>
        <w:tc>
          <w:p w14:paraId="7659A77A">
            <w:pPr>
              <w:pStyle w:val="24"/>
              <w:spacing w:after="0"/>
              <w:jc w:val="left"/>
            </w:pPr>
            <w:r>
              <w:rPr>
                <w:rFonts w:ascii="Aptos" w:hAnsi="Aptos"/>
                <w:color w:val="1F2937"/>
                <w:sz w:val="18"/>
              </w:rPr>
              <w:t>Condicionado · Gate G2</w:t>
            </w:r>
          </w:p>
        </w:tc>
      </w:tr>
      <w:tr w14:paraId="0DDFCF08">
        <w:tblPrEx>
          <w:tblCellMar>
            <w:top w:w="0" w:type="dxa"/>
            <w:left w:w="108" w:type="dxa"/>
            <w:bottom w:w="0" w:type="dxa"/>
            <w:right w:w="108" w:type="dxa"/>
          </w:tblCellMar>
        </w:tblPrEx>
        <w:tc>
          <w:p w14:paraId="32B876C7">
            <w:pPr>
              <w:pStyle w:val="24"/>
              <w:spacing w:after="0"/>
              <w:jc w:val="left"/>
            </w:pPr>
            <w:r>
              <w:rPr>
                <w:rFonts w:ascii="Aptos" w:hAnsi="Aptos"/>
                <w:b/>
                <w:color w:val="1F2937"/>
                <w:sz w:val="18"/>
              </w:rPr>
              <w:t>C</w:t>
            </w:r>
          </w:p>
        </w:tc>
        <w:tc>
          <w:p w14:paraId="478683AB">
            <w:pPr>
              <w:pStyle w:val="24"/>
              <w:spacing w:after="0"/>
              <w:jc w:val="left"/>
            </w:pPr>
            <w:r>
              <w:rPr>
                <w:rFonts w:ascii="Aptos" w:hAnsi="Aptos"/>
                <w:color w:val="1F2937"/>
                <w:sz w:val="18"/>
              </w:rPr>
              <w:t>F3 Invernadero 1 ha + hidroponía</w:t>
            </w:r>
          </w:p>
        </w:tc>
        <w:tc>
          <w:p w14:paraId="29B11E1C">
            <w:pPr>
              <w:pStyle w:val="24"/>
              <w:spacing w:after="0"/>
              <w:jc w:val="left"/>
            </w:pPr>
            <w:r>
              <w:rPr>
                <w:rFonts w:ascii="Aptos" w:hAnsi="Aptos"/>
                <w:color w:val="1F2937"/>
                <w:sz w:val="18"/>
              </w:rPr>
              <w:t>1 ha</w:t>
            </w:r>
          </w:p>
        </w:tc>
        <w:tc>
          <w:p w14:paraId="57FB44A2">
            <w:pPr>
              <w:pStyle w:val="24"/>
              <w:spacing w:after="0"/>
              <w:jc w:val="right"/>
            </w:pPr>
            <w:r>
              <w:rPr>
                <w:rFonts w:ascii="Aptos" w:hAnsi="Aptos"/>
                <w:color w:val="1F2937"/>
                <w:sz w:val="18"/>
              </w:rPr>
              <w:t>1,63 M€</w:t>
            </w:r>
          </w:p>
        </w:tc>
        <w:tc>
          <w:p w14:paraId="084E4AFD">
            <w:pPr>
              <w:pStyle w:val="24"/>
              <w:spacing w:after="0"/>
              <w:jc w:val="left"/>
            </w:pPr>
            <w:r>
              <w:rPr>
                <w:rFonts w:ascii="Aptos" w:hAnsi="Aptos"/>
                <w:color w:val="1F2937"/>
                <w:sz w:val="18"/>
              </w:rPr>
              <w:t>Condicionado · Gate G3</w:t>
            </w:r>
          </w:p>
        </w:tc>
      </w:tr>
      <w:tr w14:paraId="1256A65E">
        <w:tblPrEx>
          <w:tblCellMar>
            <w:top w:w="0" w:type="dxa"/>
            <w:left w:w="108" w:type="dxa"/>
            <w:bottom w:w="0" w:type="dxa"/>
            <w:right w:w="108" w:type="dxa"/>
          </w:tblCellMar>
        </w:tblPrEx>
        <w:tc>
          <w:p w14:paraId="60F42019">
            <w:pPr>
              <w:pStyle w:val="24"/>
              <w:spacing w:after="0"/>
              <w:jc w:val="left"/>
            </w:pPr>
            <w:r>
              <w:rPr>
                <w:rFonts w:ascii="Aptos" w:hAnsi="Aptos"/>
                <w:b/>
                <w:color w:val="1F2937"/>
                <w:sz w:val="18"/>
              </w:rPr>
              <w:t>C</w:t>
            </w:r>
          </w:p>
        </w:tc>
        <w:tc>
          <w:p w14:paraId="2D35F773">
            <w:pPr>
              <w:pStyle w:val="24"/>
              <w:spacing w:after="0"/>
              <w:jc w:val="left"/>
            </w:pPr>
            <w:r>
              <w:rPr>
                <w:rFonts w:ascii="Aptos" w:hAnsi="Aptos"/>
                <w:color w:val="1F2937"/>
                <w:sz w:val="18"/>
              </w:rPr>
              <w:t>F4 Agrovoltaica</w:t>
            </w:r>
          </w:p>
        </w:tc>
        <w:tc>
          <w:p w14:paraId="62417894">
            <w:pPr>
              <w:pStyle w:val="24"/>
              <w:spacing w:after="0"/>
              <w:jc w:val="left"/>
            </w:pPr>
            <w:r>
              <w:rPr>
                <w:rFonts w:ascii="Aptos" w:hAnsi="Aptos"/>
                <w:color w:val="1F2937"/>
                <w:sz w:val="18"/>
              </w:rPr>
              <w:t>1,3 MWp</w:t>
            </w:r>
          </w:p>
        </w:tc>
        <w:tc>
          <w:p w14:paraId="0A29A9D6">
            <w:pPr>
              <w:pStyle w:val="24"/>
              <w:spacing w:after="0"/>
              <w:jc w:val="right"/>
            </w:pPr>
            <w:r>
              <w:rPr>
                <w:rFonts w:ascii="Aptos" w:hAnsi="Aptos"/>
                <w:color w:val="1F2937"/>
                <w:sz w:val="18"/>
              </w:rPr>
              <w:t>2,925 M€</w:t>
            </w:r>
          </w:p>
        </w:tc>
        <w:tc>
          <w:p w14:paraId="09CDCC87">
            <w:pPr>
              <w:pStyle w:val="24"/>
              <w:spacing w:after="0"/>
              <w:jc w:val="left"/>
            </w:pPr>
            <w:r>
              <w:rPr>
                <w:rFonts w:ascii="Aptos" w:hAnsi="Aptos"/>
                <w:color w:val="1F2937"/>
                <w:sz w:val="18"/>
              </w:rPr>
              <w:t>Condicionado · Gate G4</w:t>
            </w:r>
          </w:p>
        </w:tc>
      </w:tr>
      <w:tr w14:paraId="3A31D8DA">
        <w:tblPrEx>
          <w:tblCellMar>
            <w:top w:w="0" w:type="dxa"/>
            <w:left w:w="108" w:type="dxa"/>
            <w:bottom w:w="0" w:type="dxa"/>
            <w:right w:w="108" w:type="dxa"/>
          </w:tblCellMar>
        </w:tblPrEx>
        <w:tc>
          <w:p w14:paraId="1DE27940">
            <w:pPr>
              <w:pStyle w:val="24"/>
              <w:spacing w:after="0"/>
              <w:jc w:val="left"/>
            </w:pPr>
            <w:r>
              <w:rPr>
                <w:rFonts w:ascii="Aptos" w:hAnsi="Aptos"/>
                <w:b/>
                <w:color w:val="1F2937"/>
                <w:sz w:val="18"/>
              </w:rPr>
              <w:t>C</w:t>
            </w:r>
          </w:p>
        </w:tc>
        <w:tc>
          <w:p w14:paraId="06D177A5">
            <w:pPr>
              <w:pStyle w:val="24"/>
              <w:spacing w:after="0"/>
              <w:jc w:val="left"/>
            </w:pPr>
            <w:r>
              <w:rPr>
                <w:rFonts w:ascii="Aptos" w:hAnsi="Aptos"/>
                <w:color w:val="1F2937"/>
                <w:sz w:val="18"/>
              </w:rPr>
              <w:t>BESS energético</w:t>
            </w:r>
          </w:p>
        </w:tc>
        <w:tc>
          <w:p w14:paraId="2B4C0350">
            <w:pPr>
              <w:pStyle w:val="24"/>
              <w:spacing w:after="0"/>
              <w:jc w:val="left"/>
            </w:pPr>
            <w:r>
              <w:rPr>
                <w:rFonts w:ascii="Aptos" w:hAnsi="Aptos"/>
                <w:color w:val="1F2937"/>
                <w:sz w:val="18"/>
              </w:rPr>
              <w:t>250–500 kWh</w:t>
            </w:r>
          </w:p>
        </w:tc>
        <w:tc>
          <w:p w14:paraId="6D4A4A0D">
            <w:pPr>
              <w:pStyle w:val="24"/>
              <w:spacing w:after="0"/>
              <w:jc w:val="right"/>
            </w:pPr>
            <w:r>
              <w:rPr>
                <w:rFonts w:ascii="Aptos" w:hAnsi="Aptos"/>
                <w:color w:val="1F2937"/>
                <w:sz w:val="18"/>
              </w:rPr>
              <w:t>0,365 M€</w:t>
            </w:r>
          </w:p>
        </w:tc>
        <w:tc>
          <w:p w14:paraId="5F5F9E0C">
            <w:pPr>
              <w:pStyle w:val="24"/>
              <w:spacing w:after="0"/>
              <w:jc w:val="left"/>
            </w:pPr>
            <w:r>
              <w:rPr>
                <w:rFonts w:ascii="Aptos" w:hAnsi="Aptos"/>
                <w:color w:val="1F2937"/>
                <w:sz w:val="18"/>
              </w:rPr>
              <w:t>Condicionado · Gate G4</w:t>
            </w:r>
          </w:p>
        </w:tc>
      </w:tr>
      <w:tr w14:paraId="44F5D2CE">
        <w:tblPrEx>
          <w:tblCellMar>
            <w:top w:w="0" w:type="dxa"/>
            <w:left w:w="108" w:type="dxa"/>
            <w:bottom w:w="0" w:type="dxa"/>
            <w:right w:w="108" w:type="dxa"/>
          </w:tblCellMar>
        </w:tblPrEx>
        <w:tc>
          <w:p w14:paraId="0870D106">
            <w:pPr>
              <w:pStyle w:val="24"/>
              <w:spacing w:after="0"/>
              <w:jc w:val="left"/>
            </w:pPr>
            <w:r>
              <w:rPr>
                <w:rFonts w:ascii="Aptos" w:hAnsi="Aptos"/>
                <w:b/>
                <w:color w:val="1F2937"/>
                <w:sz w:val="18"/>
              </w:rPr>
              <w:t>C</w:t>
            </w:r>
          </w:p>
        </w:tc>
        <w:tc>
          <w:p w14:paraId="657F91AB">
            <w:pPr>
              <w:pStyle w:val="24"/>
              <w:spacing w:after="0"/>
              <w:jc w:val="left"/>
            </w:pPr>
            <w:r>
              <w:rPr>
                <w:rFonts w:ascii="Aptos" w:hAnsi="Aptos"/>
                <w:color w:val="1F2937"/>
                <w:sz w:val="18"/>
              </w:rPr>
              <w:t>F5 Datos soberanos</w:t>
            </w:r>
          </w:p>
        </w:tc>
        <w:tc>
          <w:p w14:paraId="693050FF">
            <w:pPr>
              <w:pStyle w:val="24"/>
              <w:spacing w:after="0"/>
              <w:jc w:val="left"/>
            </w:pPr>
            <w:r>
              <w:rPr>
                <w:rFonts w:ascii="Aptos" w:hAnsi="Aptos"/>
                <w:color w:val="1F2937"/>
                <w:sz w:val="18"/>
              </w:rPr>
              <w:t>ampliable</w:t>
            </w:r>
          </w:p>
        </w:tc>
        <w:tc>
          <w:p w14:paraId="406EF81A">
            <w:pPr>
              <w:pStyle w:val="24"/>
              <w:spacing w:after="0"/>
              <w:jc w:val="right"/>
            </w:pPr>
            <w:r>
              <w:rPr>
                <w:rFonts w:ascii="Aptos" w:hAnsi="Aptos"/>
                <w:color w:val="1F2937"/>
                <w:sz w:val="18"/>
              </w:rPr>
              <w:t>0,395 M€</w:t>
            </w:r>
          </w:p>
        </w:tc>
        <w:tc>
          <w:p w14:paraId="5D4CF02D">
            <w:pPr>
              <w:pStyle w:val="24"/>
              <w:spacing w:after="0"/>
              <w:jc w:val="left"/>
            </w:pPr>
            <w:r>
              <w:rPr>
                <w:rFonts w:ascii="Aptos" w:hAnsi="Aptos"/>
                <w:color w:val="1F2937"/>
                <w:sz w:val="18"/>
              </w:rPr>
              <w:t>Condicionado · Gate G5</w:t>
            </w:r>
          </w:p>
        </w:tc>
      </w:tr>
      <w:tr w14:paraId="36C7D39B">
        <w:tblPrEx>
          <w:tblCellMar>
            <w:top w:w="0" w:type="dxa"/>
            <w:left w:w="108" w:type="dxa"/>
            <w:bottom w:w="0" w:type="dxa"/>
            <w:right w:w="108" w:type="dxa"/>
          </w:tblCellMar>
        </w:tblPrEx>
        <w:tc>
          <w:p w14:paraId="63697DE4">
            <w:pPr>
              <w:pStyle w:val="24"/>
              <w:spacing w:after="0"/>
              <w:jc w:val="left"/>
            </w:pPr>
            <w:r>
              <w:rPr>
                <w:rFonts w:ascii="Aptos" w:hAnsi="Aptos"/>
                <w:b/>
                <w:color w:val="1F2937"/>
                <w:sz w:val="18"/>
              </w:rPr>
              <w:t>C</w:t>
            </w:r>
          </w:p>
        </w:tc>
        <w:tc>
          <w:p w14:paraId="60924526">
            <w:pPr>
              <w:pStyle w:val="24"/>
              <w:spacing w:after="0"/>
              <w:jc w:val="left"/>
            </w:pPr>
            <w:r>
              <w:rPr>
                <w:rFonts w:ascii="Aptos" w:hAnsi="Aptos"/>
                <w:b/>
                <w:color w:val="1F2937"/>
                <w:sz w:val="18"/>
              </w:rPr>
              <w:t>Visión completa (Σ subsistemas)</w:t>
            </w:r>
          </w:p>
        </w:tc>
        <w:tc>
          <w:p w14:paraId="5934FC41">
            <w:pPr>
              <w:pStyle w:val="24"/>
              <w:spacing w:after="0"/>
              <w:jc w:val="left"/>
            </w:pPr>
            <w:r>
              <w:rPr>
                <w:rFonts w:ascii="Aptos" w:hAnsi="Aptos"/>
                <w:color w:val="1F2937"/>
                <w:sz w:val="18"/>
              </w:rPr>
              <w:t>—</w:t>
            </w:r>
          </w:p>
        </w:tc>
        <w:tc>
          <w:p w14:paraId="48CBA569">
            <w:pPr>
              <w:pStyle w:val="24"/>
              <w:spacing w:after="0"/>
              <w:jc w:val="right"/>
            </w:pPr>
            <w:r>
              <w:rPr>
                <w:rFonts w:ascii="Aptos" w:hAnsi="Aptos"/>
                <w:b/>
                <w:color w:val="1F2937"/>
                <w:sz w:val="18"/>
              </w:rPr>
              <w:t>≈ 6,26 M€</w:t>
            </w:r>
          </w:p>
        </w:tc>
        <w:tc>
          <w:p w14:paraId="0264EE3D">
            <w:pPr>
              <w:pStyle w:val="24"/>
              <w:spacing w:after="0"/>
              <w:jc w:val="left"/>
            </w:pPr>
            <w:r>
              <w:rPr>
                <w:rFonts w:ascii="Aptos" w:hAnsi="Aptos"/>
                <w:color w:val="1F2937"/>
                <w:sz w:val="18"/>
              </w:rPr>
              <w:t>Prudente 5,14 / techo 7,46 M€</w:t>
            </w:r>
          </w:p>
        </w:tc>
      </w:tr>
    </w:tbl>
    <w:p w14:paraId="5EC9CE4D">
      <w:pPr>
        <w:pStyle w:val="3"/>
      </w:pPr>
      <w:r>
        <w:rPr>
          <w:rFonts w:ascii="Aptos" w:hAnsi="Aptos"/>
          <w:b/>
          <w:color w:val="1F2937"/>
          <w:sz w:val="21"/>
        </w:rPr>
        <w:t>Lectura para el jurado.</w:t>
      </w:r>
      <w:r>
        <w:rPr>
          <w:rFonts w:ascii="Aptos" w:hAnsi="Aptos"/>
          <w:color w:val="1F2937"/>
          <w:sz w:val="21"/>
        </w:rPr>
        <w:t xml:space="preserve"> La primera inversión es pequeña frente al sistema completo porque </w:t>
      </w:r>
      <w:r>
        <w:rPr>
          <w:rFonts w:ascii="Aptos" w:hAnsi="Aptos"/>
          <w:b/>
          <w:color w:val="1F2937"/>
          <w:sz w:val="21"/>
        </w:rPr>
        <w:t>compra información, validación y mercado antes de comprar hormigón, perforaciones y paneles</w:t>
      </w:r>
      <w:r>
        <w:rPr>
          <w:rFonts w:ascii="Aptos" w:hAnsi="Aptos"/>
          <w:color w:val="1F2937"/>
          <w:sz w:val="21"/>
        </w:rPr>
        <w:t xml:space="preserve">. Cada etapa se activa solo cuando el Gate anterior la justifica. El premio PIE PLUS es un </w:t>
      </w:r>
      <w:r>
        <w:rPr>
          <w:rFonts w:ascii="Aptos" w:hAnsi="Aptos"/>
          <w:b/>
          <w:color w:val="1F2937"/>
          <w:sz w:val="21"/>
        </w:rPr>
        <w:t>catalizador</w:t>
      </w:r>
      <w:r>
        <w:rPr>
          <w:rFonts w:ascii="Aptos" w:hAnsi="Aptos"/>
          <w:color w:val="1F2937"/>
          <w:sz w:val="21"/>
        </w:rPr>
        <w:t xml:space="preserve"> y </w:t>
      </w:r>
      <w:r>
        <w:rPr>
          <w:rFonts w:ascii="Aptos" w:hAnsi="Aptos"/>
          <w:b/>
          <w:color w:val="1F2937"/>
          <w:sz w:val="21"/>
        </w:rPr>
        <w:t>no se computa</w:t>
      </w:r>
      <w:r>
        <w:rPr>
          <w:rFonts w:ascii="Aptos" w:hAnsi="Aptos"/>
          <w:color w:val="1F2937"/>
          <w:sz w:val="21"/>
        </w:rPr>
        <w:t xml:space="preserve"> en este cuadro. </w:t>
      </w:r>
      <w:r>
        <w:rPr>
          <w:rFonts w:ascii="Aptos" w:hAnsi="Aptos"/>
          <w:i/>
          <w:color w:val="1F2937"/>
          <w:sz w:val="21"/>
        </w:rPr>
        <w:t>“Primero probamos, medimos y validamos; después escalamos. La visión completa está cuantificada; la ejecución está escalonada. La Fase 1 financiera es M1–M12 y la ventana de validación G1 puede extenderse hasta M18 sin ampliar automáticamente la envolvente inicial.”</w:t>
      </w:r>
    </w:p>
    <w:p w14:paraId="724EEF21">
      <w:pPr>
        <w:pStyle w:val="3"/>
      </w:pPr>
      <w:r>
        <w:rPr>
          <w:rFonts w:ascii="Aptos" w:hAnsi="Aptos"/>
          <w:b/>
          <w:color w:val="1F2937"/>
          <w:sz w:val="21"/>
        </w:rPr>
        <w:t>Autoevaluación interna de gestión del plan: 8,6/10</w:t>
      </w:r>
      <w:r>
        <w:rPr>
          <w:rFonts w:ascii="Aptos" w:hAnsi="Aptos"/>
          <w:color w:val="1F2937"/>
          <w:sz w:val="21"/>
        </w:rPr>
        <w:t xml:space="preserve"> (§10, moderada tras auditoría). Índice Global de Trazabilidad objetivo tras G1: 96,4 % (§11.7). Las cifras marcadas </w:t>
      </w:r>
      <w:r>
        <w:rPr>
          <w:rFonts w:ascii="Aptos" w:hAnsi="Aptos"/>
          <w:i/>
          <w:color w:val="1F2937"/>
          <w:sz w:val="21"/>
        </w:rPr>
        <w:t>objetivo</w:t>
      </w:r>
      <w:r>
        <w:rPr>
          <w:rFonts w:ascii="Aptos" w:hAnsi="Aptos"/>
          <w:color w:val="1F2937"/>
          <w:sz w:val="21"/>
        </w:rPr>
        <w:t xml:space="preserve"> son metas de la Fase 1 a validar en el SEV, no mediciones consumadas.</w:t>
      </w:r>
    </w:p>
    <w:p w14:paraId="387601A4">
      <w:pPr>
        <w:pStyle w:val="2"/>
      </w:pPr>
      <w:bookmarkStart w:id="1" w:name="X016458db1ea8e625850251db2ea9bf2c4e603f9"/>
      <w:r>
        <w:rPr>
          <w:rFonts w:ascii="Aptos Display" w:hAnsi="Aptos Display"/>
          <w:b/>
          <w:color w:val="174A2E"/>
          <w:sz w:val="21"/>
        </w:rPr>
        <w:t>1. Identificación del proyecto y adecuación territorial</w:t>
      </w:r>
      <w:bookmarkEnd w:id="1"/>
    </w:p>
    <w:p w14:paraId="54E9034B">
      <w:pPr>
        <w:pStyle w:val="4"/>
      </w:pPr>
      <w:bookmarkStart w:id="2" w:name="datos-básicos-del-proyecto-y-empresa"/>
      <w:r>
        <w:rPr>
          <w:rFonts w:ascii="Aptos Display" w:hAnsi="Aptos Display"/>
          <w:b/>
          <w:color w:val="174A2E"/>
          <w:sz w:val="21"/>
        </w:rPr>
        <w:t>1.1. Datos básicos del proyecto y empresa</w:t>
      </w:r>
      <w:bookmarkEnd w:id="2"/>
    </w:p>
    <w:p w14:paraId="640F5CCA">
      <w:pPr>
        <w:pStyle w:val="23"/>
      </w:pPr>
      <w:r>
        <w:t>Nombre del proyecto / empresa: CASTÚO-SYSTEM™ — plataforma tecnológica modular de infraestructura digital rural. Solicitante y persona promotora: Gregorio Jiménez Bodes, persona física. Grupo Castúo 360 S.L. se describe únicamente como forma societaria prevista, sujeta a constitución y no como solicitante ya constituida. Marca / nombre comercial: CASTÚO-SYSTEM™ (expediente M4359038), solicitud en proceso de concesión (tasa de 210,72 € abonada; aún no concedida).</w:t>
      </w:r>
    </w:p>
    <w:p w14:paraId="75EB11F2">
      <w:pPr>
        <w:pStyle w:val="3"/>
      </w:pPr>
      <w:r>
        <w:rPr>
          <w:rFonts w:ascii="Aptos" w:hAnsi="Aptos"/>
          <w:b/>
          <w:color w:val="1F2937"/>
          <w:sz w:val="21"/>
        </w:rPr>
        <w:t>Ubicación geográfica exacta:</w:t>
      </w:r>
      <w:r>
        <w:rPr>
          <w:rFonts w:ascii="Aptos" w:hAnsi="Aptos"/>
          <w:color w:val="1F2937"/>
          <w:sz w:val="21"/>
        </w:rPr>
        <w:t xml:space="preserve"> Membrío (Cáceres), comarca de la Sierra de San Pedro, Extremadura. Oficina operativa en el casco urbano (local en alquiler) y parcela rústica para los ensayos de la Fase 1, cuya cesión se instrumenta mediante proceso de negociación con el Ayuntamiento y la Mancomunidad Sierra de San Pedro (no firmado; la referencia catastral se incorporará a la firma).</w:t>
      </w:r>
    </w:p>
    <w:p w14:paraId="4EC8DC35">
      <w:pPr>
        <w:pStyle w:val="3"/>
      </w:pPr>
      <w:r>
        <w:t>Forma jurídica prevista: Grupo Castúo 360 S.L., sujeta a constitución; la participación en PIE PLUS se formula a título de persona física y con implantación prevista en Membrío (Cáceres), solicitante de la marca CASTÚO-SYSTEM™ (M4359038, en proceso de concesión). La sociedad prevista aportaría, una vez constituida, limitación de responsabilidad, encaje para la entrada de socios o financiación por hitos, y solvencia formal ante administraciones y entidades financieras.</w:t>
      </w:r>
    </w:p>
    <w:p w14:paraId="053D40AA">
      <w:pPr>
        <w:pStyle w:val="3"/>
      </w:pPr>
      <w:r>
        <w:rPr>
          <w:rFonts w:ascii="Aptos" w:hAnsi="Aptos"/>
          <w:b/>
          <w:color w:val="1F2937"/>
          <w:sz w:val="21"/>
        </w:rPr>
        <w:t>Fecha estimada de inicio de la actividad:</w:t>
      </w:r>
      <w:r>
        <w:rPr>
          <w:rFonts w:ascii="Aptos" w:hAnsi="Aptos"/>
          <w:color w:val="1F2937"/>
          <w:sz w:val="21"/>
        </w:rPr>
        <w:t xml:space="preserve"> cuarto trimestre de 2026 (constitución de la sociedad y arranque de la Fase 1).</w:t>
      </w:r>
    </w:p>
    <w:p w14:paraId="2218BF2D">
      <w:pPr>
        <w:pStyle w:val="3"/>
      </w:pPr>
      <w:r>
        <w:rPr>
          <w:rFonts w:ascii="Aptos" w:hAnsi="Aptos"/>
          <w:color w:val="1F2937"/>
          <w:sz w:val="21"/>
        </w:rPr>
        <w:t>Inversión inicial (Fase 1): envolvente de 165.000–195.000 €, con un escenario central de 180.000 €. Esta fase comprende el endurecimiento del núcleo SaaS, seguridad y ciberseguridad, cumplimiento y preparación de auditorías, refuerzo de la capa GaiaChain/TRAZALIA, una estructura mínima de ejecución (promotor, técnico de software y apoyo parcial de campo/comercial), sus cargas (RETA/cotizaciones), equipos y medios, gastos legales y administrativos, herramientas y licencias y un margen prudente de tesorería y contingencia. No incluye geotermia, almacenamiento ampliado de infraestructura, invernadero, agrovoltaica ni otras inversiones físicas del Plano C. La envolvente no implica que los 180.000 € deban ejecutarse íntegramente: la Fase 1 se estructura en 165.000 € prudente, 180.000 € central y 195.000 € techo, activándose cada partida únicamente cuando exista necesidad real, evidencia documental o desviación justificada. El detalle por bloques figura en §4.3 y en el Excel oficial (hoja «Inversión Inicial» del Excel oficial).</w:t>
      </w:r>
    </w:p>
    <w:p w14:paraId="08993C22">
      <w:pPr>
        <w:pStyle w:val="3"/>
      </w:pPr>
      <w:r>
        <w:rPr>
          <w:rFonts w:ascii="Aptos" w:hAnsi="Aptos"/>
          <w:b/>
          <w:color w:val="1F2937"/>
          <w:sz w:val="21"/>
        </w:rPr>
        <w:t>Recursos propios dinerarios iniciales: 0 €.</w:t>
      </w:r>
      <w:r>
        <w:rPr>
          <w:rFonts w:ascii="Aptos" w:hAnsi="Aptos"/>
          <w:color w:val="1F2937"/>
          <w:sz w:val="21"/>
        </w:rPr>
        <w:t xml:space="preserve"> El promotor </w:t>
      </w:r>
      <w:r>
        <w:rPr>
          <w:rFonts w:ascii="Aptos" w:hAnsi="Aptos"/>
          <w:b/>
          <w:color w:val="1F2937"/>
          <w:sz w:val="21"/>
        </w:rPr>
        <w:t>no dispone de capital dinerario inicial</w:t>
      </w:r>
      <w:r>
        <w:rPr>
          <w:rFonts w:ascii="Aptos" w:hAnsi="Aptos"/>
          <w:color w:val="1F2937"/>
          <w:sz w:val="21"/>
        </w:rPr>
        <w:t xml:space="preserve"> para financiar la Fase 1. Existen actualmente líneas de apoyo económico </w:t>
      </w:r>
      <w:r>
        <w:rPr>
          <w:rFonts w:ascii="Aptos" w:hAnsi="Aptos"/>
          <w:b/>
          <w:color w:val="1F2937"/>
          <w:sz w:val="21"/>
        </w:rPr>
        <w:t>en trámite</w:t>
      </w:r>
      <w:r>
        <w:rPr>
          <w:rFonts w:ascii="Aptos" w:hAnsi="Aptos"/>
          <w:color w:val="1F2937"/>
          <w:sz w:val="21"/>
        </w:rPr>
        <w:t xml:space="preserve"> por aproximadamente </w:t>
      </w:r>
      <w:r>
        <w:rPr>
          <w:rFonts w:ascii="Aptos" w:hAnsi="Aptos"/>
          <w:b/>
          <w:color w:val="1F2937"/>
          <w:sz w:val="21"/>
        </w:rPr>
        <w:t>18.000 €</w:t>
      </w:r>
      <w:r>
        <w:rPr>
          <w:rFonts w:ascii="Aptos" w:hAnsi="Aptos"/>
          <w:color w:val="1F2937"/>
          <w:sz w:val="21"/>
        </w:rPr>
        <w:t xml:space="preserve"> y una </w:t>
      </w:r>
      <w:r>
        <w:rPr>
          <w:rFonts w:ascii="Aptos" w:hAnsi="Aptos"/>
          <w:b/>
          <w:color w:val="1F2937"/>
          <w:sz w:val="21"/>
        </w:rPr>
        <w:t>ayuda al retorno</w:t>
      </w:r>
      <w:r>
        <w:rPr>
          <w:rFonts w:ascii="Aptos" w:hAnsi="Aptos"/>
          <w:color w:val="1F2937"/>
          <w:sz w:val="21"/>
        </w:rPr>
        <w:t xml:space="preserve"> de </w:t>
      </w:r>
      <w:r>
        <w:rPr>
          <w:rFonts w:ascii="Aptos" w:hAnsi="Aptos"/>
          <w:b/>
          <w:color w:val="1F2937"/>
          <w:sz w:val="21"/>
        </w:rPr>
        <w:t>≈2.700 €</w:t>
      </w:r>
      <w:r>
        <w:rPr>
          <w:rFonts w:ascii="Aptos" w:hAnsi="Aptos"/>
          <w:color w:val="1F2937"/>
          <w:sz w:val="21"/>
        </w:rPr>
        <w:t xml:space="preserve">, </w:t>
      </w:r>
      <w:r>
        <w:rPr>
          <w:rFonts w:ascii="Aptos" w:hAnsi="Aptos"/>
          <w:b/>
          <w:color w:val="1F2937"/>
          <w:sz w:val="21"/>
        </w:rPr>
        <w:t>ninguna de las cuales se considera caja</w:t>
      </w:r>
      <w:r>
        <w:rPr>
          <w:rFonts w:ascii="Aptos" w:hAnsi="Aptos"/>
          <w:color w:val="1F2937"/>
          <w:sz w:val="21"/>
        </w:rPr>
        <w:t xml:space="preserve"> hasta su concesión y cobro efectivo. Como principal contribución económica al proyecto, el promotor aporta el </w:t>
      </w:r>
      <w:r>
        <w:rPr>
          <w:rFonts w:ascii="Aptos" w:hAnsi="Aptos"/>
          <w:b/>
          <w:color w:val="1F2937"/>
          <w:sz w:val="21"/>
        </w:rPr>
        <w:t>trabajo tecnológico ya desarrollado</w:t>
      </w:r>
      <w:r>
        <w:rPr>
          <w:rFonts w:ascii="Aptos" w:hAnsi="Aptos"/>
          <w:color w:val="1F2937"/>
          <w:sz w:val="21"/>
        </w:rPr>
        <w:t xml:space="preserve"> y, cuando se formalice jurídicamente, el </w:t>
      </w:r>
      <w:r>
        <w:rPr>
          <w:rFonts w:ascii="Aptos" w:hAnsi="Aptos"/>
          <w:b/>
          <w:color w:val="1F2937"/>
          <w:sz w:val="21"/>
        </w:rPr>
        <w:t>activo tecnológico</w:t>
      </w:r>
      <w:r>
        <w:rPr>
          <w:rFonts w:ascii="Aptos" w:hAnsi="Aptos"/>
          <w:color w:val="1F2937"/>
          <w:sz w:val="21"/>
        </w:rPr>
        <w:t xml:space="preserve"> correspondiente, valorado mediante Coste de Reposición Nuevo en </w:t>
      </w:r>
      <w:r>
        <w:rPr>
          <w:rFonts w:ascii="Aptos" w:hAnsi="Aptos"/>
          <w:b/>
          <w:color w:val="1F2937"/>
          <w:sz w:val="21"/>
        </w:rPr>
        <w:t>420.000 €</w:t>
      </w:r>
      <w:r>
        <w:rPr>
          <w:rFonts w:ascii="Aptos" w:hAnsi="Aptos"/>
          <w:color w:val="1F2937"/>
          <w:sz w:val="21"/>
        </w:rPr>
        <w:t xml:space="preserve"> — coste técnico estimado de reconstrucción del activo existente, </w:t>
      </w:r>
      <w:r>
        <w:rPr>
          <w:rFonts w:ascii="Aptos" w:hAnsi="Aptos"/>
          <w:b/>
          <w:color w:val="1F2937"/>
          <w:sz w:val="21"/>
        </w:rPr>
        <w:t>no liquidez disponible</w:t>
      </w:r>
      <w:r>
        <w:rPr>
          <w:rFonts w:ascii="Aptos" w:hAnsi="Aptos"/>
          <w:color w:val="1F2937"/>
          <w:sz w:val="21"/>
        </w:rPr>
        <w:t xml:space="preserve">. El premio PIE PLUS es catalizador, estado </w:t>
      </w:r>
      <w:r>
        <w:rPr>
          <w:rFonts w:ascii="Aptos" w:hAnsi="Aptos"/>
          <w:b/>
          <w:color w:val="1F2937"/>
          <w:sz w:val="21"/>
        </w:rPr>
        <w:t>NO COBRADO</w:t>
      </w:r>
      <w:r>
        <w:rPr>
          <w:rFonts w:ascii="Aptos" w:hAnsi="Aptos"/>
          <w:color w:val="1F2937"/>
          <w:sz w:val="21"/>
        </w:rPr>
        <w:t xml:space="preserve">, y </w:t>
      </w:r>
      <w:r>
        <w:rPr>
          <w:rFonts w:ascii="Aptos" w:hAnsi="Aptos"/>
          <w:b/>
          <w:color w:val="1F2937"/>
          <w:sz w:val="21"/>
        </w:rPr>
        <w:t>no se computa</w:t>
      </w:r>
      <w:r>
        <w:rPr>
          <w:rFonts w:ascii="Aptos" w:hAnsi="Aptos"/>
          <w:color w:val="1F2937"/>
          <w:sz w:val="21"/>
        </w:rPr>
        <w:t xml:space="preserve"> en el modelo financiero.</w:t>
      </w:r>
    </w:p>
    <w:p w14:paraId="125867E5">
      <w:pPr>
        <w:pStyle w:val="3"/>
      </w:pPr>
      <w:r>
        <w:rPr>
          <w:rFonts w:ascii="Aptos" w:hAnsi="Aptos"/>
          <w:b/>
          <w:color w:val="1F2937"/>
          <w:sz w:val="21"/>
        </w:rPr>
        <w:t>Financiación externa necesaria (Fase 1): 180.000 € (escenario central) — financiación NECESARIA a captar, no desembolsada ni disponible. Con caja propia inicial de 0 €, la totalidad de la envolvente de F1 constituye necesidad de financiación pendiente de captación (préstamo/deuda blanda a 7 años, subvenciones de emprendimiento rural y digitalización, y ayudas en trámite si se conceden y cobran). Estados declarados: líneas públicas de apoyo al emprendimiento rural y a la digitalización agraria, microcrédito o deuda blanda con entidad financiera de proximidad, y colaboraciones técnicas en especie (centro tecnológico, universidad, incubadoras) para la validación de ensayos. Cada fuente se registra en el sistema de trazabilidad del proyecto (SEV) con su estado: identificada → solicitada → concedida. Las fases físicas posteriores (F2–F4) requerirán cofinanciación pública del 50–70 % en obra más deuda blanda con carencia — y se declara desde ya que esa infraestructura no es apta para capital privado impaciente (payback 7–12 años con cofinanciación).</w:t>
      </w:r>
      <w:r>
        <w:rPr>
          <w:rFonts w:ascii="Aptos" w:hAnsi="Aptos"/>
          <w:color w:val="1F2937"/>
          <w:sz w:val="21"/>
        </w:rPr>
      </w:r>
      <w:r>
        <w:rPr>
          <w:rFonts w:ascii="Aptos" w:hAnsi="Aptos"/>
          <w:b/>
          <w:color w:val="1F2937"/>
          <w:sz w:val="21"/>
        </w:rPr>
      </w:r>
      <w:r>
        <w:rPr>
          <w:rFonts w:ascii="Aptos" w:hAnsi="Aptos"/>
          <w:color w:val="1F2937"/>
          <w:sz w:val="21"/>
        </w:rPr>
      </w:r>
    </w:p>
    <w:p w14:paraId="1EDFC4D6">
      <w:pPr>
        <w:pStyle w:val="3"/>
      </w:pPr>
      <w:r>
        <w:rPr>
          <w:rFonts w:ascii="Aptos" w:hAnsi="Aptos"/>
          <w:b/>
          <w:color w:val="1F2937"/>
          <w:sz w:val="21"/>
        </w:rPr>
        <w:t>Número de empleados previstos para el arranque (sin contar al promotor):</w:t>
      </w:r>
      <w:r>
        <w:rPr>
          <w:rFonts w:ascii="Aptos" w:hAnsi="Aptos"/>
          <w:color w:val="1F2937"/>
          <w:sz w:val="21"/>
        </w:rPr>
        <w:t xml:space="preserve"> 1–2 (desarrollo de software). El plan de plantilla crece con las fases hasta 6–10 empleos directos más 3–5 indirectos, según la tabla del apartado 8.1.</w:t>
      </w:r>
    </w:p>
    <w:p w14:paraId="2B5303B0">
      <w:pPr>
        <w:pStyle w:val="3"/>
      </w:pPr>
      <w:r>
        <w:rPr>
          <w:rFonts w:ascii="Aptos" w:hAnsi="Aptos"/>
          <w:b/>
          <w:color w:val="1F2937"/>
          <w:sz w:val="21"/>
        </w:rPr>
        <w:t>Fases futuras condicionadas (Plano C; no computan en la inversión inicial):</w:t>
      </w:r>
      <w:r>
        <w:rPr>
          <w:rFonts w:ascii="Aptos" w:hAnsi="Aptos"/>
          <w:color w:val="1F2937"/>
          <w:sz w:val="21"/>
        </w:rPr>
        <w:t xml:space="preserve"> geotermia de baja entalpía, almacenamiento de datos ampliado, invernadero, agrovoltaica e infraestructura física, con CAPEX futuro condicionado —suma de subsistemas (F2–F5, §4.3.6)— en una envolvente </w:t>
      </w:r>
      <w:r>
        <w:rPr>
          <w:rFonts w:ascii="Aptos" w:hAnsi="Aptos"/>
          <w:b/>
          <w:color w:val="1F2937"/>
          <w:sz w:val="21"/>
        </w:rPr>
        <w:t>prudente 5,14 M€ / central 6,26 M€ / techo 7,46 M€</w:t>
      </w:r>
      <w:r>
        <w:rPr>
          <w:rFonts w:ascii="Aptos" w:hAnsi="Aptos"/>
          <w:color w:val="1F2937"/>
          <w:sz w:val="21"/>
        </w:rPr>
        <w:t xml:space="preserve">, cada línea activada solo tras validar la etapa previa (técnica, comercial y financiera). Si una etapa no se valida, el negocio permanece en su </w:t>
      </w:r>
      <w:r>
        <w:rPr>
          <w:rFonts w:ascii="Aptos" w:hAnsi="Aptos"/>
          <w:b/>
          <w:color w:val="1F2937"/>
          <w:sz w:val="21"/>
        </w:rPr>
        <w:t>núcleo digital viable</w:t>
      </w:r>
      <w:r>
        <w:rPr>
          <w:rFonts w:ascii="Aptos" w:hAnsi="Aptos"/>
          <w:color w:val="1F2937"/>
          <w:sz w:val="21"/>
        </w:rPr>
        <w:t>, sin obra comprometida.</w:t>
      </w:r>
    </w:p>
    <w:p w14:paraId="3F329C10">
      <w:pPr>
        <w:pStyle w:val="4"/>
      </w:pPr>
      <w:bookmarkStart w:id="3" w:name="X09686be815782b03df7ce136e11bf93fd9a2343"/>
      <w:r>
        <w:rPr>
          <w:rFonts w:ascii="Aptos Display" w:hAnsi="Aptos Display"/>
          <w:b/>
          <w:color w:val="174A2E"/>
          <w:sz w:val="21"/>
        </w:rPr>
        <w:t>1.1bis. Aportación del promotor y situación financiera real</w:t>
      </w:r>
      <w:bookmarkEnd w:id="3"/>
    </w:p>
    <w:p w14:paraId="600050E2">
      <w:pPr>
        <w:pStyle w:val="22"/>
      </w:pPr>
      <w:r>
        <w:rPr>
          <w:rFonts w:ascii="Aptos" w:hAnsi="Aptos"/>
          <w:b/>
          <w:color w:val="1F2937"/>
          <w:sz w:val="21"/>
        </w:rPr>
        <w:t>Regla absoluta.</w:t>
      </w:r>
      <w:r>
        <w:rPr>
          <w:rFonts w:ascii="Aptos" w:hAnsi="Aptos"/>
          <w:color w:val="1F2937"/>
          <w:sz w:val="21"/>
        </w:rPr>
        <w:t xml:space="preserve"> Una ayuda o subvención </w:t>
      </w:r>
      <w:r>
        <w:rPr>
          <w:rFonts w:ascii="Aptos" w:hAnsi="Aptos"/>
          <w:i/>
          <w:color w:val="1F2937"/>
          <w:sz w:val="21"/>
        </w:rPr>
        <w:t>en trámite</w:t>
      </w:r>
      <w:r>
        <w:rPr>
          <w:rFonts w:ascii="Aptos" w:hAnsi="Aptos"/>
          <w:color w:val="1F2937"/>
          <w:sz w:val="21"/>
        </w:rPr>
        <w:t xml:space="preserve">, </w:t>
      </w:r>
      <w:r>
        <w:rPr>
          <w:rFonts w:ascii="Aptos" w:hAnsi="Aptos"/>
          <w:i/>
          <w:color w:val="1F2937"/>
          <w:sz w:val="21"/>
        </w:rPr>
        <w:t>solicitada</w:t>
      </w:r>
      <w:r>
        <w:rPr>
          <w:rFonts w:ascii="Aptos" w:hAnsi="Aptos"/>
          <w:color w:val="1F2937"/>
          <w:sz w:val="21"/>
        </w:rPr>
        <w:t xml:space="preserve"> o </w:t>
      </w:r>
      <w:r>
        <w:rPr>
          <w:rFonts w:ascii="Aptos" w:hAnsi="Aptos"/>
          <w:i/>
          <w:color w:val="1F2937"/>
          <w:sz w:val="21"/>
        </w:rPr>
        <w:t>pendiente de resolución</w:t>
      </w:r>
      <w:r>
        <w:rPr>
          <w:rFonts w:ascii="Aptos" w:hAnsi="Aptos"/>
          <w:color w:val="1F2937"/>
          <w:sz w:val="21"/>
        </w:rPr>
        <w:t xml:space="preserve"> </w:t>
      </w:r>
      <w:r>
        <w:rPr>
          <w:rFonts w:ascii="Aptos" w:hAnsi="Aptos"/>
          <w:b/>
          <w:color w:val="1F2937"/>
          <w:sz w:val="21"/>
        </w:rPr>
        <w:t>no es caja, no es recurso disponible y no genera tesorería positiva</w:t>
      </w:r>
      <w:r>
        <w:rPr>
          <w:rFonts w:ascii="Aptos" w:hAnsi="Aptos"/>
          <w:color w:val="1F2937"/>
          <w:sz w:val="21"/>
        </w:rPr>
        <w:t xml:space="preserve"> hasta su concesión y cobro efectivo.</w:t>
      </w:r>
    </w:p>
    <w:tbl>
      <w:tblPr>
        <w:tblStyle w:val="28"/>
        <w:tblW w:w="5000" w:type="pct"/>
        <w:jc w:val="center"/>
        <w:tblInd w:w="0" w:type="dxa"/>
        <w:tblLayout w:type="fixed"/>
        <w:tblCellMar>
          <w:top w:w="0" w:type="dxa"/>
          <w:left w:w="108" w:type="dxa"/>
          <w:bottom w:w="0" w:type="dxa"/>
          <w:right w:w="108" w:type="dxa"/>
        </w:tblCellMar>
      </w:tblPr>
      <w:tblGrid>
        <w:gridCol w:w="2952"/>
        <w:gridCol w:w="2952"/>
        <w:gridCol w:w="2952"/>
      </w:tblGrid>
      <w:tr w14:paraId="28EAB293">
        <w:tblPrEx>
          <w:tblCellMar>
            <w:top w:w="0" w:type="dxa"/>
            <w:left w:w="108" w:type="dxa"/>
            <w:bottom w:w="0" w:type="dxa"/>
            <w:right w:w="108" w:type="dxa"/>
          </w:tblCellMar>
        </w:tblPrEx>
        <w:tc>
          <w:tcPr>
            <w:tcW w:w="3120" w:type="dxa"/>
            <w:tcBorders>
              <w:bottom w:val="single" w:color="auto" w:sz="0" w:space="0"/>
            </w:tcBorders>
            <w:vAlign w:val="bottom"/>
          </w:tcPr>
          <w:p w14:paraId="01E4E857">
            <w:pPr>
              <w:pStyle w:val="24"/>
              <w:spacing w:after="0"/>
              <w:jc w:val="left"/>
            </w:pPr>
            <w:r>
              <w:rPr>
                <w:rFonts w:ascii="Aptos" w:hAnsi="Aptos"/>
                <w:color w:val="1F2937"/>
                <w:sz w:val="18"/>
              </w:rPr>
              <w:t>Concepto</w:t>
            </w:r>
          </w:p>
        </w:tc>
        <w:tc>
          <w:tcPr>
            <w:tcW w:w="3120" w:type="dxa"/>
            <w:tcBorders>
              <w:bottom w:val="single" w:color="auto" w:sz="0" w:space="0"/>
            </w:tcBorders>
            <w:vAlign w:val="bottom"/>
          </w:tcPr>
          <w:p w14:paraId="2E3B6062">
            <w:pPr>
              <w:pStyle w:val="24"/>
              <w:spacing w:after="0"/>
              <w:jc w:val="right"/>
            </w:pPr>
            <w:r>
              <w:rPr>
                <w:rFonts w:ascii="Aptos" w:hAnsi="Aptos"/>
                <w:color w:val="1F2937"/>
                <w:sz w:val="18"/>
              </w:rPr>
              <w:t>Importe</w:t>
            </w:r>
          </w:p>
        </w:tc>
        <w:tc>
          <w:tcPr>
            <w:tcW w:w="3120" w:type="dxa"/>
            <w:tcBorders>
              <w:bottom w:val="single" w:color="auto" w:sz="0" w:space="0"/>
            </w:tcBorders>
            <w:vAlign w:val="bottom"/>
          </w:tcPr>
          <w:p w14:paraId="298AC926">
            <w:pPr>
              <w:pStyle w:val="24"/>
              <w:spacing w:after="0"/>
              <w:jc w:val="left"/>
            </w:pPr>
            <w:r>
              <w:rPr>
                <w:rFonts w:ascii="Aptos" w:hAnsi="Aptos"/>
                <w:color w:val="1F2937"/>
                <w:sz w:val="18"/>
              </w:rPr>
              <w:t>Estado</w:t>
            </w:r>
          </w:p>
        </w:tc>
      </w:tr>
      <w:tr w14:paraId="27BA89AA">
        <w:tblPrEx>
          <w:tblCellMar>
            <w:top w:w="0" w:type="dxa"/>
            <w:left w:w="108" w:type="dxa"/>
            <w:bottom w:w="0" w:type="dxa"/>
            <w:right w:w="108" w:type="dxa"/>
          </w:tblCellMar>
        </w:tblPrEx>
        <w:tc>
          <w:p w14:paraId="37D4BF0D">
            <w:pPr>
              <w:pStyle w:val="24"/>
              <w:spacing w:after="0"/>
              <w:jc w:val="left"/>
            </w:pPr>
            <w:r>
              <w:rPr>
                <w:rFonts w:ascii="Aptos" w:hAnsi="Aptos"/>
                <w:color w:val="1F2937"/>
                <w:sz w:val="18"/>
              </w:rPr>
              <w:t>Aportación dineraria del promotor (caja propia inicial)</w:t>
            </w:r>
          </w:p>
        </w:tc>
        <w:tc>
          <w:p w14:paraId="4EB21C9B">
            <w:pPr>
              <w:pStyle w:val="24"/>
              <w:spacing w:after="0"/>
              <w:jc w:val="right"/>
            </w:pPr>
            <w:r>
              <w:rPr>
                <w:rFonts w:ascii="Aptos" w:hAnsi="Aptos"/>
                <w:b/>
                <w:color w:val="1F2937"/>
                <w:sz w:val="18"/>
              </w:rPr>
              <w:t>0 €</w:t>
            </w:r>
          </w:p>
        </w:tc>
        <w:tc>
          <w:p w14:paraId="66F75727">
            <w:pPr>
              <w:pStyle w:val="24"/>
              <w:spacing w:after="0"/>
              <w:jc w:val="left"/>
            </w:pPr>
            <w:r>
              <w:rPr>
                <w:rFonts w:ascii="Aptos" w:hAnsi="Aptos"/>
                <w:color w:val="1F2937"/>
                <w:sz w:val="18"/>
              </w:rPr>
              <w:t>Disponible</w:t>
            </w:r>
          </w:p>
        </w:tc>
      </w:tr>
      <w:tr w14:paraId="0EC5889B">
        <w:tblPrEx>
          <w:tblCellMar>
            <w:top w:w="0" w:type="dxa"/>
            <w:left w:w="108" w:type="dxa"/>
            <w:bottom w:w="0" w:type="dxa"/>
            <w:right w:w="108" w:type="dxa"/>
          </w:tblCellMar>
        </w:tblPrEx>
        <w:tc>
          <w:p w14:paraId="75F93B78">
            <w:pPr>
              <w:pStyle w:val="24"/>
              <w:spacing w:after="0"/>
              <w:jc w:val="left"/>
            </w:pPr>
            <w:r>
              <w:rPr>
                <w:rFonts w:ascii="Aptos" w:hAnsi="Aptos"/>
                <w:color w:val="1F2937"/>
                <w:sz w:val="18"/>
              </w:rPr>
              <w:t>Ayuda en trámite</w:t>
            </w:r>
          </w:p>
        </w:tc>
        <w:tc>
          <w:p w14:paraId="0F6D963E">
            <w:pPr>
              <w:pStyle w:val="24"/>
              <w:spacing w:after="0"/>
              <w:jc w:val="right"/>
            </w:pPr>
            <w:r>
              <w:rPr>
                <w:rFonts w:ascii="Aptos" w:hAnsi="Aptos"/>
                <w:color w:val="1F2937"/>
                <w:sz w:val="18"/>
              </w:rPr>
              <w:t>18.000 €</w:t>
            </w:r>
          </w:p>
        </w:tc>
        <w:tc>
          <w:p w14:paraId="385F7AB6">
            <w:pPr>
              <w:pStyle w:val="24"/>
              <w:spacing w:after="0"/>
              <w:jc w:val="left"/>
            </w:pPr>
            <w:r>
              <w:rPr>
                <w:rFonts w:ascii="Aptos" w:hAnsi="Aptos"/>
                <w:b/>
                <w:color w:val="1F2937"/>
                <w:sz w:val="18"/>
              </w:rPr>
              <w:t>En trámite — no concedida, no cobrada</w:t>
            </w:r>
          </w:p>
        </w:tc>
      </w:tr>
      <w:tr w14:paraId="70BFAEC2">
        <w:tblPrEx>
          <w:tblCellMar>
            <w:top w:w="0" w:type="dxa"/>
            <w:left w:w="108" w:type="dxa"/>
            <w:bottom w:w="0" w:type="dxa"/>
            <w:right w:w="108" w:type="dxa"/>
          </w:tblCellMar>
        </w:tblPrEx>
        <w:tc>
          <w:p w14:paraId="2967F659">
            <w:pPr>
              <w:pStyle w:val="24"/>
              <w:spacing w:after="0"/>
              <w:jc w:val="left"/>
            </w:pPr>
            <w:r>
              <w:rPr>
                <w:rFonts w:ascii="Aptos" w:hAnsi="Aptos"/>
                <w:color w:val="1F2937"/>
                <w:sz w:val="18"/>
              </w:rPr>
              <w:t>Ayuda al retorno</w:t>
            </w:r>
          </w:p>
        </w:tc>
        <w:tc>
          <w:p w14:paraId="3CA39B44">
            <w:pPr>
              <w:pStyle w:val="24"/>
              <w:spacing w:after="0"/>
              <w:jc w:val="right"/>
            </w:pPr>
            <w:r>
              <w:rPr>
                <w:rFonts w:ascii="Aptos" w:hAnsi="Aptos"/>
                <w:color w:val="1F2937"/>
                <w:sz w:val="18"/>
              </w:rPr>
              <w:t>≈2.700 €</w:t>
            </w:r>
          </w:p>
        </w:tc>
        <w:tc>
          <w:p w14:paraId="41974133">
            <w:pPr>
              <w:pStyle w:val="24"/>
              <w:spacing w:after="0"/>
              <w:jc w:val="left"/>
            </w:pPr>
            <w:r>
              <w:rPr>
                <w:rFonts w:ascii="Aptos" w:hAnsi="Aptos"/>
                <w:b/>
                <w:color w:val="1F2937"/>
                <w:sz w:val="18"/>
              </w:rPr>
              <w:t>En trámite — no concedida, no cobrada</w:t>
            </w:r>
          </w:p>
        </w:tc>
      </w:tr>
      <w:tr w14:paraId="4A47A425">
        <w:tblPrEx>
          <w:tblCellMar>
            <w:top w:w="0" w:type="dxa"/>
            <w:left w:w="108" w:type="dxa"/>
            <w:bottom w:w="0" w:type="dxa"/>
            <w:right w:w="108" w:type="dxa"/>
          </w:tblCellMar>
        </w:tblPrEx>
        <w:tc>
          <w:p w14:paraId="2B1D6866">
            <w:pPr>
              <w:pStyle w:val="24"/>
              <w:spacing w:after="0"/>
              <w:jc w:val="left"/>
            </w:pPr>
            <w:r>
              <w:rPr>
                <w:rFonts w:ascii="Aptos" w:hAnsi="Aptos"/>
                <w:color w:val="1F2937"/>
                <w:sz w:val="18"/>
              </w:rPr>
              <w:t>Premio PIE PLUS</w:t>
            </w:r>
          </w:p>
        </w:tc>
        <w:tc>
          <w:p w14:paraId="1D31DAE4">
            <w:pPr>
              <w:pStyle w:val="24"/>
              <w:spacing w:after="0"/>
              <w:jc w:val="right"/>
            </w:pPr>
            <w:r>
              <w:rPr>
                <w:rFonts w:ascii="Aptos" w:hAnsi="Aptos"/>
                <w:color w:val="1F2937"/>
                <w:sz w:val="18"/>
              </w:rPr>
              <w:t>—</w:t>
            </w:r>
          </w:p>
        </w:tc>
        <w:tc>
          <w:p w14:paraId="25365F16">
            <w:pPr>
              <w:pStyle w:val="24"/>
              <w:spacing w:after="0"/>
              <w:jc w:val="left"/>
            </w:pPr>
            <w:r>
              <w:rPr>
                <w:rFonts w:ascii="Aptos" w:hAnsi="Aptos"/>
                <w:color w:val="1F2937"/>
                <w:sz w:val="18"/>
              </w:rPr>
              <w:t xml:space="preserve">Catalizador — </w:t>
            </w:r>
            <w:r>
              <w:rPr>
                <w:rFonts w:ascii="Aptos" w:hAnsi="Aptos"/>
                <w:b/>
                <w:color w:val="1F2937"/>
                <w:sz w:val="18"/>
              </w:rPr>
              <w:t>no cobrado</w:t>
            </w:r>
            <w:r>
              <w:rPr>
                <w:rFonts w:ascii="Aptos" w:hAnsi="Aptos"/>
                <w:color w:val="1F2937"/>
                <w:sz w:val="18"/>
              </w:rPr>
              <w:t>, no computa</w:t>
            </w:r>
          </w:p>
        </w:tc>
      </w:tr>
      <w:tr w14:paraId="5EB4C6AB">
        <w:tblPrEx>
          <w:tblCellMar>
            <w:top w:w="0" w:type="dxa"/>
            <w:left w:w="108" w:type="dxa"/>
            <w:bottom w:w="0" w:type="dxa"/>
            <w:right w:w="108" w:type="dxa"/>
          </w:tblCellMar>
        </w:tblPrEx>
        <w:tc>
          <w:p w14:paraId="41B72B2C">
            <w:pPr>
              <w:pStyle w:val="24"/>
              <w:spacing w:after="0"/>
              <w:jc w:val="left"/>
            </w:pPr>
            <w:r>
              <w:rPr>
                <w:rFonts w:ascii="Aptos" w:hAnsi="Aptos"/>
                <w:color w:val="1F2937"/>
                <w:sz w:val="18"/>
              </w:rPr>
              <w:t>Activo tecnológico desarrollado (RCN)</w:t>
            </w:r>
          </w:p>
        </w:tc>
        <w:tc>
          <w:p w14:paraId="1E76769E">
            <w:pPr>
              <w:pStyle w:val="24"/>
              <w:spacing w:after="0"/>
              <w:jc w:val="right"/>
            </w:pPr>
            <w:r>
              <w:rPr>
                <w:rFonts w:ascii="Aptos" w:hAnsi="Aptos"/>
                <w:color w:val="1F2937"/>
                <w:sz w:val="18"/>
              </w:rPr>
              <w:t>420.000 €</w:t>
            </w:r>
          </w:p>
        </w:tc>
        <w:tc>
          <w:p w14:paraId="66491BCD">
            <w:pPr>
              <w:pStyle w:val="24"/>
              <w:spacing w:after="0"/>
              <w:jc w:val="left"/>
            </w:pPr>
            <w:r>
              <w:rPr>
                <w:rFonts w:ascii="Aptos" w:hAnsi="Aptos"/>
                <w:color w:val="1F2937"/>
                <w:sz w:val="18"/>
              </w:rPr>
              <w:t xml:space="preserve">Valoración técnica — </w:t>
            </w:r>
            <w:r>
              <w:rPr>
                <w:rFonts w:ascii="Aptos" w:hAnsi="Aptos"/>
                <w:b/>
                <w:color w:val="1F2937"/>
                <w:sz w:val="18"/>
              </w:rPr>
              <w:t>no caja</w:t>
            </w:r>
            <w:r>
              <w:rPr>
                <w:rFonts w:ascii="Aptos" w:hAnsi="Aptos"/>
                <w:color w:val="1F2937"/>
                <w:sz w:val="18"/>
              </w:rPr>
              <w:t xml:space="preserve">; posible aportación en especie </w:t>
            </w:r>
            <w:r>
              <w:rPr>
                <w:rFonts w:ascii="Aptos" w:hAnsi="Aptos"/>
                <w:b/>
                <w:color w:val="1F2937"/>
                <w:sz w:val="18"/>
              </w:rPr>
              <w:t>sujeta a formalización</w:t>
            </w:r>
          </w:p>
        </w:tc>
      </w:tr>
      <w:tr w14:paraId="79803E1D">
        <w:tblPrEx>
          <w:tblCellMar>
            <w:top w:w="0" w:type="dxa"/>
            <w:left w:w="108" w:type="dxa"/>
            <w:bottom w:w="0" w:type="dxa"/>
            <w:right w:w="108" w:type="dxa"/>
          </w:tblCellMar>
        </w:tblPrEx>
        <w:tc>
          <w:p w14:paraId="62A9362C">
            <w:pPr>
              <w:pStyle w:val="24"/>
              <w:spacing w:after="0"/>
              <w:jc w:val="left"/>
            </w:pPr>
            <w:r>
              <w:rPr>
                <w:rFonts w:ascii="Aptos" w:hAnsi="Aptos"/>
                <w:b/>
                <w:color w:val="1F2937"/>
                <w:sz w:val="18"/>
              </w:rPr>
              <w:t>Tesorería inicial real</w:t>
            </w:r>
          </w:p>
        </w:tc>
        <w:tc>
          <w:p w14:paraId="010A829D">
            <w:pPr>
              <w:pStyle w:val="24"/>
              <w:spacing w:after="0"/>
              <w:jc w:val="right"/>
            </w:pPr>
            <w:r>
              <w:rPr>
                <w:rFonts w:ascii="Aptos" w:hAnsi="Aptos"/>
                <w:b/>
                <w:color w:val="1F2937"/>
                <w:sz w:val="18"/>
              </w:rPr>
              <w:t>0 €</w:t>
            </w:r>
          </w:p>
        </w:tc>
        <w:tc>
          <w:p w14:paraId="73458AB9">
            <w:pPr>
              <w:pStyle w:val="24"/>
              <w:spacing w:after="0"/>
              <w:jc w:val="left"/>
            </w:pPr>
            <w:r>
              <w:rPr>
                <w:rFonts w:ascii="Aptos" w:hAnsi="Aptos"/>
                <w:color w:val="1F2937"/>
                <w:sz w:val="18"/>
              </w:rPr>
              <w:t>Mientras no exista desembolso documentado</w:t>
            </w:r>
          </w:p>
        </w:tc>
      </w:tr>
    </w:tbl>
    <w:p w14:paraId="5FD34ADC">
      <w:pPr>
        <w:pStyle w:val="3"/>
      </w:pPr>
      <w:r>
        <w:rPr>
          <w:rFonts w:ascii="Aptos" w:hAnsi="Aptos"/>
          <w:b/>
          <w:color w:val="1F2937"/>
          <w:sz w:val="21"/>
        </w:rPr>
        <w:t>Frase central.</w:t>
      </w:r>
      <w:r>
        <w:rPr>
          <w:rFonts w:ascii="Aptos" w:hAnsi="Aptos"/>
          <w:color w:val="1F2937"/>
          <w:sz w:val="21"/>
        </w:rPr>
        <w:t xml:space="preserve"> CASTÚO-SYSTEM no parte de capital monetario abundante, sino de un </w:t>
      </w:r>
      <w:r>
        <w:rPr>
          <w:rFonts w:ascii="Aptos" w:hAnsi="Aptos"/>
          <w:b/>
          <w:color w:val="1F2937"/>
          <w:sz w:val="21"/>
        </w:rPr>
        <w:t>activo tecnológico ya desarrollado</w:t>
      </w:r>
      <w:r>
        <w:rPr>
          <w:rFonts w:ascii="Aptos" w:hAnsi="Aptos"/>
          <w:color w:val="1F2937"/>
          <w:sz w:val="21"/>
        </w:rPr>
        <w:t xml:space="preserve"> por el promotor. El esfuerzo acumulado se ha convertido primero en producto y evidencia técnica; la siguiente etapa consiste en </w:t>
      </w:r>
      <w:r>
        <w:rPr>
          <w:rFonts w:ascii="Aptos" w:hAnsi="Aptos"/>
          <w:b/>
          <w:color w:val="1F2937"/>
          <w:sz w:val="21"/>
        </w:rPr>
        <w:t>transformar ese activo en actividad empresarial validada mediante financiación externa escalonada</w:t>
      </w:r>
      <w:r>
        <w:rPr>
          <w:rFonts w:ascii="Aptos" w:hAnsi="Aptos"/>
          <w:color w:val="1F2937"/>
          <w:sz w:val="21"/>
        </w:rPr>
        <w:t xml:space="preserve">. La valoración técnica de 420.000 € demuestra la magnitud del desarrollo realizado, </w:t>
      </w:r>
      <w:r>
        <w:rPr>
          <w:rFonts w:ascii="Aptos" w:hAnsi="Aptos"/>
          <w:b/>
          <w:color w:val="1F2937"/>
          <w:sz w:val="21"/>
        </w:rPr>
        <w:t>pero no se presenta como caja ni como financiación disponible</w:t>
      </w:r>
      <w:r>
        <w:rPr>
          <w:rFonts w:ascii="Aptos" w:hAnsi="Aptos"/>
          <w:color w:val="1F2937"/>
          <w:sz w:val="21"/>
        </w:rPr>
        <w:t>.</w:t>
      </w:r>
    </w:p>
    <w:p w14:paraId="28CF5EC6">
      <w:pPr>
        <w:pStyle w:val="4"/>
      </w:pPr>
      <w:bookmarkStart w:id="4" w:name="X80ddd7321626eb205b69f09da9271cec609ff23"/>
      <w:r>
        <w:rPr>
          <w:rFonts w:ascii="Aptos Display" w:hAnsi="Aptos Display"/>
          <w:b/>
          <w:color w:val="174A2E"/>
          <w:sz w:val="21"/>
        </w:rPr>
        <w:t>1.2. Justificación de su carácter rural y valor territorial en Cáceres</w:t>
      </w:r>
      <w:bookmarkEnd w:id="4"/>
    </w:p>
    <w:p w14:paraId="5D50BFD7">
      <w:pPr>
        <w:pStyle w:val="23"/>
      </w:pPr>
      <w:r>
        <w:rPr>
          <w:rFonts w:ascii="Aptos" w:hAnsi="Aptos"/>
          <w:b/>
          <w:color w:val="1F2937"/>
          <w:sz w:val="21"/>
        </w:rPr>
        <w:t>Valor del proyecto para el entorno rural.</w:t>
      </w:r>
      <w:r>
        <w:rPr>
          <w:rFonts w:ascii="Aptos" w:hAnsi="Aptos"/>
          <w:color w:val="1F2937"/>
          <w:sz w:val="21"/>
        </w:rPr>
        <w:t xml:space="preserve"> El proyecto no elige Membrío como un lugar donde ubicar una empresa, sino como el problema que quiere resolver. El municipio (≈600 habitantes) concentra los cuatro déficits estructurales que comparten la mayoría de los municipios pequeños españoles: </w:t>
      </w:r>
      <w:r>
        <w:rPr>
          <w:rFonts w:ascii="Aptos" w:hAnsi="Aptos"/>
          <w:b/>
          <w:color w:val="1F2937"/>
          <w:sz w:val="21"/>
        </w:rPr>
        <w:t>demográfico</w:t>
      </w:r>
      <w:r>
        <w:rPr>
          <w:rFonts w:ascii="Aptos" w:hAnsi="Aptos"/>
          <w:color w:val="1F2937"/>
          <w:sz w:val="21"/>
        </w:rPr>
        <w:t xml:space="preserve"> (pérdida sostenida de población joven), </w:t>
      </w:r>
      <w:r>
        <w:rPr>
          <w:rFonts w:ascii="Aptos" w:hAnsi="Aptos"/>
          <w:b/>
          <w:color w:val="1F2937"/>
          <w:sz w:val="21"/>
        </w:rPr>
        <w:t>energético</w:t>
      </w:r>
      <w:r>
        <w:rPr>
          <w:rFonts w:ascii="Aptos" w:hAnsi="Aptos"/>
          <w:color w:val="1F2937"/>
          <w:sz w:val="21"/>
        </w:rPr>
        <w:t xml:space="preserve"> (consumidor pasivo: la renta energética sale del territorio pese a disponer de uno de los mejores recursos solares de la península), </w:t>
      </w:r>
      <w:r>
        <w:rPr>
          <w:rFonts w:ascii="Aptos" w:hAnsi="Aptos"/>
          <w:b/>
          <w:color w:val="1F2937"/>
          <w:sz w:val="21"/>
        </w:rPr>
        <w:t>hídrico</w:t>
      </w:r>
      <w:r>
        <w:rPr>
          <w:rFonts w:ascii="Aptos" w:hAnsi="Aptos"/>
          <w:color w:val="1F2937"/>
          <w:sz w:val="21"/>
        </w:rPr>
        <w:t xml:space="preserve"> (agricultura en suelo que consume 100–300 litros por kilo en un contexto de estrés hídrico creciente) y </w:t>
      </w:r>
      <w:r>
        <w:rPr>
          <w:rFonts w:ascii="Aptos" w:hAnsi="Aptos"/>
          <w:b/>
          <w:color w:val="1F2937"/>
          <w:sz w:val="21"/>
        </w:rPr>
        <w:t>digital</w:t>
      </w:r>
      <w:r>
        <w:rPr>
          <w:rFonts w:ascii="Aptos" w:hAnsi="Aptos"/>
          <w:color w:val="1F2937"/>
          <w:sz w:val="21"/>
        </w:rPr>
        <w:t xml:space="preserve"> (gestión en papel y hojas de cálculo justo cuando la normativa europea exige el cuaderno digital de explotación). CASTÚO-SYSTEM se integra en ese ecosistema aportando la herramienta que el territorio no tiene —datos, trazabilidad y gestión del agua y la energía— y lo hace con vocación de patrón: lo que se valide en Membrío es transferible al 84 % del mapa municipal español (&lt;5.000 habitantes).</w:t>
      </w:r>
    </w:p>
    <w:p w14:paraId="47FE35C5">
      <w:pPr>
        <w:pStyle w:val="3"/>
      </w:pPr>
      <w:r>
        <w:rPr>
          <w:rFonts w:ascii="Aptos" w:hAnsi="Aptos"/>
          <w:b/>
          <w:color w:val="1F2937"/>
          <w:sz w:val="21"/>
        </w:rPr>
        <w:t>Aprovechamiento de los recursos locales.</w:t>
      </w:r>
      <w:r>
        <w:rPr>
          <w:rFonts w:ascii="Aptos" w:hAnsi="Aptos"/>
          <w:color w:val="1F2937"/>
          <w:sz w:val="21"/>
        </w:rPr>
        <w:t xml:space="preserve"> El proyecto convierte en activos los tres recursos que el municipio ya posee: el sol (≈1.500 horas equivalentes/año), el suelo rústico disponible sin presión urbanística y el conocimiento agrario local (los pilotos del SaaS se realizan con 2–4 explotaciones colaboradoras de la comarca; la formación planificada —200–400 h/año— capitaliza ese saber). Además recupera un material de tradición local, la arcilla cocida (terracota), como masa térmica del futuro invernadero: una hipótesis técnica (reducción de demanda térmica del 30–45 %) que se validará con datos propios en el módulo instrumentado de la Fase 1 antes de comprometer obra alguna.</w:t>
      </w:r>
    </w:p>
    <w:p w14:paraId="492A42F2">
      <w:pPr>
        <w:pStyle w:val="3"/>
      </w:pPr>
      <w:r>
        <w:rPr>
          <w:rFonts w:ascii="Aptos" w:hAnsi="Aptos"/>
          <w:b/>
          <w:color w:val="1F2937"/>
          <w:sz w:val="21"/>
        </w:rPr>
        <w:t>Ventajas de la ubicación.</w:t>
      </w:r>
      <w:r>
        <w:rPr>
          <w:rFonts w:ascii="Aptos" w:hAnsi="Aptos"/>
          <w:color w:val="1F2937"/>
          <w:sz w:val="21"/>
        </w:rPr>
        <w:t xml:space="preserve"> Clima continental de alta oscilación térmica diaria — el régimen donde la inercia térmica de la terracota más rinde; menos de 20 km de la frontera portuguesa (mercado transfronterizo natural); área de influencia de Cáceres capital (servicios técnicos y administrativos a menos de una hora); Ayuntamiento y Mancomunidad Sierra de San Pedro en proceso de negociación sobre la disponibilidad de suelo a ≥25 años; no existe convenio firmado; y disponibilidad de suelo rústico sin competencia de usos.</w:t>
      </w:r>
    </w:p>
    <w:p w14:paraId="033D3631">
      <w:pPr>
        <w:pStyle w:val="3"/>
      </w:pPr>
      <w:r>
        <w:rPr>
          <w:rFonts w:ascii="Aptos" w:hAnsi="Aptos"/>
          <w:b/>
          <w:color w:val="1F2937"/>
          <w:sz w:val="21"/>
        </w:rPr>
        <w:t>Logística, comunicaciones y talento — resueltos por diseño:</w:t>
      </w:r>
      <w:r>
        <w:rPr>
          <w:rFonts w:ascii="Aptos" w:hAnsi="Aptos"/>
          <w:color w:val="1F2937"/>
          <w:sz w:val="21"/>
        </w:rPr>
        <w:t xml:space="preserve"> conectividad limitada → arquitectura con </w:t>
      </w:r>
      <w:r>
        <w:rPr>
          <w:rFonts w:ascii="Aptos" w:hAnsi="Aptos"/>
          <w:b/>
          <w:color w:val="1F2937"/>
          <w:sz w:val="21"/>
        </w:rPr>
        <w:t>edge local</w:t>
      </w:r>
      <w:r>
        <w:rPr>
          <w:rFonts w:ascii="Aptos" w:hAnsi="Aptos"/>
          <w:color w:val="1F2937"/>
          <w:sz w:val="21"/>
        </w:rPr>
        <w:t xml:space="preserve"> (el sistema de campo opera aunque la nube caiga); escasez de talento técnico → formación local planificada, teletrabajo parcial y colaboración con universidad e incubadoras; reto demográfico → empleo estable no estacional con prioridad declarada a jóvenes y mujeres; transporte → el producto principal de la Fase 1 (software) viaja por la red y el producto físico futuro (hortaliza) se comercializa en canal corto (radio 60 km); dependencia administrativa → toda la tramitación se abre en la Fase 1, porque la autorización siempre debe preceder a su obra.</w:t>
      </w:r>
    </w:p>
    <w:p w14:paraId="43FDFCBA">
      <w:pPr>
        <w:pStyle w:val="4"/>
      </w:pPr>
      <w:bookmarkStart w:id="5" w:name="resumen-ejecutivo"/>
      <w:r>
        <w:rPr>
          <w:rFonts w:ascii="Aptos Display" w:hAnsi="Aptos Display"/>
          <w:b/>
          <w:color w:val="174A2E"/>
          <w:sz w:val="21"/>
        </w:rPr>
        <w:t>1.3. Resumen ejecutivo</w:t>
      </w:r>
      <w:bookmarkEnd w:id="5"/>
    </w:p>
    <w:p w14:paraId="0B0E6752">
      <w:pPr>
        <w:pStyle w:val="23"/>
      </w:pPr>
      <w:r>
        <w:rPr>
          <w:rFonts w:ascii="Aptos" w:hAnsi="Aptos"/>
          <w:b/>
          <w:color w:val="1F2937"/>
          <w:sz w:val="21"/>
        </w:rPr>
        <w:t>El problema o necesidad.</w:t>
      </w:r>
      <w:r>
        <w:rPr>
          <w:rFonts w:ascii="Aptos" w:hAnsi="Aptos"/>
          <w:color w:val="1F2937"/>
          <w:sz w:val="21"/>
        </w:rPr>
        <w:t xml:space="preserve"> El municipio rural pequeño español posee el mejor recurso solar de Europa occidental y no captura su renta energética; produce alimentos y no puede demostrar su trazabilidad; dispone de agua cada vez más escasa y la agricultura en suelo consume 100–300 L/kg; y pierde población porque no genera empleo estable. A la vez, la normativa (cuaderno digital de explotación) exige una digitalización para la que el titular de 5–20 hectáreas no encuentra herramientas a su escala. Ese es el hueco: no hay una oferta integrada, local, asequible y verificable para la explotación pequeña y el municipio rural. Membrío es el caso representativo donde ese hueco se convierte en piloto.</w:t>
      </w:r>
    </w:p>
    <w:p w14:paraId="78B3D842">
      <w:pPr>
        <w:pStyle w:val="3"/>
      </w:pPr>
      <w:r>
        <w:rPr>
          <w:rFonts w:ascii="Aptos" w:hAnsi="Aptos"/>
          <w:b/>
          <w:color w:val="1F2937"/>
          <w:sz w:val="21"/>
        </w:rPr>
        <w:t>La solución.</w:t>
      </w:r>
      <w:r>
        <w:rPr>
          <w:rFonts w:ascii="Aptos" w:hAnsi="Aptos"/>
          <w:color w:val="1F2937"/>
          <w:sz w:val="21"/>
        </w:rPr>
        <w:t xml:space="preserve"> CASTÚO-SYSTEM™ es un proyecto piloto de innovación rural centrado en una Fase 1 de bajo riesgo y alta evidencia: (1) una </w:t>
      </w:r>
      <w:r>
        <w:rPr>
          <w:rFonts w:ascii="Aptos" w:hAnsi="Aptos"/>
          <w:b/>
          <w:color w:val="1F2937"/>
          <w:sz w:val="21"/>
        </w:rPr>
        <w:t>plataforma SaaS</w:t>
      </w:r>
      <w:r>
        <w:rPr>
          <w:rFonts w:ascii="Aptos" w:hAnsi="Aptos"/>
          <w:color w:val="1F2937"/>
          <w:sz w:val="21"/>
        </w:rPr>
        <w:t xml:space="preserve"> de trazabilidad por lote, cuaderno digital de explotación y gestión agro-energética, conectada con sensórica IoT y diseñada para la explotación pequeña (250–350 €/mes); (2) dos </w:t>
      </w:r>
      <w:r>
        <w:rPr>
          <w:rFonts w:ascii="Aptos" w:hAnsi="Aptos"/>
          <w:b/>
          <w:color w:val="1F2937"/>
          <w:sz w:val="21"/>
        </w:rPr>
        <w:t>ensayos físicos instrumentados</w:t>
      </w:r>
      <w:r>
        <w:rPr>
          <w:rFonts w:ascii="Aptos" w:hAnsi="Aptos"/>
          <w:color w:val="1F2937"/>
          <w:sz w:val="21"/>
        </w:rPr>
        <w:t xml:space="preserve"> — un módulo de terracota de ~100 m² que validará con datos propios la hipótesis térmica del futuro invernadero, y un test de respuesta térmica (TRT) que medirá la conductividad real del terreno; y (3) una </w:t>
      </w:r>
      <w:r>
        <w:rPr>
          <w:rFonts w:ascii="Aptos" w:hAnsi="Aptos"/>
          <w:b/>
          <w:color w:val="1F2937"/>
          <w:sz w:val="21"/>
        </w:rPr>
        <w:t>embudo inicial de usuarios colaboradores y objetivo de convertir al menos cinco en pilotos remunerados</w:t>
      </w:r>
      <w:r>
        <w:rPr>
          <w:rFonts w:ascii="Aptos" w:hAnsi="Aptos"/>
          <w:color w:val="1F2937"/>
          <w:sz w:val="21"/>
        </w:rPr>
        <w:t xml:space="preserve"> (criterio del primer hito: ≥5 clientes facturando o en piloto remunerado). Las </w:t>
      </w:r>
      <w:r>
        <w:rPr>
          <w:rFonts w:ascii="Aptos" w:hAnsi="Aptos"/>
          <w:b/>
          <w:color w:val="1F2937"/>
          <w:sz w:val="21"/>
        </w:rPr>
        <w:t>fases futuras condicionadas</w:t>
      </w:r>
      <w:r>
        <w:rPr>
          <w:rFonts w:ascii="Aptos" w:hAnsi="Aptos"/>
          <w:color w:val="1F2937"/>
          <w:sz w:val="21"/>
        </w:rPr>
        <w:t xml:space="preserve"> (geotermia, invernadero, agrovoltaica, almacenamiento energético y datos soberanos; envolvente </w:t>
      </w:r>
      <w:r>
        <w:rPr>
          <w:rFonts w:ascii="Aptos" w:hAnsi="Aptos"/>
          <w:b/>
          <w:color w:val="1F2937"/>
          <w:sz w:val="21"/>
        </w:rPr>
        <w:t>prudente 5,14 / central 6,26 / techo 7,46 M€</w:t>
      </w:r>
      <w:r>
        <w:rPr>
          <w:rFonts w:ascii="Aptos" w:hAnsi="Aptos"/>
          <w:color w:val="1F2937"/>
          <w:sz w:val="21"/>
        </w:rPr>
        <w:t>, §4.3.6) solo se ejecutan si los datos —sellados en el sistema de evidencias (SEV)— dan la razón, etapa a etapa.</w:t>
      </w:r>
    </w:p>
    <w:p w14:paraId="6F058C28">
      <w:pPr>
        <w:pStyle w:val="3"/>
      </w:pPr>
      <w:r>
        <w:rPr>
          <w:rFonts w:ascii="Aptos" w:hAnsi="Aptos"/>
          <w:b/>
          <w:color w:val="1F2937"/>
          <w:sz w:val="21"/>
        </w:rPr>
        <w:t>Mercado potencial. Demanda híbrida con dos velocidades.</w:t>
      </w:r>
      <w:r>
        <w:rPr>
          <w:rFonts w:ascii="Aptos" w:hAnsi="Aptos"/>
          <w:color w:val="1F2937"/>
          <w:sz w:val="21"/>
        </w:rPr>
        <w:t xml:space="preserve"> </w:t>
      </w:r>
      <w:r>
        <w:rPr>
          <w:rFonts w:ascii="Aptos" w:hAnsi="Aptos"/>
          <w:i/>
          <w:color w:val="1F2937"/>
          <w:sz w:val="21"/>
        </w:rPr>
        <w:t>Local-regional:</w:t>
      </w:r>
      <w:r>
        <w:rPr>
          <w:rFonts w:ascii="Aptos" w:hAnsi="Aptos"/>
          <w:color w:val="1F2937"/>
          <w:sz w:val="21"/>
        </w:rPr>
        <w:t xml:space="preserve"> 6.000–9.000 explotaciones profesionalizadas digitalizables en Extremadura, ~200 cooperativas y ~340 municipios de menos de 5.000 habitantes; objetivo comercial a año 5 de 10–40 clientes de SaaS — penetración inferior al 1 %. </w:t>
      </w:r>
      <w:r>
        <w:rPr>
          <w:rFonts w:ascii="Aptos" w:hAnsi="Aptos"/>
          <w:i/>
          <w:color w:val="1F2937"/>
          <w:sz w:val="21"/>
        </w:rPr>
        <w:t>Local-físico (fases posteriores):</w:t>
      </w:r>
      <w:r>
        <w:rPr>
          <w:rFonts w:ascii="Aptos" w:hAnsi="Aptos"/>
          <w:color w:val="1F2937"/>
          <w:sz w:val="21"/>
        </w:rPr>
        <w:t xml:space="preserve"> mercado hortícola de proximidad de radio 60 km (≈135.000 personas; 7.000–8.000 t/año), con cuota objetivo del 1,5–2,5 %.</w:t>
      </w:r>
    </w:p>
    <w:p w14:paraId="69B7B5C2">
      <w:pPr>
        <w:pStyle w:val="3"/>
      </w:pPr>
      <w:r>
        <w:rPr>
          <w:rFonts w:ascii="Aptos" w:hAnsi="Aptos"/>
          <w:b/>
          <w:color w:val="1F2937"/>
          <w:sz w:val="21"/>
        </w:rPr>
        <w:t>Viabilidad financiera básica.</w:t>
      </w:r>
      <w:r>
        <w:rPr>
          <w:rFonts w:ascii="Aptos" w:hAnsi="Aptos"/>
          <w:color w:val="1F2937"/>
          <w:sz w:val="21"/>
        </w:rPr>
        <w:t xml:space="preserve"> Inversión de arranque (Fase 1, consolidación): </w:t>
      </w:r>
      <w:r>
        <w:rPr>
          <w:rFonts w:ascii="Aptos" w:hAnsi="Aptos"/>
          <w:b/>
          <w:color w:val="1F2937"/>
          <w:sz w:val="21"/>
        </w:rPr>
        <w:t>165.000–195.000 € (central 180.000 €)</w:t>
      </w:r>
      <w:r>
        <w:rPr>
          <w:rFonts w:ascii="Aptos" w:hAnsi="Aptos"/>
          <w:color w:val="1F2937"/>
          <w:sz w:val="21"/>
        </w:rPr>
        <w:t>. Ingresos a corto plazo: licencias SaaS de los pilotos remunerados (250–350 €/mes por cliente) más consultoría, sensórica y formación, con margen bruto del software del 72,9 % en el escenario base reconciliado. La Fase 1 es una fase de validación cuyo resultado operativo es negativo por diseño y está cubierto por la inversión (recursos propios + subvenciones + deuda blanda): el punto de equilibrio operativo se alcanza en la consolidación, 143.396,18 € de facturación anual antes de intereses; 152.447,01 € incluyendo intereses (≈25–30 clientes SaaS equivalentes), dentro del rango declarado de 10–40 clientes. En régimen —si las fases físicas se ejecutan tras validar sus hitos— el modelo alcanza 0,32–0,74 M€/año en cuatro líneas de ingresos, con EBITDA entre −0,24 y +0,31 M€/año según escenario y payback de 7–12 años con cofinanciación pública del 50–70 %. La caja acumulada es negativa durante la construcción y se recupera desde el año 6–8: se muestra deliberadamente.</w:t>
      </w:r>
    </w:p>
    <w:p w14:paraId="67FF4141">
      <w:pPr>
        <w:pStyle w:val="3"/>
      </w:pPr>
      <w:r>
        <w:rPr>
          <w:rFonts w:ascii="Aptos" w:hAnsi="Aptos"/>
          <w:b/>
          <w:color w:val="1F2937"/>
          <w:sz w:val="21"/>
        </w:rPr>
        <w:t>El equipo promotor.</w:t>
      </w:r>
      <w:r>
        <w:rPr>
          <w:rFonts w:ascii="Aptos" w:hAnsi="Aptos"/>
          <w:color w:val="1F2937"/>
          <w:sz w:val="21"/>
        </w:rPr>
        <w:t xml:space="preserve"> Promotor único con perfil técnico-agrario y arraigo extremeño: documentación técnica de referencia, modelo económico parametrizado con verificación de coherencia, y un repositorio de evidencias (SEV) ya operativo con validador e integración continua. El plan de incorporación (§8.1) añade los perfiles agronómico, de operación y de mantenimiento cuando cada fase los necesita.</w:t>
      </w:r>
    </w:p>
    <w:p w14:paraId="486D73ED">
      <w:pPr>
        <w:pStyle w:val="3"/>
      </w:pPr>
      <w:r>
        <w:rPr>
          <w:rFonts w:ascii="Aptos" w:hAnsi="Aptos"/>
          <w:b/>
          <w:color w:val="1F2937"/>
          <w:sz w:val="21"/>
        </w:rPr>
        <w:t>RESUMEN DE EJECUCIÓN — estado actual (declarado).</w:t>
      </w:r>
      <w:r>
        <w:rPr>
          <w:rFonts w:ascii="Aptos" w:hAnsi="Aptos"/>
          <w:color w:val="1F2937"/>
          <w:sz w:val="21"/>
        </w:rPr>
        <w:t xml:space="preserve"> CASTÚO-SYSTEM no es una idea conceptual: tiene arquitectura software definida (FastAPI/Python, PostgreSQL con series temporales, MQTT para IoT, contenedores, API abierta NGSI-LD y edge local), modelo SaaS estructurado por perfiles, sistema de evidencias operativo, modelo económico parametrizado y hoja de ruta por hitos auditables. El riesgo metodológico está resuelto; el técnico y el comercial se validan en F1 con criterios públicos (Gate G1).</w:t>
      </w:r>
    </w:p>
    <w:p w14:paraId="56EA2EE6">
      <w:pPr>
        <w:pStyle w:val="4"/>
      </w:pPr>
      <w:bookmarkStart w:id="6" w:name="X01f485f7cd5d01b97fac7379a6f8b00290aeadf"/>
      <w:r>
        <w:rPr>
          <w:rFonts w:ascii="Aptos Display" w:hAnsi="Aptos Display"/>
          <w:b/>
          <w:color w:val="174A2E"/>
          <w:sz w:val="21"/>
        </w:rPr>
        <w:t>1.4. Desarrollo ampliado — Contexto territorial y adecuación a Membrío</w:t>
      </w:r>
      <w:bookmarkEnd w:id="6"/>
    </w:p>
    <w:p w14:paraId="3634E40F">
      <w:pPr>
        <w:pStyle w:val="23"/>
      </w:pPr>
      <w:r>
        <w:rPr>
          <w:rFonts w:ascii="Aptos" w:hAnsi="Aptos"/>
          <w:b/>
          <w:color w:val="1F2937"/>
          <w:sz w:val="21"/>
        </w:rPr>
        <w:t>Caracterización del municipio.</w:t>
      </w:r>
      <w:r>
        <w:rPr>
          <w:rFonts w:ascii="Aptos" w:hAnsi="Aptos"/>
          <w:color w:val="1F2937"/>
          <w:sz w:val="21"/>
        </w:rPr>
        <w:t xml:space="preserve"> Membrío se sitúa en la comarca de la Sierra de San Pedro (Cáceres), con ≈600 habitantes, suelo rústico disponible, tradición agraria viva, a &lt;20 km de la frontera portuguesa y en el área de influencia de Cáceres capital. Presenta los tres recursos que el sistema convierte en activos —sol, suelo y conocimiento agrario local— y los cuatro déficits del patrón rural. Su clima continental es el régimen en el que la inercia térmica de la terracota más rinde (§7.4).</w:t>
      </w:r>
    </w:p>
    <w:p w14:paraId="6F9C7153">
      <w:pPr>
        <w:pStyle w:val="3"/>
      </w:pPr>
      <w:r>
        <w:rPr>
          <w:rFonts w:ascii="Aptos" w:hAnsi="Aptos"/>
          <w:b/>
          <w:color w:val="1F2937"/>
          <w:sz w:val="21"/>
        </w:rPr>
        <w:t>Balance energético municipal (síntesis honesta).</w:t>
      </w:r>
      <w:r>
        <w:rPr>
          <w:rFonts w:ascii="Aptos" w:hAnsi="Aptos"/>
          <w:color w:val="1F2937"/>
          <w:sz w:val="21"/>
        </w:rPr>
        <w:t xml:space="preserve"> La demanda municipal se estima en ≈2,4 GWh/año (estimación a contrastar con la distribuidora en F1). La generación agrovoltaica de 1,3 MWp aporta ≈1,95 GWh/año, el 80–95 % de la demanda </w:t>
      </w:r>
      <w:r>
        <w:rPr>
          <w:rFonts w:ascii="Aptos" w:hAnsi="Aptos"/>
          <w:b/>
          <w:color w:val="1F2937"/>
          <w:sz w:val="21"/>
        </w:rPr>
        <w:t>en balance neto anual</w:t>
      </w:r>
      <w:r>
        <w:rPr>
          <w:rFonts w:ascii="Aptos" w:hAnsi="Aptos"/>
          <w:color w:val="1F2937"/>
          <w:sz w:val="21"/>
        </w:rPr>
        <w:t xml:space="preserve"> — no independencia de red. Peajes, términos fijos y desajustes horarios persisten; el sistema reduce el término de energía de la factura, no elimina la conexión.</w:t>
      </w:r>
    </w:p>
    <w:p w14:paraId="3A4E2FCB">
      <w:pPr>
        <w:pStyle w:val="3"/>
      </w:pPr>
      <w:r>
        <w:rPr>
          <w:rFonts w:ascii="Aptos" w:hAnsi="Aptos"/>
          <w:b/>
          <w:color w:val="1F2937"/>
          <w:sz w:val="21"/>
        </w:rPr>
        <w:t>Recurso hídrico y suelo.</w:t>
      </w:r>
      <w:r>
        <w:rPr>
          <w:rFonts w:ascii="Aptos" w:hAnsi="Aptos"/>
          <w:color w:val="1F2937"/>
          <w:sz w:val="21"/>
        </w:rPr>
        <w:t xml:space="preserve"> La hidroponía recirculante reduce el consumo de agua por kg un 70–90 % frente al cultivo en suelo. El suelo rústico disponible permite implantar la infraestructura sin sellado irreversible; la agrovoltaica comparte el suelo. La disponibilidad de suelo mediante convenio con el Ayuntamiento (≥25 años) es criterio del Gate G1.</w:t>
      </w:r>
    </w:p>
    <w:p w14:paraId="5A5ABC97">
      <w:pPr>
        <w:pStyle w:val="3"/>
      </w:pPr>
      <w:r>
        <w:rPr>
          <w:rFonts w:ascii="Aptos" w:hAnsi="Aptos"/>
          <w:b/>
          <w:color w:val="1F2937"/>
          <w:sz w:val="21"/>
        </w:rPr>
        <w:t>Adecuación al 84 % del mapa municipal.</w:t>
      </w:r>
      <w:r>
        <w:rPr>
          <w:rFonts w:ascii="Aptos" w:hAnsi="Aptos"/>
          <w:color w:val="1F2937"/>
          <w:sz w:val="21"/>
        </w:rPr>
        <w:t xml:space="preserve"> Lo que se valida en Membrío es transferible al 84 % de los municipios españoles con menos de 5.000 habitantes: el piloto es la primera instancia de un patrón replicable (§5.6).</w:t>
      </w:r>
    </w:p>
    <w:p w14:paraId="1A0B7224">
      <w:pPr>
        <w:pStyle w:val="4"/>
      </w:pPr>
      <w:bookmarkStart w:id="7" w:name="Xdce4db01b2bc8a1c1698a6ffa842a091a3ae74c"/>
      <w:r>
        <w:rPr>
          <w:rFonts w:ascii="Aptos Display" w:hAnsi="Aptos Display"/>
          <w:b/>
          <w:color w:val="174A2E"/>
          <w:sz w:val="21"/>
        </w:rPr>
        <w:t>1.5. Desarrollo ampliado — Gobernanza institucional, legalidad y permisos</w:t>
      </w:r>
      <w:bookmarkEnd w:id="7"/>
    </w:p>
    <w:p w14:paraId="7D8A7DF9">
      <w:pPr>
        <w:pStyle w:val="23"/>
      </w:pPr>
      <w:r>
        <w:rPr>
          <w:rFonts w:ascii="Aptos" w:hAnsi="Aptos"/>
          <w:b/>
          <w:color w:val="1F2937"/>
          <w:sz w:val="21"/>
        </w:rPr>
        <w:t>Vehículo jurídico energético.</w:t>
      </w:r>
      <w:r>
        <w:rPr>
          <w:rFonts w:ascii="Aptos" w:hAnsi="Aptos"/>
          <w:color w:val="1F2937"/>
          <w:sz w:val="21"/>
        </w:rPr>
        <w:t xml:space="preserve"> La captura de la renta solar exige un vehículo jurídico: autoconsumo colectivo o comunidad energética, cuya definición se realiza en la Fase 1 con el Ayuntamiento, que participa sin asumir riesgo financiero. La legalización del autoconsumo es criterio del Gate G4.</w:t>
      </w:r>
    </w:p>
    <w:p w14:paraId="59A4A7E7">
      <w:pPr>
        <w:pStyle w:val="3"/>
      </w:pPr>
      <w:r>
        <w:rPr>
          <w:rFonts w:ascii="Aptos" w:hAnsi="Aptos"/>
          <w:b/>
          <w:color w:val="1F2937"/>
          <w:sz w:val="21"/>
        </w:rPr>
        <w:t>Convenios y disponibilidad de suelo.</w:t>
      </w:r>
      <w:r>
        <w:rPr>
          <w:rFonts w:ascii="Aptos" w:hAnsi="Aptos"/>
          <w:color w:val="1F2937"/>
          <w:sz w:val="21"/>
        </w:rPr>
        <w:t xml:space="preserve"> Convenio de disponibilidad de suelo con el Ayuntamiento (≥25 años), firmado en F1 como criterio de G1; delimita usos, plazos y condiciones de reversión.</w:t>
      </w:r>
    </w:p>
    <w:p w14:paraId="6A86DF60">
      <w:pPr>
        <w:pStyle w:val="3"/>
      </w:pPr>
      <w:r>
        <w:rPr>
          <w:rFonts w:ascii="Aptos" w:hAnsi="Aptos"/>
          <w:b/>
          <w:color w:val="1F2937"/>
          <w:sz w:val="21"/>
        </w:rPr>
        <w:t>Tramitación administrativa: la autorización precede a la obra.</w:t>
      </w:r>
      <w:r>
        <w:rPr>
          <w:rFonts w:ascii="Aptos" w:hAnsi="Aptos"/>
          <w:color w:val="1F2937"/>
          <w:sz w:val="21"/>
        </w:rPr>
        <w:t xml:space="preserve"> Toda tramitación se abre en Fase 1, con 12–30 meses de margen respecto a la obra que habilita. El paquete incluye licencias urbanísticas y de actividad, autorizaciones de perforación geotérmica, legalización fotovoltaica y del vehículo de autoconsumo, y registros sanitarios (operador alimentario).</w:t>
      </w:r>
    </w:p>
    <w:p w14:paraId="42354E5F">
      <w:pPr>
        <w:pStyle w:val="3"/>
      </w:pPr>
      <w:r>
        <w:rPr>
          <w:rFonts w:ascii="Aptos" w:hAnsi="Aptos"/>
          <w:b/>
          <w:color w:val="1F2937"/>
          <w:sz w:val="21"/>
        </w:rPr>
        <w:t>Encaje verificado con las bases reguladoras</w:t>
      </w:r>
      <w:r>
        <w:rPr>
          <w:rFonts w:ascii="Aptos" w:hAnsi="Aptos"/>
          <w:color w:val="1F2937"/>
          <w:sz w:val="21"/>
        </w:rPr>
        <w:t xml:space="preserve"> (BOP de Cáceres 2026-964, XIII edición de los Premios PIE Plus):</w:t>
      </w:r>
    </w:p>
    <w:tbl>
      <w:tblPr>
        <w:tblStyle w:val="28"/>
        <w:tblW w:w="5000" w:type="pct"/>
        <w:jc w:val="center"/>
        <w:tblInd w:w="0" w:type="dxa"/>
        <w:tblLayout w:type="fixed"/>
        <w:tblCellMar>
          <w:top w:w="0" w:type="dxa"/>
          <w:left w:w="108" w:type="dxa"/>
          <w:bottom w:w="0" w:type="dxa"/>
          <w:right w:w="108" w:type="dxa"/>
        </w:tblCellMar>
      </w:tblPr>
      <w:tblGrid>
        <w:gridCol w:w="4428"/>
        <w:gridCol w:w="4428"/>
      </w:tblGrid>
      <w:tr w14:paraId="72FFBE58">
        <w:tblPrEx>
          <w:tblCellMar>
            <w:top w:w="0" w:type="dxa"/>
            <w:left w:w="108" w:type="dxa"/>
            <w:bottom w:w="0" w:type="dxa"/>
            <w:right w:w="108" w:type="dxa"/>
          </w:tblCellMar>
        </w:tblPrEx>
        <w:tc>
          <w:tcPr>
            <w:tcW w:w="4680" w:type="dxa"/>
            <w:tcBorders>
              <w:bottom w:val="single" w:color="auto" w:sz="0" w:space="0"/>
            </w:tcBorders>
            <w:vAlign w:val="bottom"/>
          </w:tcPr>
          <w:p w14:paraId="78531C8A">
            <w:pPr>
              <w:pStyle w:val="24"/>
              <w:spacing w:after="0"/>
              <w:jc w:val="left"/>
            </w:pPr>
            <w:r>
              <w:rPr>
                <w:rFonts w:ascii="Aptos" w:hAnsi="Aptos"/>
                <w:color w:val="1F2937"/>
                <w:sz w:val="18"/>
              </w:rPr>
              <w:t>Requisito de las bases</w:t>
            </w:r>
          </w:p>
        </w:tc>
        <w:tc>
          <w:tcPr>
            <w:tcW w:w="4680" w:type="dxa"/>
            <w:tcBorders>
              <w:bottom w:val="single" w:color="auto" w:sz="0" w:space="0"/>
            </w:tcBorders>
            <w:vAlign w:val="bottom"/>
          </w:tcPr>
          <w:p w14:paraId="1376ACB0">
            <w:pPr>
              <w:pStyle w:val="24"/>
              <w:spacing w:after="0"/>
              <w:jc w:val="left"/>
            </w:pPr>
            <w:r>
              <w:rPr>
                <w:rFonts w:ascii="Aptos" w:hAnsi="Aptos"/>
                <w:color w:val="1F2937"/>
                <w:sz w:val="18"/>
              </w:rPr>
              <w:t>Cumplimiento del proyecto</w:t>
            </w:r>
          </w:p>
        </w:tc>
      </w:tr>
      <w:tr w14:paraId="64D94F28">
        <w:tblPrEx>
          <w:tblCellMar>
            <w:top w:w="0" w:type="dxa"/>
            <w:left w:w="108" w:type="dxa"/>
            <w:bottom w:w="0" w:type="dxa"/>
            <w:right w:w="108" w:type="dxa"/>
          </w:tblCellMar>
        </w:tblPrEx>
        <w:tc>
          <w:p w14:paraId="5C7E0796">
            <w:pPr>
              <w:pStyle w:val="24"/>
              <w:spacing w:after="0"/>
              <w:jc w:val="left"/>
            </w:pPr>
            <w:r>
              <w:rPr>
                <w:rFonts w:ascii="Aptos" w:hAnsi="Aptos"/>
                <w:color w:val="1F2937"/>
                <w:sz w:val="18"/>
              </w:rPr>
              <w:t>Implantación en municipio de la provincia de Cáceres &lt;20.000 hab</w:t>
            </w:r>
          </w:p>
        </w:tc>
        <w:tc>
          <w:p w14:paraId="18F4B9D4">
            <w:pPr>
              <w:pStyle w:val="24"/>
              <w:spacing w:after="0"/>
              <w:jc w:val="left"/>
            </w:pPr>
            <w:r>
              <w:rPr>
                <w:rFonts w:ascii="Aptos" w:hAnsi="Aptos"/>
                <w:color w:val="1F2937"/>
                <w:sz w:val="18"/>
              </w:rPr>
              <w:t>Membrío (≈600 hab) ✓</w:t>
            </w:r>
          </w:p>
        </w:tc>
      </w:tr>
      <w:tr w14:paraId="66347238">
        <w:tblPrEx>
          <w:tblCellMar>
            <w:top w:w="0" w:type="dxa"/>
            <w:left w:w="108" w:type="dxa"/>
            <w:bottom w:w="0" w:type="dxa"/>
            <w:right w:w="108" w:type="dxa"/>
          </w:tblCellMar>
        </w:tblPrEx>
        <w:tc>
          <w:p w14:paraId="0130A051">
            <w:pPr>
              <w:pStyle w:val="24"/>
              <w:spacing w:after="0"/>
              <w:jc w:val="left"/>
            </w:pPr>
            <w:r>
              <w:rPr>
                <w:rFonts w:ascii="Aptos" w:hAnsi="Aptos"/>
                <w:color w:val="1F2937"/>
                <w:sz w:val="18"/>
              </w:rPr>
              <w:t>Domicilio social y fiscal en dicho municipio</w:t>
            </w:r>
          </w:p>
        </w:tc>
        <w:tc>
          <w:p w14:paraId="4E99B95A">
            <w:pPr>
              <w:pStyle w:val="24"/>
              <w:spacing w:after="0"/>
              <w:jc w:val="left"/>
            </w:pPr>
            <w:r>
              <w:rPr>
                <w:rFonts w:ascii="Aptos" w:hAnsi="Aptos"/>
                <w:color w:val="1F2937"/>
                <w:sz w:val="18"/>
              </w:rPr>
              <w:t>Compromiso declarado al constituir ✓</w:t>
            </w:r>
          </w:p>
        </w:tc>
      </w:tr>
      <w:tr w14:paraId="60A7A73A">
        <w:tblPrEx>
          <w:tblCellMar>
            <w:top w:w="0" w:type="dxa"/>
            <w:left w:w="108" w:type="dxa"/>
            <w:bottom w:w="0" w:type="dxa"/>
            <w:right w:w="108" w:type="dxa"/>
          </w:tblCellMar>
        </w:tblPrEx>
        <w:tc>
          <w:p w14:paraId="380F15CF">
            <w:pPr>
              <w:pStyle w:val="24"/>
              <w:spacing w:after="0"/>
              <w:jc w:val="left"/>
            </w:pPr>
            <w:r>
              <w:rPr>
                <w:rFonts w:ascii="Aptos" w:hAnsi="Aptos"/>
                <w:color w:val="1F2937"/>
                <w:sz w:val="18"/>
              </w:rPr>
              <w:t>Idea singular de actividad económica con alta en RETA (admisible alta previa si ≤6 meses)</w:t>
            </w:r>
          </w:p>
        </w:tc>
        <w:tc>
          <w:p w14:paraId="6DDF7F27">
            <w:pPr>
              <w:pStyle w:val="24"/>
              <w:spacing w:after="0"/>
              <w:jc w:val="left"/>
            </w:pPr>
            <w:r>
              <w:rPr>
                <w:rFonts w:ascii="Aptos" w:hAnsi="Aptos"/>
                <w:color w:val="1F2937"/>
                <w:sz w:val="18"/>
              </w:rPr>
              <w:t>Promotor conforme al supuesto ✓</w:t>
            </w:r>
          </w:p>
        </w:tc>
      </w:tr>
      <w:tr w14:paraId="4AD8CB84">
        <w:tblPrEx>
          <w:tblCellMar>
            <w:top w:w="0" w:type="dxa"/>
            <w:left w:w="108" w:type="dxa"/>
            <w:bottom w:w="0" w:type="dxa"/>
            <w:right w:w="108" w:type="dxa"/>
          </w:tblCellMar>
        </w:tblPrEx>
        <w:tc>
          <w:p w14:paraId="62B6C91D">
            <w:pPr>
              <w:pStyle w:val="24"/>
              <w:spacing w:after="0"/>
              <w:jc w:val="left"/>
            </w:pPr>
            <w:r>
              <w:rPr>
                <w:rFonts w:ascii="Aptos" w:hAnsi="Aptos"/>
                <w:color w:val="1F2937"/>
                <w:sz w:val="18"/>
              </w:rPr>
              <w:t>Estructura: selección → formación/mentorización → defensa ante tribunal</w:t>
            </w:r>
          </w:p>
        </w:tc>
        <w:tc>
          <w:p w14:paraId="0D572EFD">
            <w:pPr>
              <w:pStyle w:val="24"/>
              <w:spacing w:after="0"/>
              <w:jc w:val="left"/>
            </w:pPr>
            <w:r>
              <w:rPr>
                <w:rFonts w:ascii="Aptos" w:hAnsi="Aptos"/>
                <w:color w:val="1F2937"/>
                <w:sz w:val="18"/>
              </w:rPr>
              <w:t>Paquete memoria + dossier + SEV + entorno de validación ✓</w:t>
            </w:r>
          </w:p>
        </w:tc>
      </w:tr>
      <w:tr w14:paraId="398394AF">
        <w:tblPrEx>
          <w:tblCellMar>
            <w:top w:w="0" w:type="dxa"/>
            <w:left w:w="108" w:type="dxa"/>
            <w:bottom w:w="0" w:type="dxa"/>
            <w:right w:w="108" w:type="dxa"/>
          </w:tblCellMar>
        </w:tblPrEx>
        <w:tc>
          <w:p w14:paraId="687550B0">
            <w:pPr>
              <w:pStyle w:val="24"/>
              <w:spacing w:after="0"/>
              <w:jc w:val="left"/>
            </w:pPr>
            <w:r>
              <w:rPr>
                <w:rFonts w:ascii="Aptos" w:hAnsi="Aptos"/>
                <w:color w:val="1F2937"/>
                <w:sz w:val="18"/>
              </w:rPr>
              <w:t>Naturaleza del apoyo</w:t>
            </w:r>
          </w:p>
        </w:tc>
        <w:tc>
          <w:p w14:paraId="0F742C06">
            <w:pPr>
              <w:pStyle w:val="24"/>
              <w:spacing w:after="0"/>
              <w:jc w:val="left"/>
            </w:pPr>
            <w:r>
              <w:rPr>
                <w:rFonts w:ascii="Aptos" w:hAnsi="Aptos"/>
                <w:b/>
                <w:color w:val="1F2937"/>
                <w:sz w:val="18"/>
              </w:rPr>
              <w:t>Premio-catalizador</w:t>
            </w:r>
            <w:r>
              <w:rPr>
                <w:rFonts w:ascii="Aptos" w:hAnsi="Aptos"/>
                <w:color w:val="1F2937"/>
                <w:sz w:val="18"/>
              </w:rPr>
              <w:t xml:space="preserve"> (reconocimiento, visibilidad y tutoría). Su dotación </w:t>
            </w:r>
            <w:r>
              <w:rPr>
                <w:rFonts w:ascii="Aptos" w:hAnsi="Aptos"/>
                <w:b/>
                <w:color w:val="1F2937"/>
                <w:sz w:val="18"/>
              </w:rPr>
              <w:t>no se computa</w:t>
            </w:r>
            <w:r>
              <w:rPr>
                <w:rFonts w:ascii="Aptos" w:hAnsi="Aptos"/>
                <w:color w:val="1F2937"/>
                <w:sz w:val="18"/>
              </w:rPr>
              <w:t xml:space="preserve"> en el modelo financiero del proyecto</w:t>
            </w:r>
          </w:p>
        </w:tc>
      </w:tr>
      <w:tr w14:paraId="311BC632">
        <w:tblPrEx>
          <w:tblCellMar>
            <w:top w:w="0" w:type="dxa"/>
            <w:left w:w="108" w:type="dxa"/>
            <w:bottom w:w="0" w:type="dxa"/>
            <w:right w:w="108" w:type="dxa"/>
          </w:tblCellMar>
        </w:tblPrEx>
        <w:tc>
          <w:p w14:paraId="39D3F8BA">
            <w:pPr>
              <w:pStyle w:val="24"/>
              <w:spacing w:after="0"/>
              <w:jc w:val="left"/>
            </w:pPr>
            <w:r>
              <w:rPr>
                <w:rFonts w:ascii="Aptos" w:hAnsi="Aptos"/>
                <w:color w:val="1F2937"/>
                <w:sz w:val="18"/>
              </w:rPr>
              <w:t>Fijación de población y atracción/retención de talento</w:t>
            </w:r>
          </w:p>
        </w:tc>
        <w:tc>
          <w:p w14:paraId="0E36EDB3">
            <w:pPr>
              <w:pStyle w:val="24"/>
              <w:spacing w:after="0"/>
              <w:jc w:val="left"/>
            </w:pPr>
            <w:r>
              <w:rPr>
                <w:rFonts w:ascii="Aptos" w:hAnsi="Aptos"/>
                <w:color w:val="1F2937"/>
                <w:sz w:val="18"/>
              </w:rPr>
              <w:t>6–10 empleos estables + retorno de talento ✓</w:t>
            </w:r>
          </w:p>
        </w:tc>
      </w:tr>
    </w:tbl>
    <w:p w14:paraId="6782F7C7">
      <w:pPr>
        <w:pStyle w:val="3"/>
      </w:pPr>
      <w:r>
        <w:rPr>
          <w:rFonts w:ascii="Aptos" w:hAnsi="Aptos"/>
          <w:b/>
          <w:color w:val="1F2937"/>
          <w:sz w:val="21"/>
        </w:rPr>
        <w:t>Nota de honestidad temporal:</w:t>
      </w:r>
      <w:r>
        <w:rPr>
          <w:rFonts w:ascii="Aptos" w:hAnsi="Aptos"/>
          <w:color w:val="1F2937"/>
          <w:sz w:val="21"/>
        </w:rPr>
        <w:t xml:space="preserve"> el plazo de la XIII edición cerró en abril de 2026; esta memoria sirve tanto a dicha candidatura como a la siguiente edición, y los datos de las bases deben re-verificarse en el BOP en cada convocatoria.</w:t>
      </w:r>
    </w:p>
    <w:p w14:paraId="65BC5E2A">
      <w:pPr>
        <w:pStyle w:val="22"/>
      </w:pPr>
      <w:r>
        <w:rPr>
          <w:rFonts w:ascii="Aptos" w:hAnsi="Aptos"/>
          <w:b/>
          <w:color w:val="1F2937"/>
          <w:sz w:val="21"/>
        </w:rPr>
        <w:t>Evidencias asociadas (§1):</w:t>
      </w:r>
      <w:r>
        <w:rPr>
          <w:rFonts w:ascii="Aptos" w:hAnsi="Aptos"/>
          <w:color w:val="1F2937"/>
          <w:sz w:val="21"/>
        </w:rPr>
        <w:t xml:space="preserve"> SEV-000 (índice maestro), SEV-F1-CONVENIO-SUELO, </w:t>
      </w:r>
      <w:r>
        <w:rPr>
          <w:rStyle w:val="35"/>
          <w:rFonts w:ascii="Aptos" w:hAnsi="Aptos"/>
          <w:color w:val="1F2937"/>
          <w:sz w:val="21"/>
        </w:rPr>
        <w:t>config/*.json</w:t>
      </w:r>
      <w:r>
        <w:rPr>
          <w:rFonts w:ascii="Aptos" w:hAnsi="Aptos"/>
          <w:color w:val="1F2937"/>
          <w:sz w:val="21"/>
        </w:rPr>
        <w:t>, bases BOP 2026-964 · Nivel: documento/registro · Estado: objetivo/planificado (§11).</w:t>
      </w:r>
    </w:p>
    <w:p w14:paraId="284541AF">
      <w:pPr>
        <w:pStyle w:val="2"/>
      </w:pPr>
      <w:bookmarkStart w:id="8" w:name="X43d220ae9d6c8c8a2db349082abbc85ab91b376"/>
      <w:r>
        <w:rPr>
          <w:rFonts w:ascii="Aptos Display" w:hAnsi="Aptos Display"/>
          <w:b/>
          <w:color w:val="174A2E"/>
          <w:sz w:val="21"/>
        </w:rPr>
        <w:t>2. Presentación del equipo emprendedor y motivación rural</w:t>
      </w:r>
      <w:bookmarkEnd w:id="8"/>
    </w:p>
    <w:p w14:paraId="7EE41B57">
      <w:pPr>
        <w:pStyle w:val="23"/>
      </w:pPr>
      <w:r>
        <w:rPr>
          <w:rFonts w:ascii="Aptos" w:hAnsi="Aptos"/>
          <w:b/>
          <w:color w:val="1F2937"/>
          <w:sz w:val="21"/>
        </w:rPr>
        <w:t>Trayectoria y capacidades.</w:t>
      </w:r>
      <w:r>
        <w:rPr>
          <w:rFonts w:ascii="Aptos" w:hAnsi="Aptos"/>
          <w:color w:val="1F2937"/>
          <w:sz w:val="21"/>
        </w:rPr>
        <w:t xml:space="preserve"> Promotor: </w:t>
      </w:r>
      <w:r>
        <w:rPr>
          <w:rFonts w:ascii="Aptos" w:hAnsi="Aptos"/>
          <w:b/>
          <w:color w:val="1F2937"/>
          <w:sz w:val="21"/>
        </w:rPr>
        <w:t>Gregorio Jiménez Bodes</w:t>
      </w:r>
      <w:r>
        <w:rPr>
          <w:rFonts w:ascii="Aptos" w:hAnsi="Aptos"/>
          <w:color w:val="1F2937"/>
          <w:sz w:val="21"/>
        </w:rPr>
        <w:t xml:space="preserve"> (Extremadura) — fundador y CTO, Six Sigma Black Belt (alias GitHub: Traky12). Perfil técnico-agrario con experiencia en digitalización del sector primario: dirección técnica (arquitectura del SaaS: Python + PostgreSQL + contenedores, sensórica IoT, integración de energía), gestión metodológica (gobernanza por hitos auditables, Lean/Six Sigma, sistema de evidencias verificables con huella criptográfica y revisión independiente) y relación institucional (interlocución con Ayuntamiento, Diputación, agentes comarcales e incubadoras). Como evidencia de capacidad de ejecución se aportan los entregables ya producidos: memoria técnica completa, dossier de referencia, guía operativa y repositorio SEV funcional. </w:t>
      </w:r>
      <w:r>
        <w:rPr>
          <w:rFonts w:ascii="Aptos" w:hAnsi="Aptos"/>
          <w:b/>
          <w:color w:val="1F2937"/>
          <w:sz w:val="21"/>
        </w:rPr>
        <w:t>Regla de honestidad del equipo:</w:t>
      </w:r>
      <w:r>
        <w:rPr>
          <w:rFonts w:ascii="Aptos" w:hAnsi="Aptos"/>
          <w:color w:val="1F2937"/>
          <w:sz w:val="21"/>
        </w:rPr>
        <w:t xml:space="preserve"> no se atribuyen personas, títulos ni empleadores que no existan; los perfiles pendientes se declaran como puestos a incorporar (§8.1), nunca como socios ficticios. </w:t>
      </w:r>
      <w:r>
        <w:rPr>
          <w:rFonts w:ascii="Aptos" w:hAnsi="Aptos"/>
          <w:b/>
          <w:color w:val="1F2937"/>
          <w:sz w:val="21"/>
        </w:rPr>
        <w:t>Continuidad ante riesgo de persona clave:</w:t>
      </w:r>
      <w:r>
        <w:rPr>
          <w:rFonts w:ascii="Aptos" w:hAnsi="Aptos"/>
          <w:color w:val="1F2937"/>
          <w:sz w:val="21"/>
        </w:rPr>
        <w:t xml:space="preserve"> la dependencia del promotor único se reduce por diseño — la primera contratación de F1 es un perfil de software, todo el conocimiento está documentado y versionado, y cualquier decisión relevante queda trazada.</w:t>
      </w:r>
    </w:p>
    <w:p w14:paraId="72073CA4">
      <w:pPr>
        <w:pStyle w:val="3"/>
      </w:pPr>
      <w:r>
        <w:rPr>
          <w:rFonts w:ascii="Aptos" w:hAnsi="Aptos"/>
          <w:b/>
          <w:color w:val="1F2937"/>
          <w:sz w:val="21"/>
        </w:rPr>
        <w:t>CV profesional del promotor (estructura normalizada).</w:t>
      </w:r>
    </w:p>
    <w:tbl>
      <w:tblPr>
        <w:tblStyle w:val="28"/>
        <w:tblW w:w="5000" w:type="pct"/>
        <w:jc w:val="center"/>
        <w:tblInd w:w="0" w:type="dxa"/>
        <w:tblLayout w:type="fixed"/>
        <w:tblCellMar>
          <w:top w:w="0" w:type="dxa"/>
          <w:left w:w="108" w:type="dxa"/>
          <w:bottom w:w="0" w:type="dxa"/>
          <w:right w:w="108" w:type="dxa"/>
        </w:tblCellMar>
      </w:tblPr>
      <w:tblGrid>
        <w:gridCol w:w="4428"/>
        <w:gridCol w:w="4428"/>
      </w:tblGrid>
      <w:tr w14:paraId="61EB0AE1">
        <w:tblPrEx>
          <w:tblCellMar>
            <w:top w:w="0" w:type="dxa"/>
            <w:left w:w="108" w:type="dxa"/>
            <w:bottom w:w="0" w:type="dxa"/>
            <w:right w:w="108" w:type="dxa"/>
          </w:tblCellMar>
        </w:tblPrEx>
        <w:tc>
          <w:tcPr>
            <w:tcW w:w="4680" w:type="dxa"/>
            <w:tcBorders>
              <w:bottom w:val="single" w:color="auto" w:sz="0" w:space="0"/>
            </w:tcBorders>
            <w:vAlign w:val="bottom"/>
          </w:tcPr>
          <w:p w14:paraId="2DF6EAEB">
            <w:pPr>
              <w:pStyle w:val="24"/>
              <w:spacing w:after="0"/>
              <w:jc w:val="left"/>
            </w:pPr>
            <w:r>
              <w:rPr>
                <w:rFonts w:ascii="Aptos" w:hAnsi="Aptos"/>
                <w:color w:val="1F2937"/>
                <w:sz w:val="18"/>
              </w:rPr>
              <w:t>Campo</w:t>
            </w:r>
          </w:p>
        </w:tc>
        <w:tc>
          <w:tcPr>
            <w:tcW w:w="4680" w:type="dxa"/>
            <w:tcBorders>
              <w:bottom w:val="single" w:color="auto" w:sz="0" w:space="0"/>
            </w:tcBorders>
            <w:vAlign w:val="bottom"/>
          </w:tcPr>
          <w:p w14:paraId="36D5B12D">
            <w:pPr>
              <w:pStyle w:val="24"/>
              <w:spacing w:after="0"/>
              <w:jc w:val="left"/>
            </w:pPr>
            <w:r>
              <w:rPr>
                <w:rFonts w:ascii="Aptos" w:hAnsi="Aptos"/>
                <w:color w:val="1F2937"/>
                <w:sz w:val="18"/>
              </w:rPr>
              <w:t>Contenido</w:t>
            </w:r>
          </w:p>
        </w:tc>
      </w:tr>
      <w:tr w14:paraId="5C68A2EB">
        <w:tblPrEx>
          <w:tblCellMar>
            <w:top w:w="0" w:type="dxa"/>
            <w:left w:w="108" w:type="dxa"/>
            <w:bottom w:w="0" w:type="dxa"/>
            <w:right w:w="108" w:type="dxa"/>
          </w:tblCellMar>
        </w:tblPrEx>
        <w:tc>
          <w:p w14:paraId="5A9366E9">
            <w:pPr>
              <w:pStyle w:val="24"/>
              <w:spacing w:after="0"/>
              <w:jc w:val="left"/>
            </w:pPr>
            <w:r>
              <w:rPr>
                <w:rFonts w:ascii="Aptos" w:hAnsi="Aptos"/>
                <w:color w:val="1F2937"/>
                <w:sz w:val="18"/>
              </w:rPr>
              <w:t>Nombre</w:t>
            </w:r>
          </w:p>
        </w:tc>
        <w:tc>
          <w:p w14:paraId="4727B5D2">
            <w:pPr>
              <w:pStyle w:val="24"/>
              <w:spacing w:after="0"/>
              <w:jc w:val="left"/>
            </w:pPr>
            <w:r>
              <w:rPr>
                <w:rFonts w:ascii="Aptos" w:hAnsi="Aptos"/>
                <w:color w:val="1F2937"/>
                <w:sz w:val="18"/>
              </w:rPr>
              <w:t>Gregorio Jiménez Bodes</w:t>
            </w:r>
          </w:p>
        </w:tc>
      </w:tr>
      <w:tr w14:paraId="73FF3866">
        <w:tblPrEx>
          <w:tblCellMar>
            <w:top w:w="0" w:type="dxa"/>
            <w:left w:w="108" w:type="dxa"/>
            <w:bottom w:w="0" w:type="dxa"/>
            <w:right w:w="108" w:type="dxa"/>
          </w:tblCellMar>
        </w:tblPrEx>
        <w:tc>
          <w:p w14:paraId="17584518">
            <w:pPr>
              <w:pStyle w:val="24"/>
              <w:spacing w:after="0"/>
              <w:jc w:val="left"/>
            </w:pPr>
            <w:r>
              <w:rPr>
                <w:rFonts w:ascii="Aptos" w:hAnsi="Aptos"/>
                <w:color w:val="1F2937"/>
                <w:sz w:val="18"/>
              </w:rPr>
              <w:t>Vínculo territorial</w:t>
            </w:r>
          </w:p>
        </w:tc>
        <w:tc>
          <w:p w14:paraId="0F2C34B6">
            <w:pPr>
              <w:pStyle w:val="24"/>
              <w:spacing w:after="0"/>
              <w:jc w:val="left"/>
            </w:pPr>
            <w:r>
              <w:rPr>
                <w:rFonts w:ascii="Aptos" w:hAnsi="Aptos"/>
                <w:color w:val="1F2937"/>
                <w:sz w:val="18"/>
              </w:rPr>
              <w:t>Residente en Extremadura; oficina operativa y domicilio social/fiscal en Membrío desde F1</w:t>
            </w:r>
          </w:p>
        </w:tc>
      </w:tr>
      <w:tr w14:paraId="5E3F5075">
        <w:tblPrEx>
          <w:tblCellMar>
            <w:top w:w="0" w:type="dxa"/>
            <w:left w:w="108" w:type="dxa"/>
            <w:bottom w:w="0" w:type="dxa"/>
            <w:right w:w="108" w:type="dxa"/>
          </w:tblCellMar>
        </w:tblPrEx>
        <w:tc>
          <w:p w14:paraId="35F6AAA8">
            <w:pPr>
              <w:pStyle w:val="24"/>
              <w:spacing w:after="0"/>
              <w:jc w:val="left"/>
            </w:pPr>
            <w:r>
              <w:rPr>
                <w:rFonts w:ascii="Aptos" w:hAnsi="Aptos"/>
                <w:color w:val="1F2937"/>
                <w:sz w:val="18"/>
              </w:rPr>
              <w:t>Perfil</w:t>
            </w:r>
          </w:p>
        </w:tc>
        <w:tc>
          <w:p w14:paraId="0C64474F">
            <w:pPr>
              <w:pStyle w:val="24"/>
              <w:spacing w:after="0"/>
              <w:jc w:val="left"/>
            </w:pPr>
            <w:r>
              <w:rPr>
                <w:rFonts w:ascii="Aptos" w:hAnsi="Aptos"/>
                <w:color w:val="1F2937"/>
                <w:sz w:val="18"/>
              </w:rPr>
              <w:t>Técnico-agrario; digitalización del sector primario</w:t>
            </w:r>
          </w:p>
        </w:tc>
      </w:tr>
      <w:tr w14:paraId="3DA837B3">
        <w:tblPrEx>
          <w:tblCellMar>
            <w:top w:w="0" w:type="dxa"/>
            <w:left w:w="108" w:type="dxa"/>
            <w:bottom w:w="0" w:type="dxa"/>
            <w:right w:w="108" w:type="dxa"/>
          </w:tblCellMar>
        </w:tblPrEx>
        <w:tc>
          <w:p w14:paraId="143847B4">
            <w:pPr>
              <w:pStyle w:val="24"/>
              <w:spacing w:after="0"/>
              <w:jc w:val="left"/>
            </w:pPr>
            <w:r>
              <w:rPr>
                <w:rFonts w:ascii="Aptos" w:hAnsi="Aptos"/>
                <w:color w:val="1F2937"/>
                <w:sz w:val="18"/>
              </w:rPr>
              <w:t>Formación académica</w:t>
            </w:r>
          </w:p>
        </w:tc>
        <w:tc>
          <w:p w14:paraId="1FE29E5B">
            <w:pPr>
              <w:pStyle w:val="24"/>
              <w:spacing w:after="0"/>
              <w:jc w:val="left"/>
            </w:pPr>
            <w:r>
              <w:rPr>
                <w:rFonts w:ascii="Aptos" w:hAnsi="Aptos"/>
                <w:color w:val="1F2937"/>
                <w:sz w:val="18"/>
              </w:rPr>
              <w:t>Se consigna en el CV adjunto a la solicitud; esta memoria no atribuye títulos no acreditados</w:t>
            </w:r>
          </w:p>
        </w:tc>
      </w:tr>
      <w:tr w14:paraId="3C7A562E">
        <w:tblPrEx>
          <w:tblCellMar>
            <w:top w:w="0" w:type="dxa"/>
            <w:left w:w="108" w:type="dxa"/>
            <w:bottom w:w="0" w:type="dxa"/>
            <w:right w:w="108" w:type="dxa"/>
          </w:tblCellMar>
        </w:tblPrEx>
        <w:tc>
          <w:p w14:paraId="1B76BD37">
            <w:pPr>
              <w:pStyle w:val="24"/>
              <w:spacing w:after="0"/>
              <w:jc w:val="left"/>
            </w:pPr>
            <w:r>
              <w:rPr>
                <w:rFonts w:ascii="Aptos" w:hAnsi="Aptos"/>
                <w:color w:val="1F2937"/>
                <w:sz w:val="18"/>
              </w:rPr>
              <w:t>Competencias técnicas</w:t>
            </w:r>
          </w:p>
        </w:tc>
        <w:tc>
          <w:p w14:paraId="4FE91575">
            <w:pPr>
              <w:pStyle w:val="24"/>
              <w:spacing w:after="0"/>
              <w:jc w:val="left"/>
            </w:pPr>
            <w:r>
              <w:rPr>
                <w:rFonts w:ascii="Aptos" w:hAnsi="Aptos"/>
                <w:color w:val="1F2937"/>
                <w:sz w:val="18"/>
              </w:rPr>
              <w:t>Arquitectura SaaS (Python, PostgreSQL, contenedores), sensórica IoT, integración energética; diseño del SEV con validador e integración continua</w:t>
            </w:r>
          </w:p>
        </w:tc>
      </w:tr>
      <w:tr w14:paraId="3A972B60">
        <w:tblPrEx>
          <w:tblCellMar>
            <w:top w:w="0" w:type="dxa"/>
            <w:left w:w="108" w:type="dxa"/>
            <w:bottom w:w="0" w:type="dxa"/>
            <w:right w:w="108" w:type="dxa"/>
          </w:tblCellMar>
        </w:tblPrEx>
        <w:tc>
          <w:p w14:paraId="1C18D76B">
            <w:pPr>
              <w:pStyle w:val="24"/>
              <w:spacing w:after="0"/>
              <w:jc w:val="left"/>
            </w:pPr>
            <w:r>
              <w:rPr>
                <w:rFonts w:ascii="Aptos" w:hAnsi="Aptos"/>
                <w:color w:val="1F2937"/>
                <w:sz w:val="18"/>
              </w:rPr>
              <w:t>Competencias de gestión</w:t>
            </w:r>
          </w:p>
        </w:tc>
        <w:tc>
          <w:p w14:paraId="588F1388">
            <w:pPr>
              <w:pStyle w:val="24"/>
              <w:spacing w:after="0"/>
              <w:jc w:val="left"/>
            </w:pPr>
            <w:r>
              <w:rPr>
                <w:rFonts w:ascii="Aptos" w:hAnsi="Aptos"/>
                <w:color w:val="1F2937"/>
                <w:sz w:val="18"/>
              </w:rPr>
              <w:t>Planificación por hitos auditables (Gates), Lean/Six Sigma, modelo económico parametrizado</w:t>
            </w:r>
          </w:p>
        </w:tc>
      </w:tr>
      <w:tr w14:paraId="4DD47A2A">
        <w:tblPrEx>
          <w:tblCellMar>
            <w:top w:w="0" w:type="dxa"/>
            <w:left w:w="108" w:type="dxa"/>
            <w:bottom w:w="0" w:type="dxa"/>
            <w:right w:w="108" w:type="dxa"/>
          </w:tblCellMar>
        </w:tblPrEx>
        <w:tc>
          <w:p w14:paraId="7FEB5D76">
            <w:pPr>
              <w:pStyle w:val="24"/>
              <w:spacing w:after="0"/>
              <w:jc w:val="left"/>
            </w:pPr>
            <w:r>
              <w:rPr>
                <w:rFonts w:ascii="Aptos" w:hAnsi="Aptos"/>
                <w:color w:val="1F2937"/>
                <w:sz w:val="18"/>
              </w:rPr>
              <w:t>Competencias comerciales/institucionales</w:t>
            </w:r>
          </w:p>
        </w:tc>
        <w:tc>
          <w:p w14:paraId="7DA45659">
            <w:pPr>
              <w:pStyle w:val="24"/>
              <w:spacing w:after="0"/>
              <w:jc w:val="left"/>
            </w:pPr>
            <w:r>
              <w:rPr>
                <w:rFonts w:ascii="Aptos" w:hAnsi="Aptos"/>
                <w:color w:val="1F2937"/>
                <w:sz w:val="18"/>
              </w:rPr>
              <w:t>Interlocución con Ayuntamiento, Diputación, incubadoras y agentes comarcales</w:t>
            </w:r>
          </w:p>
        </w:tc>
      </w:tr>
      <w:tr w14:paraId="0209F717">
        <w:tblPrEx>
          <w:tblCellMar>
            <w:top w:w="0" w:type="dxa"/>
            <w:left w:w="108" w:type="dxa"/>
            <w:bottom w:w="0" w:type="dxa"/>
            <w:right w:w="108" w:type="dxa"/>
          </w:tblCellMar>
        </w:tblPrEx>
        <w:tc>
          <w:p w14:paraId="7C6DEE32">
            <w:pPr>
              <w:pStyle w:val="24"/>
              <w:spacing w:after="0"/>
              <w:jc w:val="left"/>
            </w:pPr>
            <w:r>
              <w:rPr>
                <w:rFonts w:ascii="Aptos" w:hAnsi="Aptos"/>
                <w:color w:val="1F2937"/>
                <w:sz w:val="18"/>
              </w:rPr>
              <w:t>Evidencias de ejecución</w:t>
            </w:r>
          </w:p>
        </w:tc>
        <w:tc>
          <w:p w14:paraId="3EAB99EE">
            <w:pPr>
              <w:pStyle w:val="24"/>
              <w:spacing w:after="0"/>
              <w:jc w:val="left"/>
            </w:pPr>
            <w:r>
              <w:rPr>
                <w:rFonts w:ascii="Aptos" w:hAnsi="Aptos"/>
                <w:color w:val="1F2937"/>
                <w:sz w:val="18"/>
              </w:rPr>
              <w:t>Memoria técnica de referencia, plan de empresa, dossier, guía operativa SEV, repositorio sev/ funcional</w:t>
            </w:r>
            <w:r>
              <w:rPr>
                <w:rStyle w:val="35"/>
                <w:rFonts w:ascii="Aptos" w:hAnsi="Aptos"/>
                <w:color w:val="1F2937"/>
                <w:sz w:val="18"/>
              </w:rPr>
            </w:r>
            <w:r>
              <w:rPr>
                <w:rFonts w:ascii="Aptos" w:hAnsi="Aptos"/>
                <w:color w:val="1F2937"/>
                <w:sz w:val="18"/>
              </w:rPr>
            </w:r>
          </w:p>
        </w:tc>
      </w:tr>
    </w:tbl>
    <w:p w14:paraId="64506018">
      <w:pPr>
        <w:pStyle w:val="3"/>
      </w:pPr>
      <w:r>
        <w:rPr>
          <w:rFonts w:ascii="Aptos" w:hAnsi="Aptos"/>
          <w:color w:val="1F2937"/>
          <w:sz w:val="21"/>
        </w:rPr>
        <w:t xml:space="preserve">Las carencias del equipo actual (agronomía de producción, mantenimiento electromecánico, administración comercial) están declaradas en el DAFO y cubiertas con el plan de incorporación por fases (§8.1). La complementariedad se completa con </w:t>
      </w:r>
      <w:r>
        <w:rPr>
          <w:rFonts w:ascii="Aptos" w:hAnsi="Aptos"/>
          <w:b/>
          <w:color w:val="1F2937"/>
          <w:sz w:val="21"/>
        </w:rPr>
        <w:t>colaboraciones externas de validación</w:t>
      </w:r>
      <w:r>
        <w:rPr>
          <w:rFonts w:ascii="Aptos" w:hAnsi="Aptos"/>
          <w:color w:val="1F2937"/>
          <w:sz w:val="21"/>
        </w:rPr>
        <w:t xml:space="preserve"> (a formalizar en F1; estado registrado en el SEV): centro tecnológico agroalimentario, universidad e </w:t>
      </w:r>
      <w:r>
        <w:rPr>
          <w:rFonts w:ascii="Aptos" w:hAnsi="Aptos"/>
          <w:b/>
          <w:color w:val="1F2937"/>
          <w:sz w:val="21"/>
        </w:rPr>
        <w:t>incubadoras especializadas</w:t>
      </w:r>
      <w:r>
        <w:rPr>
          <w:rFonts w:ascii="Aptos" w:hAnsi="Aptos"/>
          <w:color w:val="1F2937"/>
          <w:sz w:val="21"/>
        </w:rPr>
        <w:t xml:space="preserve"> (§8.3) para la revisión independiente de los ensayos, e ingenierías especializadas para el TRT y el módulo de terracota. Que quien valida no sea quien ejecuta es un principio de diseño.</w:t>
      </w:r>
    </w:p>
    <w:p w14:paraId="717A3869">
      <w:pPr>
        <w:pStyle w:val="3"/>
      </w:pPr>
      <w:r>
        <w:rPr>
          <w:rFonts w:ascii="Aptos" w:hAnsi="Aptos"/>
          <w:b/>
          <w:color w:val="1F2937"/>
          <w:sz w:val="21"/>
        </w:rPr>
        <w:t>Motivación y propósito.</w:t>
      </w:r>
      <w:r>
        <w:rPr>
          <w:rFonts w:ascii="Aptos" w:hAnsi="Aptos"/>
          <w:color w:val="1F2937"/>
          <w:sz w:val="21"/>
        </w:rPr>
        <w:t xml:space="preserve"> Tres impulsos convergen: el </w:t>
      </w:r>
      <w:r>
        <w:rPr>
          <w:rFonts w:ascii="Aptos" w:hAnsi="Aptos"/>
          <w:b/>
          <w:color w:val="1F2937"/>
          <w:sz w:val="21"/>
        </w:rPr>
        <w:t>personal</w:t>
      </w:r>
      <w:r>
        <w:rPr>
          <w:rFonts w:ascii="Aptos" w:hAnsi="Aptos"/>
          <w:color w:val="1F2937"/>
          <w:sz w:val="21"/>
        </w:rPr>
        <w:t xml:space="preserve"> (arraigo extremeño y conocimiento directo de gestionar una explotación con papel, pagar la energía cara siendo la tierra del sol, y ver marcharse a los jóvenes); el </w:t>
      </w:r>
      <w:r>
        <w:rPr>
          <w:rFonts w:ascii="Aptos" w:hAnsi="Aptos"/>
          <w:b/>
          <w:color w:val="1F2937"/>
          <w:sz w:val="21"/>
        </w:rPr>
        <w:t>técnico</w:t>
      </w:r>
      <w:r>
        <w:rPr>
          <w:rFonts w:ascii="Aptos" w:hAnsi="Aptos"/>
          <w:color w:val="1F2937"/>
          <w:sz w:val="21"/>
        </w:rPr>
        <w:t xml:space="preserve"> (la madurez simultánea de IoT, agrovoltaica, geotermia e hidroponía hace posible integrarlas ahora); y el </w:t>
      </w:r>
      <w:r>
        <w:rPr>
          <w:rFonts w:ascii="Aptos" w:hAnsi="Aptos"/>
          <w:b/>
          <w:color w:val="1F2937"/>
          <w:sz w:val="21"/>
        </w:rPr>
        <w:t>social</w:t>
      </w:r>
      <w:r>
        <w:rPr>
          <w:rFonts w:ascii="Aptos" w:hAnsi="Aptos"/>
          <w:color w:val="1F2937"/>
          <w:sz w:val="21"/>
        </w:rPr>
        <w:t xml:space="preserve"> (el medio rural no necesita más promesas sino evidencias). El propósito: demostrar que un municipio pequeño puede producir alimento, energía y datos con gobernanza propia — con datos publicados, no con relato.</w:t>
      </w:r>
    </w:p>
    <w:p w14:paraId="7C69F42F">
      <w:pPr>
        <w:pStyle w:val="3"/>
      </w:pPr>
      <w:r>
        <w:rPr>
          <w:rFonts w:ascii="Aptos" w:hAnsi="Aptos"/>
          <w:b/>
          <w:color w:val="1F2937"/>
          <w:sz w:val="21"/>
        </w:rPr>
        <w:t>Vínculo con el territorio.</w:t>
      </w:r>
      <w:r>
        <w:rPr>
          <w:rFonts w:ascii="Aptos" w:hAnsi="Aptos"/>
          <w:color w:val="1F2937"/>
          <w:sz w:val="21"/>
        </w:rPr>
        <w:t xml:space="preserve"> El promotor reside en Extremadura y establecerá la oficina operativa en Membrío desde el inicio de la Fase 1, con compromiso de domicilio social y fiscal en el municipio. El proyecto actúa en las dos direcciones que valora el programa: fijación de población y atracción de nuevos pobladores (perfiles técnicos en F3–F4).</w:t>
      </w:r>
    </w:p>
    <w:p w14:paraId="3D9C66E3">
      <w:pPr>
        <w:pStyle w:val="4"/>
      </w:pPr>
      <w:bookmarkStart w:id="9" w:name="X09811a5ffa46767808e69962c90809d6603e6b8"/>
      <w:r>
        <w:rPr>
          <w:rFonts w:ascii="Aptos Display" w:hAnsi="Aptos Display"/>
          <w:b/>
          <w:color w:val="174A2E"/>
          <w:sz w:val="21"/>
        </w:rPr>
        <w:t>2.1. Desarrollo ampliado — Método de trabajo: niveles de madurez y gobernanza por evidencias</w:t>
      </w:r>
      <w:bookmarkEnd w:id="9"/>
    </w:p>
    <w:p w14:paraId="6D8B295C">
      <w:pPr>
        <w:pStyle w:val="23"/>
      </w:pPr>
      <w:r>
        <w:rPr>
          <w:rFonts w:ascii="Aptos" w:hAnsi="Aptos"/>
          <w:b/>
          <w:color w:val="1F2937"/>
          <w:sz w:val="21"/>
        </w:rPr>
        <w:t>Principio rector.</w:t>
      </w:r>
      <w:r>
        <w:rPr>
          <w:rFonts w:ascii="Aptos" w:hAnsi="Aptos"/>
          <w:color w:val="1F2937"/>
          <w:sz w:val="21"/>
        </w:rPr>
        <w:t xml:space="preserve"> Toda inversión en infraestructura física debe estar precedida por evidencia técnica, demanda de mercado y capacidad operativa demostradas. El crecimiento no se apoya en hipótesis acumuladas, sino en validaciones sucesivas que reducen seis riesgos: científico, tecnológico, operativo, comercial, financiero y de escalabilidad.</w:t>
      </w:r>
    </w:p>
    <w:p w14:paraId="1F046D0E">
      <w:pPr>
        <w:pStyle w:val="3"/>
      </w:pPr>
      <w:r>
        <w:rPr>
          <w:rFonts w:ascii="Aptos" w:hAnsi="Aptos"/>
          <w:b/>
          <w:color w:val="1F2937"/>
          <w:sz w:val="21"/>
        </w:rPr>
        <w:t>Modelo de madurez (seis niveles).</w:t>
      </w:r>
    </w:p>
    <w:tbl>
      <w:tblPr>
        <w:tblStyle w:val="28"/>
        <w:tblW w:w="5000" w:type="pct"/>
        <w:jc w:val="center"/>
        <w:tblInd w:w="0" w:type="dxa"/>
        <w:tblLayout w:type="fixed"/>
        <w:tblCellMar>
          <w:top w:w="0" w:type="dxa"/>
          <w:left w:w="108" w:type="dxa"/>
          <w:bottom w:w="0" w:type="dxa"/>
          <w:right w:w="108" w:type="dxa"/>
        </w:tblCellMar>
      </w:tblPr>
      <w:tblGrid>
        <w:gridCol w:w="2214"/>
        <w:gridCol w:w="2214"/>
        <w:gridCol w:w="2214"/>
        <w:gridCol w:w="2214"/>
      </w:tblGrid>
      <w:tr w14:paraId="6BF36C4F">
        <w:tblPrEx>
          <w:tblCellMar>
            <w:top w:w="0" w:type="dxa"/>
            <w:left w:w="108" w:type="dxa"/>
            <w:bottom w:w="0" w:type="dxa"/>
            <w:right w:w="108" w:type="dxa"/>
          </w:tblCellMar>
        </w:tblPrEx>
        <w:tc>
          <w:tcPr>
            <w:tcW w:w="2340" w:type="dxa"/>
            <w:tcBorders>
              <w:bottom w:val="single" w:color="auto" w:sz="0" w:space="0"/>
            </w:tcBorders>
            <w:vAlign w:val="bottom"/>
          </w:tcPr>
          <w:p w14:paraId="52F22253">
            <w:pPr>
              <w:pStyle w:val="24"/>
              <w:spacing w:after="0"/>
              <w:jc w:val="left"/>
            </w:pPr>
            <w:r>
              <w:rPr>
                <w:rFonts w:ascii="Aptos" w:hAnsi="Aptos"/>
                <w:color w:val="1F2937"/>
                <w:sz w:val="18"/>
              </w:rPr>
              <w:t>Nivel</w:t>
            </w:r>
          </w:p>
        </w:tc>
        <w:tc>
          <w:tcPr>
            <w:tcW w:w="2340" w:type="dxa"/>
            <w:tcBorders>
              <w:bottom w:val="single" w:color="auto" w:sz="0" w:space="0"/>
            </w:tcBorders>
            <w:vAlign w:val="bottom"/>
          </w:tcPr>
          <w:p w14:paraId="0EC86F29">
            <w:pPr>
              <w:pStyle w:val="24"/>
              <w:spacing w:after="0"/>
              <w:jc w:val="left"/>
            </w:pPr>
            <w:r>
              <w:rPr>
                <w:rFonts w:ascii="Aptos" w:hAnsi="Aptos"/>
                <w:color w:val="1F2937"/>
                <w:sz w:val="18"/>
              </w:rPr>
              <w:t>Qué demuestra</w:t>
            </w:r>
          </w:p>
        </w:tc>
        <w:tc>
          <w:tcPr>
            <w:tcW w:w="2340" w:type="dxa"/>
            <w:tcBorders>
              <w:bottom w:val="single" w:color="auto" w:sz="0" w:space="0"/>
            </w:tcBorders>
            <w:vAlign w:val="bottom"/>
          </w:tcPr>
          <w:p w14:paraId="29882957">
            <w:pPr>
              <w:pStyle w:val="24"/>
              <w:spacing w:after="0"/>
              <w:jc w:val="left"/>
            </w:pPr>
            <w:r>
              <w:rPr>
                <w:rFonts w:ascii="Aptos" w:hAnsi="Aptos"/>
                <w:color w:val="1F2937"/>
                <w:sz w:val="18"/>
              </w:rPr>
              <w:t>Evidencia / métrica</w:t>
            </w:r>
          </w:p>
        </w:tc>
        <w:tc>
          <w:tcPr>
            <w:tcW w:w="2340" w:type="dxa"/>
            <w:tcBorders>
              <w:bottom w:val="single" w:color="auto" w:sz="0" w:space="0"/>
            </w:tcBorders>
            <w:vAlign w:val="bottom"/>
          </w:tcPr>
          <w:p w14:paraId="1883980A">
            <w:pPr>
              <w:pStyle w:val="24"/>
              <w:spacing w:after="0"/>
              <w:jc w:val="left"/>
            </w:pPr>
            <w:r>
              <w:rPr>
                <w:rFonts w:ascii="Aptos" w:hAnsi="Aptos"/>
                <w:color w:val="1F2937"/>
                <w:sz w:val="18"/>
              </w:rPr>
              <w:t>Riesgo que reduce</w:t>
            </w:r>
          </w:p>
        </w:tc>
      </w:tr>
      <w:tr w14:paraId="60B02A5C">
        <w:tblPrEx>
          <w:tblCellMar>
            <w:top w:w="0" w:type="dxa"/>
            <w:left w:w="108" w:type="dxa"/>
            <w:bottom w:w="0" w:type="dxa"/>
            <w:right w:w="108" w:type="dxa"/>
          </w:tblCellMar>
        </w:tblPrEx>
        <w:tc>
          <w:p w14:paraId="28A426AA">
            <w:pPr>
              <w:pStyle w:val="24"/>
              <w:spacing w:after="0"/>
              <w:jc w:val="left"/>
            </w:pPr>
            <w:r>
              <w:rPr>
                <w:rFonts w:ascii="Aptos" w:hAnsi="Aptos"/>
                <w:color w:val="1F2937"/>
                <w:sz w:val="18"/>
              </w:rPr>
              <w:t>N1 Científica</w:t>
            </w:r>
          </w:p>
        </w:tc>
        <w:tc>
          <w:p w14:paraId="469BC940">
            <w:pPr>
              <w:pStyle w:val="24"/>
              <w:spacing w:after="0"/>
              <w:jc w:val="left"/>
            </w:pPr>
            <w:r>
              <w:rPr>
                <w:rFonts w:ascii="Aptos" w:hAnsi="Aptos"/>
                <w:color w:val="1F2937"/>
                <w:sz w:val="18"/>
              </w:rPr>
              <w:t>Hipótesis físicas correctas (terracota, geotermia, agua)</w:t>
            </w:r>
          </w:p>
        </w:tc>
        <w:tc>
          <w:p w14:paraId="3D7FAD8C">
            <w:pPr>
              <w:pStyle w:val="24"/>
              <w:spacing w:after="0"/>
              <w:jc w:val="left"/>
            </w:pPr>
            <w:r>
              <w:rPr>
                <w:rFonts w:ascii="Aptos" w:hAnsi="Aptos"/>
                <w:color w:val="1F2937"/>
                <w:sz w:val="18"/>
              </w:rPr>
              <w:t>Módulo terracota ≥6 meses; TRT; datos brutos + scripts</w:t>
            </w:r>
          </w:p>
        </w:tc>
        <w:tc>
          <w:p w14:paraId="50D4450A">
            <w:pPr>
              <w:pStyle w:val="24"/>
              <w:spacing w:after="0"/>
              <w:jc w:val="left"/>
            </w:pPr>
            <w:r>
              <w:rPr>
                <w:rFonts w:ascii="Aptos" w:hAnsi="Aptos"/>
                <w:color w:val="1F2937"/>
                <w:sz w:val="18"/>
              </w:rPr>
              <w:t>Científico</w:t>
            </w:r>
          </w:p>
        </w:tc>
      </w:tr>
      <w:tr w14:paraId="01BDA0DF">
        <w:tblPrEx>
          <w:tblCellMar>
            <w:top w:w="0" w:type="dxa"/>
            <w:left w:w="108" w:type="dxa"/>
            <w:bottom w:w="0" w:type="dxa"/>
            <w:right w:w="108" w:type="dxa"/>
          </w:tblCellMar>
        </w:tblPrEx>
        <w:tc>
          <w:p w14:paraId="66D10410">
            <w:pPr>
              <w:pStyle w:val="24"/>
              <w:spacing w:after="0"/>
              <w:jc w:val="left"/>
            </w:pPr>
            <w:r>
              <w:rPr>
                <w:rFonts w:ascii="Aptos" w:hAnsi="Aptos"/>
                <w:color w:val="1F2937"/>
                <w:sz w:val="18"/>
              </w:rPr>
              <w:t>N2 Digital</w:t>
            </w:r>
          </w:p>
        </w:tc>
        <w:tc>
          <w:p w14:paraId="57D23020">
            <w:pPr>
              <w:pStyle w:val="24"/>
              <w:spacing w:after="0"/>
              <w:jc w:val="left"/>
            </w:pPr>
            <w:r>
              <w:rPr>
                <w:rFonts w:ascii="Aptos" w:hAnsi="Aptos"/>
                <w:color w:val="1F2937"/>
                <w:sz w:val="18"/>
              </w:rPr>
              <w:t>El SaaS funciona en explotación real</w:t>
            </w:r>
          </w:p>
        </w:tc>
        <w:tc>
          <w:p w14:paraId="156977EE">
            <w:pPr>
              <w:pStyle w:val="24"/>
              <w:spacing w:after="0"/>
              <w:jc w:val="left"/>
            </w:pPr>
            <w:r>
              <w:rPr>
                <w:rFonts w:ascii="Aptos" w:hAnsi="Aptos"/>
                <w:color w:val="1F2937"/>
                <w:sz w:val="18"/>
              </w:rPr>
              <w:t>uptime ≥99 %; latencia; adopción</w:t>
            </w:r>
          </w:p>
        </w:tc>
        <w:tc>
          <w:p w14:paraId="3DAD7D60">
            <w:pPr>
              <w:pStyle w:val="24"/>
              <w:spacing w:after="0"/>
              <w:jc w:val="left"/>
            </w:pPr>
            <w:r>
              <w:rPr>
                <w:rFonts w:ascii="Aptos" w:hAnsi="Aptos"/>
                <w:color w:val="1F2937"/>
                <w:sz w:val="18"/>
              </w:rPr>
              <w:t>Tecnológico</w:t>
            </w:r>
          </w:p>
        </w:tc>
      </w:tr>
      <w:tr w14:paraId="06A56ACC">
        <w:tblPrEx>
          <w:tblCellMar>
            <w:top w:w="0" w:type="dxa"/>
            <w:left w:w="108" w:type="dxa"/>
            <w:bottom w:w="0" w:type="dxa"/>
            <w:right w:w="108" w:type="dxa"/>
          </w:tblCellMar>
        </w:tblPrEx>
        <w:tc>
          <w:p w14:paraId="3DB2AF22">
            <w:pPr>
              <w:pStyle w:val="24"/>
              <w:spacing w:after="0"/>
              <w:jc w:val="left"/>
            </w:pPr>
            <w:r>
              <w:rPr>
                <w:rFonts w:ascii="Aptos" w:hAnsi="Aptos"/>
                <w:color w:val="1F2937"/>
                <w:sz w:val="18"/>
              </w:rPr>
              <w:t>N3 Operacional</w:t>
            </w:r>
          </w:p>
        </w:tc>
        <w:tc>
          <w:p w14:paraId="3A60865E">
            <w:pPr>
              <w:pStyle w:val="24"/>
              <w:spacing w:after="0"/>
              <w:jc w:val="left"/>
            </w:pPr>
            <w:r>
              <w:rPr>
                <w:rFonts w:ascii="Aptos" w:hAnsi="Aptos"/>
                <w:color w:val="1F2937"/>
                <w:sz w:val="18"/>
              </w:rPr>
              <w:t>Una explotación opera meses con procedimientos repetibles</w:t>
            </w:r>
          </w:p>
        </w:tc>
        <w:tc>
          <w:p w14:paraId="663C2718">
            <w:pPr>
              <w:pStyle w:val="24"/>
              <w:spacing w:after="0"/>
              <w:jc w:val="left"/>
            </w:pPr>
            <w:r>
              <w:rPr>
                <w:rFonts w:ascii="Aptos" w:hAnsi="Aptos"/>
                <w:color w:val="1F2937"/>
                <w:sz w:val="18"/>
              </w:rPr>
              <w:t>APPCC, SOP, mantenimiento, SPC</w:t>
            </w:r>
          </w:p>
        </w:tc>
        <w:tc>
          <w:p w14:paraId="1A536589">
            <w:pPr>
              <w:pStyle w:val="24"/>
              <w:spacing w:after="0"/>
              <w:jc w:val="left"/>
            </w:pPr>
            <w:r>
              <w:rPr>
                <w:rFonts w:ascii="Aptos" w:hAnsi="Aptos"/>
                <w:color w:val="1F2937"/>
                <w:sz w:val="18"/>
              </w:rPr>
              <w:t>Operativo</w:t>
            </w:r>
          </w:p>
        </w:tc>
      </w:tr>
      <w:tr w14:paraId="608365A4">
        <w:tblPrEx>
          <w:tblCellMar>
            <w:top w:w="0" w:type="dxa"/>
            <w:left w:w="108" w:type="dxa"/>
            <w:bottom w:w="0" w:type="dxa"/>
            <w:right w:w="108" w:type="dxa"/>
          </w:tblCellMar>
        </w:tblPrEx>
        <w:tc>
          <w:p w14:paraId="06D0898A">
            <w:pPr>
              <w:pStyle w:val="24"/>
              <w:spacing w:after="0"/>
              <w:jc w:val="left"/>
            </w:pPr>
            <w:r>
              <w:rPr>
                <w:rFonts w:ascii="Aptos" w:hAnsi="Aptos"/>
                <w:color w:val="1F2937"/>
                <w:sz w:val="18"/>
              </w:rPr>
              <w:t>N4 Comercial</w:t>
            </w:r>
          </w:p>
        </w:tc>
        <w:tc>
          <w:p w14:paraId="647D027A">
            <w:pPr>
              <w:pStyle w:val="24"/>
              <w:spacing w:after="0"/>
              <w:jc w:val="left"/>
            </w:pPr>
            <w:r>
              <w:rPr>
                <w:rFonts w:ascii="Aptos" w:hAnsi="Aptos"/>
                <w:color w:val="1F2937"/>
                <w:sz w:val="18"/>
              </w:rPr>
              <w:t>Existe mercado</w:t>
            </w:r>
          </w:p>
        </w:tc>
        <w:tc>
          <w:p w14:paraId="307B0AC5">
            <w:pPr>
              <w:pStyle w:val="24"/>
              <w:spacing w:after="0"/>
              <w:jc w:val="left"/>
            </w:pPr>
            <w:r>
              <w:rPr>
                <w:rFonts w:ascii="Aptos" w:hAnsi="Aptos"/>
                <w:color w:val="1F2937"/>
                <w:sz w:val="18"/>
              </w:rPr>
              <w:t>≥5 clientes / pilotos remunerados; LOI</w:t>
            </w:r>
          </w:p>
        </w:tc>
        <w:tc>
          <w:p w14:paraId="09BECE5E">
            <w:pPr>
              <w:pStyle w:val="24"/>
              <w:spacing w:after="0"/>
              <w:jc w:val="left"/>
            </w:pPr>
            <w:r>
              <w:rPr>
                <w:rFonts w:ascii="Aptos" w:hAnsi="Aptos"/>
                <w:color w:val="1F2937"/>
                <w:sz w:val="18"/>
              </w:rPr>
              <w:t>Comercial</w:t>
            </w:r>
          </w:p>
        </w:tc>
      </w:tr>
      <w:tr w14:paraId="5E3A44B9">
        <w:tblPrEx>
          <w:tblCellMar>
            <w:top w:w="0" w:type="dxa"/>
            <w:left w:w="108" w:type="dxa"/>
            <w:bottom w:w="0" w:type="dxa"/>
            <w:right w:w="108" w:type="dxa"/>
          </w:tblCellMar>
        </w:tblPrEx>
        <w:tc>
          <w:p w14:paraId="183E666D">
            <w:pPr>
              <w:pStyle w:val="24"/>
              <w:spacing w:after="0"/>
              <w:jc w:val="left"/>
            </w:pPr>
            <w:r>
              <w:rPr>
                <w:rFonts w:ascii="Aptos" w:hAnsi="Aptos"/>
                <w:color w:val="1F2937"/>
                <w:sz w:val="18"/>
              </w:rPr>
              <w:t>N5 Financiera</w:t>
            </w:r>
          </w:p>
        </w:tc>
        <w:tc>
          <w:p w14:paraId="616E749B">
            <w:pPr>
              <w:pStyle w:val="24"/>
              <w:spacing w:after="0"/>
              <w:jc w:val="left"/>
            </w:pPr>
            <w:r>
              <w:rPr>
                <w:rFonts w:ascii="Aptos" w:hAnsi="Aptos"/>
                <w:color w:val="1F2937"/>
                <w:sz w:val="18"/>
              </w:rPr>
              <w:t>Tiene sentido invertir</w:t>
            </w:r>
          </w:p>
        </w:tc>
        <w:tc>
          <w:p w14:paraId="711B5C2C">
            <w:pPr>
              <w:pStyle w:val="24"/>
              <w:spacing w:after="0"/>
              <w:jc w:val="left"/>
            </w:pPr>
            <w:r>
              <w:rPr>
                <w:rFonts w:ascii="Aptos" w:hAnsi="Aptos"/>
                <w:color w:val="1F2937"/>
                <w:sz w:val="18"/>
              </w:rPr>
              <w:t>CAPEX/OPEX, cash-flow, payback, escenarios</w:t>
            </w:r>
          </w:p>
        </w:tc>
        <w:tc>
          <w:p w14:paraId="2E3759E8">
            <w:pPr>
              <w:pStyle w:val="24"/>
              <w:spacing w:after="0"/>
              <w:jc w:val="left"/>
            </w:pPr>
            <w:r>
              <w:rPr>
                <w:rFonts w:ascii="Aptos" w:hAnsi="Aptos"/>
                <w:color w:val="1F2937"/>
                <w:sz w:val="18"/>
              </w:rPr>
              <w:t>Financiero</w:t>
            </w:r>
          </w:p>
        </w:tc>
      </w:tr>
      <w:tr w14:paraId="200016BC">
        <w:tblPrEx>
          <w:tblCellMar>
            <w:top w:w="0" w:type="dxa"/>
            <w:left w:w="108" w:type="dxa"/>
            <w:bottom w:w="0" w:type="dxa"/>
            <w:right w:w="108" w:type="dxa"/>
          </w:tblCellMar>
        </w:tblPrEx>
        <w:tc>
          <w:p w14:paraId="044CE988">
            <w:pPr>
              <w:pStyle w:val="24"/>
              <w:spacing w:after="0"/>
              <w:jc w:val="left"/>
            </w:pPr>
            <w:r>
              <w:rPr>
                <w:rFonts w:ascii="Aptos" w:hAnsi="Aptos"/>
                <w:color w:val="1F2937"/>
                <w:sz w:val="18"/>
              </w:rPr>
              <w:t>N6 Escalabilidad</w:t>
            </w:r>
          </w:p>
        </w:tc>
        <w:tc>
          <w:p w14:paraId="7E89A57D">
            <w:pPr>
              <w:pStyle w:val="24"/>
              <w:spacing w:after="0"/>
              <w:jc w:val="left"/>
            </w:pPr>
            <w:r>
              <w:rPr>
                <w:rFonts w:ascii="Aptos" w:hAnsi="Aptos"/>
                <w:color w:val="1F2937"/>
                <w:sz w:val="18"/>
              </w:rPr>
              <w:t>Es un patrón replicable</w:t>
            </w:r>
          </w:p>
        </w:tc>
        <w:tc>
          <w:p w14:paraId="50598AA5">
            <w:pPr>
              <w:pStyle w:val="24"/>
              <w:spacing w:after="0"/>
              <w:jc w:val="left"/>
            </w:pPr>
            <w:r>
              <w:rPr>
                <w:rFonts w:ascii="Aptos" w:hAnsi="Aptos"/>
                <w:color w:val="1F2937"/>
                <w:sz w:val="18"/>
              </w:rPr>
              <w:t>Tiempo/coste de réplica, twin plantilla</w:t>
            </w:r>
          </w:p>
        </w:tc>
        <w:tc>
          <w:p w14:paraId="54598CC2">
            <w:pPr>
              <w:pStyle w:val="24"/>
              <w:spacing w:after="0"/>
              <w:jc w:val="left"/>
            </w:pPr>
            <w:r>
              <w:rPr>
                <w:rFonts w:ascii="Aptos" w:hAnsi="Aptos"/>
                <w:color w:val="1F2937"/>
                <w:sz w:val="18"/>
              </w:rPr>
              <w:t>Escalabilidad</w:t>
            </w:r>
          </w:p>
        </w:tc>
      </w:tr>
    </w:tbl>
    <w:p w14:paraId="3C76DCFB">
      <w:pPr>
        <w:pStyle w:val="3"/>
      </w:pPr>
      <w:r>
        <w:rPr>
          <w:rFonts w:ascii="Aptos" w:hAnsi="Aptos"/>
          <w:b/>
          <w:color w:val="1F2937"/>
          <w:sz w:val="21"/>
        </w:rPr>
        <w:t>Gobernanza por evidencias: el Gate estándar.</w:t>
      </w:r>
      <w:r>
        <w:rPr>
          <w:rFonts w:ascii="Aptos" w:hAnsi="Aptos"/>
          <w:color w:val="1F2937"/>
          <w:sz w:val="21"/>
        </w:rPr>
        <w:t xml:space="preserve"> Todo Gate responde seis preguntas idénticas — hipótesis, evidencia necesaria, cómo se obtiene, quién valida, criterios mínimos y qué decisión habilita (con salida digna) — y se documenta como objeto auditable (§3.7 y §7.9).</w:t>
      </w:r>
    </w:p>
    <w:p w14:paraId="3D3E7295">
      <w:pPr>
        <w:pStyle w:val="3"/>
      </w:pPr>
      <w:r>
        <w:rPr>
          <w:rFonts w:ascii="Aptos" w:hAnsi="Aptos"/>
          <w:b/>
          <w:color w:val="1F2937"/>
          <w:sz w:val="21"/>
        </w:rPr>
        <w:t>Indicador Global de Madurez (IGM).</w:t>
      </w:r>
      <w:r>
        <w:rPr>
          <w:rFonts w:ascii="Aptos" w:hAnsi="Aptos"/>
          <w:color w:val="1F2937"/>
          <w:sz w:val="21"/>
        </w:rPr>
        <w:t xml:space="preserve"> </w:t>
      </w:r>
      <w:r>
        <w:rPr>
          <w:rStyle w:val="35"/>
          <w:rFonts w:ascii="Aptos" w:hAnsi="Aptos"/>
          <w:color w:val="1F2937"/>
          <w:sz w:val="21"/>
        </w:rPr>
        <w:t>IGM=f(T,D,O,C,F,R)</w:t>
      </w:r>
      <w:r>
        <w:rPr>
          <w:rFonts w:ascii="Aptos" w:hAnsi="Aptos"/>
          <w:color w:val="1F2937"/>
          <w:sz w:val="21"/>
        </w:rPr>
        <w:t>; cada dimensión se puntúa 0–5. La autoevaluación de partida (T,D ≈ 2–3; O,C,F ≈ 1–2; R ≈ 1) es declarada y sujeta a revisión del comité. La Fase 1 debe mover C (comercial) y T (tecnológica) hacia 3 “validado en piloto”; R solo sube con la réplica.</w:t>
      </w:r>
    </w:p>
    <w:p w14:paraId="669548C4">
      <w:pPr>
        <w:pStyle w:val="3"/>
      </w:pPr>
      <w:r>
        <w:rPr>
          <w:rFonts w:ascii="Aptos" w:hAnsi="Aptos"/>
          <w:color w:val="1F2937"/>
          <w:sz w:val="21"/>
        </w:rPr>
        <w:t>La financiación y el acompañamiento del programa —incluidas las incubadoras del §8.3— permiten equilibrar la madurez comercial con la metodológica ya alcanzada: exactamente el desequilibrio que la Fase 1 corrige.</w:t>
      </w:r>
    </w:p>
    <w:p w14:paraId="15D13E65">
      <w:pPr>
        <w:pStyle w:val="22"/>
      </w:pPr>
      <w:r>
        <w:rPr>
          <w:rFonts w:ascii="Aptos" w:hAnsi="Aptos"/>
          <w:b/>
          <w:color w:val="1F2937"/>
          <w:sz w:val="21"/>
        </w:rPr>
        <w:t>Evidencias asociadas (§2):</w:t>
      </w:r>
      <w:r>
        <w:rPr>
          <w:rFonts w:ascii="Aptos" w:hAnsi="Aptos"/>
          <w:color w:val="1F2937"/>
          <w:sz w:val="21"/>
        </w:rPr>
        <w:t xml:space="preserve"> CV del promotor, repositorio </w:t>
      </w:r>
      <w:r>
        <w:rPr>
          <w:rStyle w:val="35"/>
          <w:rFonts w:ascii="Aptos" w:hAnsi="Aptos"/>
          <w:color w:val="1F2937"/>
          <w:sz w:val="21"/>
        </w:rPr>
        <w:t>sev/</w:t>
      </w:r>
      <w:r>
        <w:rPr>
          <w:rFonts w:ascii="Aptos" w:hAnsi="Aptos"/>
          <w:color w:val="1F2937"/>
          <w:sz w:val="21"/>
        </w:rPr>
        <w:t>, Memoria Técnica v3.7 · Nivel: documento (§11).</w:t>
      </w:r>
    </w:p>
    <w:p w14:paraId="45CC237E">
      <w:pPr>
        <w:pStyle w:val="4"/>
      </w:pPr>
      <w:bookmarkStart w:id="10" w:name="X82f85bff214a231bd0585ee27fb78fa38fcd194"/>
      <w:r>
        <w:rPr>
          <w:rFonts w:ascii="Aptos Display" w:hAnsi="Aptos Display"/>
          <w:b/>
          <w:color w:val="174A2E"/>
          <w:sz w:val="21"/>
        </w:rPr>
        <w:t>2.2. Huella técnica pública del promotor (GitHub · Traky12)</w:t>
      </w:r>
      <w:bookmarkEnd w:id="10"/>
    </w:p>
    <w:p w14:paraId="19891286">
      <w:pPr>
        <w:pStyle w:val="22"/>
      </w:pPr>
      <w:r>
        <w:rPr>
          <w:rFonts w:ascii="Aptos" w:hAnsi="Aptos"/>
          <w:b/>
          <w:color w:val="1F2937"/>
          <w:sz w:val="21"/>
        </w:rPr>
        <w:t>Snapshot del perfil: 14/08/2026.</w:t>
      </w:r>
      <w:r>
        <w:rPr>
          <w:rFonts w:ascii="Aptos" w:hAnsi="Aptos"/>
          <w:color w:val="1F2937"/>
          <w:sz w:val="21"/>
        </w:rPr>
        <w:t xml:space="preserve"> Todas las cifras de esta sección son una </w:t>
      </w:r>
      <w:r>
        <w:rPr>
          <w:rFonts w:ascii="Aptos" w:hAnsi="Aptos"/>
          <w:b/>
          <w:color w:val="1F2937"/>
          <w:sz w:val="21"/>
        </w:rPr>
        <w:t>fotografía puntual</w:t>
      </w:r>
      <w:r>
        <w:rPr>
          <w:rFonts w:ascii="Aptos" w:hAnsi="Aptos"/>
          <w:color w:val="1F2937"/>
          <w:sz w:val="21"/>
        </w:rPr>
        <w:t xml:space="preserve">, no características permanentes, y se presentan como </w:t>
      </w:r>
      <w:r>
        <w:rPr>
          <w:rFonts w:ascii="Aptos" w:hAnsi="Aptos"/>
          <w:b/>
          <w:color w:val="1F2937"/>
          <w:sz w:val="21"/>
        </w:rPr>
        <w:t>evidencia pública de actividad técnica sostenida</w:t>
      </w:r>
      <w:r>
        <w:rPr>
          <w:rFonts w:ascii="Aptos" w:hAnsi="Aptos"/>
          <w:color w:val="1F2937"/>
          <w:sz w:val="21"/>
        </w:rPr>
        <w:t xml:space="preserve">, nunca como validación comercial. Seguidores, </w:t>
      </w:r>
      <w:r>
        <w:rPr>
          <w:rFonts w:ascii="Aptos" w:hAnsi="Aptos"/>
          <w:i/>
          <w:color w:val="1F2937"/>
          <w:sz w:val="21"/>
        </w:rPr>
        <w:t>stars</w:t>
      </w:r>
      <w:r>
        <w:rPr>
          <w:rFonts w:ascii="Aptos" w:hAnsi="Aptos"/>
          <w:color w:val="1F2937"/>
          <w:sz w:val="21"/>
        </w:rPr>
        <w:t xml:space="preserve"> y </w:t>
      </w:r>
      <w:r>
        <w:rPr>
          <w:rFonts w:ascii="Aptos" w:hAnsi="Aptos"/>
          <w:i/>
          <w:color w:val="1F2937"/>
          <w:sz w:val="21"/>
        </w:rPr>
        <w:t>achievements</w:t>
      </w:r>
      <w:r>
        <w:rPr>
          <w:rFonts w:ascii="Aptos" w:hAnsi="Aptos"/>
          <w:color w:val="1F2937"/>
          <w:sz w:val="21"/>
        </w:rPr>
        <w:t xml:space="preserve"> </w:t>
      </w:r>
      <w:r>
        <w:rPr>
          <w:rFonts w:ascii="Aptos" w:hAnsi="Aptos"/>
          <w:b/>
          <w:color w:val="1F2937"/>
          <w:sz w:val="21"/>
        </w:rPr>
        <w:t>no son clientes, ventas ni facturación</w:t>
      </w:r>
      <w:r>
        <w:rPr>
          <w:rFonts w:ascii="Aptos" w:hAnsi="Aptos"/>
          <w:color w:val="1F2937"/>
          <w:sz w:val="21"/>
        </w:rPr>
        <w:t>.</w:t>
      </w:r>
    </w:p>
    <w:p w14:paraId="7FC8A91F">
      <w:pPr>
        <w:pStyle w:val="23"/>
      </w:pPr>
      <w:r>
        <w:rPr>
          <w:rFonts w:ascii="Aptos" w:hAnsi="Aptos"/>
          <w:b/>
          <w:color w:val="1F2937"/>
          <w:sz w:val="21"/>
        </w:rPr>
        <w:t>Identidad.</w:t>
      </w:r>
      <w:r>
        <w:rPr>
          <w:rFonts w:ascii="Aptos" w:hAnsi="Aptos"/>
          <w:color w:val="1F2937"/>
          <w:sz w:val="21"/>
        </w:rPr>
        <w:t xml:space="preserve"> Gregorio Jiménez Bodes — </w:t>
      </w:r>
      <w:r>
        <w:rPr>
          <w:rFonts w:ascii="Aptos" w:hAnsi="Aptos"/>
          <w:i/>
          <w:color w:val="1F2937"/>
          <w:sz w:val="21"/>
        </w:rPr>
        <w:t>Traky12</w:t>
      </w:r>
      <w:r>
        <w:rPr>
          <w:rFonts w:ascii="Aptos" w:hAnsi="Aptos"/>
          <w:color w:val="1F2937"/>
          <w:sz w:val="21"/>
        </w:rPr>
        <w:t xml:space="preserve"> — Founder · Technical Architect · Software Engineer. Ubicación: Cáceres. Web: castuo-system.es. ORCID: 0009-0007-3489-0565. LinkedIn: perfil CASTÚO-SYSTEM. GitHub Pro: sí.</w:t>
      </w:r>
    </w:p>
    <w:p w14:paraId="68E1CD6A">
      <w:pPr>
        <w:pStyle w:val="3"/>
      </w:pPr>
      <w:r>
        <w:rPr>
          <w:rFonts w:ascii="Aptos" w:hAnsi="Aptos"/>
          <w:b/>
          <w:color w:val="1F2937"/>
          <w:sz w:val="21"/>
        </w:rPr>
        <w:t>Snapshot (14/08/2026):</w:t>
      </w:r>
      <w:r>
        <w:rPr>
          <w:rFonts w:ascii="Aptos" w:hAnsi="Aptos"/>
          <w:color w:val="1F2937"/>
          <w:sz w:val="21"/>
        </w:rPr>
        <w:t xml:space="preserve"> 14 repositorios visibles · 32 seguidores · 25 </w:t>
      </w:r>
      <w:r>
        <w:rPr>
          <w:rFonts w:ascii="Aptos" w:hAnsi="Aptos"/>
          <w:i/>
          <w:color w:val="1F2937"/>
          <w:sz w:val="21"/>
        </w:rPr>
        <w:t>following</w:t>
      </w:r>
      <w:r>
        <w:rPr>
          <w:rFonts w:ascii="Aptos" w:hAnsi="Aptos"/>
          <w:color w:val="1F2937"/>
          <w:sz w:val="21"/>
        </w:rPr>
        <w:t xml:space="preserve"> · 11 </w:t>
      </w:r>
      <w:r>
        <w:rPr>
          <w:rFonts w:ascii="Aptos" w:hAnsi="Aptos"/>
          <w:i/>
          <w:color w:val="1F2937"/>
          <w:sz w:val="21"/>
        </w:rPr>
        <w:t>stars</w:t>
      </w:r>
      <w:r>
        <w:rPr>
          <w:rFonts w:ascii="Aptos" w:hAnsi="Aptos"/>
          <w:color w:val="1F2937"/>
          <w:sz w:val="21"/>
        </w:rPr>
        <w:t xml:space="preserve"> · </w:t>
      </w:r>
      <w:r>
        <w:rPr>
          <w:rFonts w:ascii="Aptos" w:hAnsi="Aptos"/>
          <w:b/>
          <w:color w:val="1F2937"/>
          <w:sz w:val="21"/>
        </w:rPr>
        <w:t>≈650 contribuciones</w:t>
      </w:r>
      <w:r>
        <w:rPr>
          <w:rFonts w:ascii="Aptos" w:hAnsi="Aptos"/>
          <w:color w:val="1F2937"/>
          <w:sz w:val="21"/>
        </w:rPr>
        <w:t xml:space="preserve"> en el último año, con actividad continua en 2026 · </w:t>
      </w:r>
      <w:r>
        <w:rPr>
          <w:rFonts w:ascii="Aptos" w:hAnsi="Aptos"/>
          <w:i/>
          <w:color w:val="1F2937"/>
          <w:sz w:val="21"/>
        </w:rPr>
        <w:t>achievements</w:t>
      </w:r>
      <w:r>
        <w:rPr>
          <w:rFonts w:ascii="Aptos" w:hAnsi="Aptos"/>
          <w:color w:val="1F2937"/>
          <w:sz w:val="21"/>
        </w:rPr>
        <w:t xml:space="preserve">: Pair Extraordinaire ×2, Pull Shark ×2, YOLO. Estos números documentan </w:t>
      </w:r>
      <w:r>
        <w:rPr>
          <w:rFonts w:ascii="Aptos" w:hAnsi="Aptos"/>
          <w:b/>
          <w:color w:val="1F2937"/>
          <w:sz w:val="21"/>
        </w:rPr>
        <w:t>presencia y actividad</w:t>
      </w:r>
      <w:r>
        <w:rPr>
          <w:rFonts w:ascii="Aptos" w:hAnsi="Aptos"/>
          <w:color w:val="1F2937"/>
          <w:sz w:val="21"/>
        </w:rPr>
        <w:t>, no éxito comercial.</w:t>
      </w:r>
    </w:p>
    <w:p w14:paraId="6DA30DE2">
      <w:pPr>
        <w:pStyle w:val="3"/>
      </w:pPr>
      <w:r>
        <w:rPr>
          <w:rFonts w:ascii="Aptos" w:hAnsi="Aptos"/>
          <w:b/>
          <w:color w:val="1F2937"/>
          <w:sz w:val="21"/>
        </w:rPr>
        <w:t>Metodología declarada.</w:t>
      </w:r>
      <w:r>
        <w:rPr>
          <w:rFonts w:ascii="Aptos" w:hAnsi="Aptos"/>
          <w:color w:val="1F2937"/>
          <w:sz w:val="21"/>
        </w:rPr>
        <w:t xml:space="preserve"> </w:t>
      </w:r>
      <w:r>
        <w:rPr>
          <w:rFonts w:ascii="Aptos" w:hAnsi="Aptos"/>
          <w:i/>
          <w:color w:val="1F2937"/>
          <w:sz w:val="21"/>
        </w:rPr>
        <w:t>Build it · Test it · Observe it · Document the evidence · Then increase its maturity</w:t>
      </w:r>
      <w:r>
        <w:rPr>
          <w:rFonts w:ascii="Aptos" w:hAnsi="Aptos"/>
          <w:color w:val="1F2937"/>
          <w:sz w:val="21"/>
        </w:rPr>
        <w:t xml:space="preserve"> — </w:t>
      </w:r>
      <w:r>
        <w:rPr>
          <w:rFonts w:ascii="Aptos" w:hAnsi="Aptos"/>
          <w:b/>
          <w:color w:val="1F2937"/>
          <w:sz w:val="21"/>
        </w:rPr>
        <w:t>Construir → Probar → Observar → Documentar la evidencia → Aumentar la madurez</w:t>
      </w:r>
      <w:r>
        <w:rPr>
          <w:rFonts w:ascii="Aptos" w:hAnsi="Aptos"/>
          <w:color w:val="1F2937"/>
          <w:sz w:val="21"/>
        </w:rPr>
        <w:t xml:space="preserve">. El proyecto </w:t>
      </w:r>
      <w:r>
        <w:rPr>
          <w:rFonts w:ascii="Aptos" w:hAnsi="Aptos"/>
          <w:b/>
          <w:color w:val="1F2937"/>
          <w:sz w:val="21"/>
        </w:rPr>
        <w:t>distingue deliberadamente</w:t>
      </w:r>
      <w:r>
        <w:rPr>
          <w:rFonts w:ascii="Aptos" w:hAnsi="Aptos"/>
          <w:color w:val="1F2937"/>
          <w:sz w:val="21"/>
        </w:rPr>
        <w:t xml:space="preserve"> implementación, validación, piloto y operación; código existente </w:t>
      </w:r>
      <w:r>
        <w:rPr>
          <w:rFonts w:ascii="Aptos" w:hAnsi="Aptos"/>
          <w:b/>
          <w:color w:val="1F2937"/>
          <w:sz w:val="21"/>
        </w:rPr>
        <w:t>no equivale</w:t>
      </w:r>
      <w:r>
        <w:rPr>
          <w:rFonts w:ascii="Aptos" w:hAnsi="Aptos"/>
          <w:color w:val="1F2937"/>
          <w:sz w:val="21"/>
        </w:rPr>
        <w:t xml:space="preserve"> a tecnología validada. Esta separación evita sobredeclarar la madurez y es uno de los principios de gobierno del proyecto (enlaza con Gates, SEV, COMP y CI).</w:t>
      </w:r>
    </w:p>
    <w:p w14:paraId="64D0AEAC">
      <w:pPr>
        <w:pStyle w:val="3"/>
      </w:pPr>
      <w:r>
        <w:rPr>
          <w:rFonts w:ascii="Aptos" w:hAnsi="Aptos"/>
          <w:b/>
          <w:color w:val="1F2937"/>
          <w:sz w:val="21"/>
        </w:rPr>
        <w:t>Modelo de madurez:</w:t>
      </w:r>
      <w:r>
        <w:rPr>
          <w:rFonts w:ascii="Aptos" w:hAnsi="Aptos"/>
          <w:color w:val="1F2937"/>
          <w:sz w:val="21"/>
        </w:rPr>
        <w:t xml:space="preserve"> Requisito → Capacidad → Implementación → Prueba → Evidencia → Validación → Piloto → Operación.</w:t>
      </w:r>
    </w:p>
    <w:p w14:paraId="52F1D334">
      <w:pPr>
        <w:pStyle w:val="3"/>
      </w:pPr>
      <w:r>
        <w:rPr>
          <w:rFonts w:ascii="Aptos" w:hAnsi="Aptos"/>
          <w:b/>
          <w:color w:val="1F2937"/>
          <w:sz w:val="21"/>
        </w:rPr>
        <w:t>GitHub como infraestructura de ingeniería y evidencia (no un anexo).</w:t>
      </w:r>
      <w:r>
        <w:rPr>
          <w:rFonts w:ascii="Aptos" w:hAnsi="Aptos"/>
          <w:color w:val="1F2937"/>
          <w:sz w:val="21"/>
        </w:rPr>
        <w:t xml:space="preserve"> </w:t>
      </w:r>
      <w:r>
        <w:rPr>
          <w:rFonts w:ascii="Aptos" w:hAnsi="Aptos"/>
          <w:i/>
          <w:color w:val="1F2937"/>
          <w:sz w:val="21"/>
        </w:rPr>
        <w:t>Issues</w:t>
      </w:r>
      <w:r>
        <w:rPr>
          <w:rFonts w:ascii="Aptos" w:hAnsi="Aptos"/>
          <w:color w:val="1F2937"/>
          <w:sz w:val="21"/>
        </w:rPr>
        <w:t xml:space="preserve">, </w:t>
      </w:r>
      <w:r>
        <w:rPr>
          <w:rFonts w:ascii="Aptos" w:hAnsi="Aptos"/>
          <w:i/>
          <w:color w:val="1F2937"/>
          <w:sz w:val="21"/>
        </w:rPr>
        <w:t>Pull Requests</w:t>
      </w:r>
      <w:r>
        <w:rPr>
          <w:rFonts w:ascii="Aptos" w:hAnsi="Aptos"/>
          <w:color w:val="1F2937"/>
          <w:sz w:val="21"/>
        </w:rPr>
        <w:t xml:space="preserve">, </w:t>
      </w:r>
      <w:r>
        <w:rPr>
          <w:rFonts w:ascii="Aptos" w:hAnsi="Aptos"/>
          <w:i/>
          <w:color w:val="1F2937"/>
          <w:sz w:val="21"/>
        </w:rPr>
        <w:t>commits</w:t>
      </w:r>
      <w:r>
        <w:rPr>
          <w:rFonts w:ascii="Aptos" w:hAnsi="Aptos"/>
          <w:color w:val="1F2937"/>
          <w:sz w:val="21"/>
        </w:rPr>
        <w:t xml:space="preserve">, pruebas, CI/CD, documentación, </w:t>
      </w:r>
      <w:r>
        <w:rPr>
          <w:rFonts w:ascii="Aptos" w:hAnsi="Aptos"/>
          <w:i/>
          <w:color w:val="1F2937"/>
          <w:sz w:val="21"/>
        </w:rPr>
        <w:t>releases</w:t>
      </w:r>
      <w:r>
        <w:rPr>
          <w:rFonts w:ascii="Aptos" w:hAnsi="Aptos"/>
          <w:color w:val="1F2937"/>
          <w:sz w:val="21"/>
        </w:rPr>
        <w:t xml:space="preserve"> y evidencias conforman un historial reproducible de evolución tecnológica. El snapshot muestra actividad mensual sostenida en el núcleo (</w:t>
      </w:r>
      <w:r>
        <w:rPr>
          <w:rStyle w:val="35"/>
          <w:rFonts w:ascii="Aptos" w:hAnsi="Aptos"/>
          <w:color w:val="1F2937"/>
          <w:sz w:val="21"/>
        </w:rPr>
        <w:t>Castuo-system</w:t>
      </w:r>
      <w:r>
        <w:rPr>
          <w:rFonts w:ascii="Aptos" w:hAnsi="Aptos"/>
          <w:color w:val="1F2937"/>
          <w:sz w:val="21"/>
        </w:rPr>
        <w:t>): ~118 commits en junio, ~108 en julio y ~36 en agosto de 2026, además de trabajo en repositorios de evolución, edge, testing y offline.</w:t>
      </w:r>
    </w:p>
    <w:p w14:paraId="7161CA0B">
      <w:pPr>
        <w:pStyle w:val="3"/>
      </w:pPr>
      <w:r>
        <w:rPr>
          <w:rFonts w:ascii="Aptos" w:hAnsi="Aptos"/>
          <w:b/>
          <w:color w:val="1F2937"/>
          <w:sz w:val="21"/>
        </w:rPr>
        <w:t>Ecosistema de repositorios (snapshot 14/08/2026 — clasificación funcional, no inventario eterno):</w:t>
      </w:r>
    </w:p>
    <w:tbl>
      <w:tblPr>
        <w:tblStyle w:val="28"/>
        <w:tblW w:w="5000" w:type="pct"/>
        <w:jc w:val="center"/>
        <w:tblInd w:w="0" w:type="dxa"/>
        <w:tblLayout w:type="fixed"/>
        <w:tblCellMar>
          <w:top w:w="0" w:type="dxa"/>
          <w:left w:w="108" w:type="dxa"/>
          <w:bottom w:w="0" w:type="dxa"/>
          <w:right w:w="108" w:type="dxa"/>
        </w:tblCellMar>
      </w:tblPr>
      <w:tblGrid>
        <w:gridCol w:w="2952"/>
        <w:gridCol w:w="2952"/>
        <w:gridCol w:w="2952"/>
      </w:tblGrid>
      <w:tr w14:paraId="4ABFF508">
        <w:tblPrEx>
          <w:tblCellMar>
            <w:top w:w="0" w:type="dxa"/>
            <w:left w:w="108" w:type="dxa"/>
            <w:bottom w:w="0" w:type="dxa"/>
            <w:right w:w="108" w:type="dxa"/>
          </w:tblCellMar>
        </w:tblPrEx>
        <w:tc>
          <w:tcPr>
            <w:tcW w:w="3120" w:type="dxa"/>
            <w:tcBorders>
              <w:bottom w:val="single" w:color="auto" w:sz="0" w:space="0"/>
            </w:tcBorders>
            <w:vAlign w:val="bottom"/>
          </w:tcPr>
          <w:p w14:paraId="3D2BACA4">
            <w:pPr>
              <w:pStyle w:val="24"/>
              <w:spacing w:after="0"/>
              <w:jc w:val="left"/>
            </w:pPr>
            <w:r>
              <w:rPr>
                <w:rFonts w:ascii="Aptos" w:hAnsi="Aptos"/>
                <w:color w:val="1F2937"/>
                <w:sz w:val="18"/>
              </w:rPr>
              <w:t>Repositorio</w:t>
            </w:r>
          </w:p>
        </w:tc>
        <w:tc>
          <w:tcPr>
            <w:tcW w:w="3120" w:type="dxa"/>
            <w:tcBorders>
              <w:bottom w:val="single" w:color="auto" w:sz="0" w:space="0"/>
            </w:tcBorders>
            <w:vAlign w:val="bottom"/>
          </w:tcPr>
          <w:p w14:paraId="29D38332">
            <w:pPr>
              <w:pStyle w:val="24"/>
              <w:spacing w:after="0"/>
              <w:jc w:val="left"/>
            </w:pPr>
            <w:r>
              <w:rPr>
                <w:rFonts w:ascii="Aptos" w:hAnsi="Aptos"/>
                <w:color w:val="1F2937"/>
                <w:sz w:val="18"/>
              </w:rPr>
              <w:t>Visibilidad</w:t>
            </w:r>
          </w:p>
        </w:tc>
        <w:tc>
          <w:tcPr>
            <w:tcW w:w="3120" w:type="dxa"/>
            <w:tcBorders>
              <w:bottom w:val="single" w:color="auto" w:sz="0" w:space="0"/>
            </w:tcBorders>
            <w:vAlign w:val="bottom"/>
          </w:tcPr>
          <w:p w14:paraId="2854D1C5">
            <w:pPr>
              <w:pStyle w:val="24"/>
              <w:spacing w:after="0"/>
              <w:jc w:val="left"/>
            </w:pPr>
            <w:r>
              <w:rPr>
                <w:rFonts w:ascii="Aptos" w:hAnsi="Aptos"/>
                <w:color w:val="1F2937"/>
                <w:sz w:val="18"/>
              </w:rPr>
              <w:t>Función</w:t>
            </w:r>
          </w:p>
        </w:tc>
      </w:tr>
      <w:tr w14:paraId="40E4BB29">
        <w:tblPrEx>
          <w:tblCellMar>
            <w:top w:w="0" w:type="dxa"/>
            <w:left w:w="108" w:type="dxa"/>
            <w:bottom w:w="0" w:type="dxa"/>
            <w:right w:w="108" w:type="dxa"/>
          </w:tblCellMar>
        </w:tblPrEx>
        <w:tc>
          <w:p w14:paraId="65AF41C0">
            <w:pPr>
              <w:pStyle w:val="24"/>
              <w:spacing w:after="0"/>
              <w:jc w:val="left"/>
            </w:pPr>
            <w:r>
              <w:rPr>
                <w:rStyle w:val="35"/>
                <w:rFonts w:ascii="Aptos" w:hAnsi="Aptos"/>
                <w:color w:val="1F2937"/>
                <w:sz w:val="18"/>
              </w:rPr>
              <w:t>Castuo-system</w:t>
            </w:r>
          </w:p>
        </w:tc>
        <w:tc>
          <w:p w14:paraId="2F216863">
            <w:pPr>
              <w:pStyle w:val="24"/>
              <w:spacing w:after="0"/>
              <w:jc w:val="left"/>
            </w:pPr>
            <w:r>
              <w:rPr>
                <w:rFonts w:ascii="Aptos" w:hAnsi="Aptos"/>
                <w:color w:val="1F2937"/>
                <w:sz w:val="18"/>
              </w:rPr>
              <w:t>Privado / núcleo</w:t>
            </w:r>
          </w:p>
        </w:tc>
        <w:tc>
          <w:p w14:paraId="4AFB6497">
            <w:pPr>
              <w:pStyle w:val="24"/>
              <w:spacing w:after="0"/>
              <w:jc w:val="left"/>
            </w:pPr>
            <w:r>
              <w:rPr>
                <w:rFonts w:ascii="Aptos" w:hAnsi="Aptos"/>
                <w:color w:val="1F2937"/>
                <w:sz w:val="18"/>
              </w:rPr>
              <w:t>Plataforma principal: backend, capacidades, integraciones, evidencia, seguridad, evolución</w:t>
            </w:r>
          </w:p>
        </w:tc>
      </w:tr>
      <w:tr w14:paraId="15EB25B6">
        <w:tblPrEx>
          <w:tblCellMar>
            <w:top w:w="0" w:type="dxa"/>
            <w:left w:w="108" w:type="dxa"/>
            <w:bottom w:w="0" w:type="dxa"/>
            <w:right w:w="108" w:type="dxa"/>
          </w:tblCellMar>
        </w:tblPrEx>
        <w:tc>
          <w:p w14:paraId="73601226">
            <w:pPr>
              <w:pStyle w:val="24"/>
              <w:spacing w:after="0"/>
              <w:jc w:val="left"/>
            </w:pPr>
            <w:r>
              <w:rPr>
                <w:rStyle w:val="35"/>
                <w:rFonts w:ascii="Aptos" w:hAnsi="Aptos"/>
                <w:color w:val="1F2937"/>
                <w:sz w:val="18"/>
              </w:rPr>
              <w:t>castuo-evolution</w:t>
            </w:r>
          </w:p>
        </w:tc>
        <w:tc>
          <w:p w14:paraId="31960CD7">
            <w:pPr>
              <w:pStyle w:val="24"/>
              <w:spacing w:after="0"/>
              <w:jc w:val="left"/>
            </w:pPr>
            <w:r>
              <w:rPr>
                <w:rFonts w:ascii="Aptos" w:hAnsi="Aptos"/>
                <w:color w:val="1F2937"/>
                <w:sz w:val="18"/>
              </w:rPr>
              <w:t>Privado</w:t>
            </w:r>
          </w:p>
        </w:tc>
        <w:tc>
          <w:p w14:paraId="0404A5A2">
            <w:pPr>
              <w:pStyle w:val="24"/>
              <w:spacing w:after="0"/>
              <w:jc w:val="left"/>
            </w:pPr>
            <w:r>
              <w:rPr>
                <w:rFonts w:ascii="Aptos" w:hAnsi="Aptos"/>
                <w:color w:val="1F2937"/>
                <w:sz w:val="18"/>
              </w:rPr>
              <w:t xml:space="preserve">Arquitectura y </w:t>
            </w:r>
            <w:r>
              <w:rPr>
                <w:rFonts w:ascii="Aptos" w:hAnsi="Aptos"/>
                <w:i/>
                <w:color w:val="1F2937"/>
                <w:sz w:val="18"/>
              </w:rPr>
              <w:t>roadmap</w:t>
            </w:r>
            <w:r>
              <w:rPr>
                <w:rFonts w:ascii="Aptos" w:hAnsi="Aptos"/>
                <w:color w:val="1F2937"/>
                <w:sz w:val="18"/>
              </w:rPr>
              <w:t xml:space="preserve"> de evolución del ecosistema (NE-01→NE-06)</w:t>
            </w:r>
          </w:p>
        </w:tc>
      </w:tr>
      <w:tr w14:paraId="6F80C380">
        <w:tblPrEx>
          <w:tblCellMar>
            <w:top w:w="0" w:type="dxa"/>
            <w:left w:w="108" w:type="dxa"/>
            <w:bottom w:w="0" w:type="dxa"/>
            <w:right w:w="108" w:type="dxa"/>
          </w:tblCellMar>
        </w:tblPrEx>
        <w:tc>
          <w:p w14:paraId="5A6AF568">
            <w:pPr>
              <w:pStyle w:val="24"/>
              <w:spacing w:after="0"/>
              <w:jc w:val="left"/>
            </w:pPr>
            <w:r>
              <w:rPr>
                <w:rStyle w:val="35"/>
                <w:rFonts w:ascii="Aptos" w:hAnsi="Aptos"/>
                <w:color w:val="1F2937"/>
                <w:sz w:val="18"/>
              </w:rPr>
              <w:t>Traky12</w:t>
            </w:r>
          </w:p>
        </w:tc>
        <w:tc>
          <w:p w14:paraId="28AE44EE">
            <w:pPr>
              <w:pStyle w:val="24"/>
              <w:spacing w:after="0"/>
              <w:jc w:val="left"/>
            </w:pPr>
            <w:r>
              <w:rPr>
                <w:rFonts w:ascii="Aptos" w:hAnsi="Aptos"/>
                <w:color w:val="1F2937"/>
                <w:sz w:val="18"/>
              </w:rPr>
              <w:t>Público</w:t>
            </w:r>
          </w:p>
        </w:tc>
        <w:tc>
          <w:p w14:paraId="01B7D41C">
            <w:pPr>
              <w:pStyle w:val="24"/>
              <w:spacing w:after="0"/>
              <w:jc w:val="left"/>
            </w:pPr>
            <w:r>
              <w:rPr>
                <w:rFonts w:ascii="Aptos" w:hAnsi="Aptos"/>
                <w:color w:val="1F2937"/>
                <w:sz w:val="18"/>
              </w:rPr>
              <w:t>Perfil y documentación pública (metodología, stack, visión)</w:t>
            </w:r>
          </w:p>
        </w:tc>
      </w:tr>
      <w:tr w14:paraId="23647045">
        <w:tblPrEx>
          <w:tblCellMar>
            <w:top w:w="0" w:type="dxa"/>
            <w:left w:w="108" w:type="dxa"/>
            <w:bottom w:w="0" w:type="dxa"/>
            <w:right w:w="108" w:type="dxa"/>
          </w:tblCellMar>
        </w:tblPrEx>
        <w:tc>
          <w:p w14:paraId="71BE0E46">
            <w:pPr>
              <w:pStyle w:val="24"/>
              <w:spacing w:after="0"/>
              <w:jc w:val="left"/>
            </w:pPr>
            <w:r>
              <w:rPr>
                <w:rStyle w:val="35"/>
                <w:rFonts w:ascii="Aptos" w:hAnsi="Aptos"/>
                <w:color w:val="1F2937"/>
                <w:sz w:val="18"/>
              </w:rPr>
              <w:t>goldfish</w:t>
            </w:r>
          </w:p>
        </w:tc>
        <w:tc>
          <w:p w14:paraId="3F1B1B3F">
            <w:pPr>
              <w:pStyle w:val="24"/>
              <w:spacing w:after="0"/>
              <w:jc w:val="left"/>
            </w:pPr>
            <w:r>
              <w:rPr>
                <w:rFonts w:ascii="Aptos" w:hAnsi="Aptos"/>
                <w:color w:val="1F2937"/>
                <w:sz w:val="18"/>
              </w:rPr>
              <w:t>Privado</w:t>
            </w:r>
          </w:p>
        </w:tc>
        <w:tc>
          <w:p w14:paraId="52B0ADFB">
            <w:pPr>
              <w:pStyle w:val="24"/>
              <w:spacing w:after="0"/>
              <w:jc w:val="left"/>
            </w:pPr>
            <w:r>
              <w:rPr>
                <w:rFonts w:ascii="Aptos" w:hAnsi="Aptos"/>
                <w:color w:val="1F2937"/>
                <w:sz w:val="18"/>
              </w:rPr>
              <w:t>Ingeniería, validación, seguridad, despliegue y reproducibilidad</w:t>
            </w:r>
          </w:p>
        </w:tc>
      </w:tr>
      <w:tr w14:paraId="04FF5407">
        <w:tblPrEx>
          <w:tblCellMar>
            <w:top w:w="0" w:type="dxa"/>
            <w:left w:w="108" w:type="dxa"/>
            <w:bottom w:w="0" w:type="dxa"/>
            <w:right w:w="108" w:type="dxa"/>
          </w:tblCellMar>
        </w:tblPrEx>
        <w:tc>
          <w:p w14:paraId="31390A9A">
            <w:pPr>
              <w:pStyle w:val="24"/>
              <w:spacing w:after="0"/>
              <w:jc w:val="left"/>
            </w:pPr>
            <w:r>
              <w:rPr>
                <w:rStyle w:val="35"/>
                <w:rFonts w:ascii="Aptos" w:hAnsi="Aptos"/>
                <w:color w:val="1F2937"/>
                <w:sz w:val="18"/>
              </w:rPr>
              <w:t>Cast-o</w:t>
            </w:r>
          </w:p>
        </w:tc>
        <w:tc>
          <w:p w14:paraId="4D8F15D1">
            <w:pPr>
              <w:pStyle w:val="24"/>
              <w:spacing w:after="0"/>
              <w:jc w:val="left"/>
            </w:pPr>
            <w:r>
              <w:rPr>
                <w:rFonts w:ascii="Aptos" w:hAnsi="Aptos"/>
                <w:color w:val="1F2937"/>
                <w:sz w:val="18"/>
              </w:rPr>
              <w:t>Público</w:t>
            </w:r>
          </w:p>
        </w:tc>
        <w:tc>
          <w:p w14:paraId="7C590B0B">
            <w:pPr>
              <w:pStyle w:val="24"/>
              <w:spacing w:after="0"/>
              <w:jc w:val="left"/>
            </w:pPr>
            <w:r>
              <w:rPr>
                <w:rFonts w:ascii="Aptos" w:hAnsi="Aptos"/>
                <w:color w:val="1F2937"/>
                <w:sz w:val="18"/>
              </w:rPr>
              <w:t>Framework de testing, regresión y benchmarks (unit, integración, E2E)</w:t>
            </w:r>
          </w:p>
        </w:tc>
      </w:tr>
      <w:tr w14:paraId="53DE7866">
        <w:tblPrEx>
          <w:tblCellMar>
            <w:top w:w="0" w:type="dxa"/>
            <w:left w:w="108" w:type="dxa"/>
            <w:bottom w:w="0" w:type="dxa"/>
            <w:right w:w="108" w:type="dxa"/>
          </w:tblCellMar>
        </w:tblPrEx>
        <w:tc>
          <w:p w14:paraId="4E2E5D45">
            <w:pPr>
              <w:pStyle w:val="24"/>
              <w:spacing w:after="0"/>
              <w:jc w:val="left"/>
            </w:pPr>
            <w:r>
              <w:rPr>
                <w:rStyle w:val="35"/>
                <w:rFonts w:ascii="Aptos" w:hAnsi="Aptos"/>
                <w:color w:val="1F2937"/>
                <w:sz w:val="18"/>
              </w:rPr>
              <w:t>castuo-agro-edge</w:t>
            </w:r>
          </w:p>
        </w:tc>
        <w:tc>
          <w:p w14:paraId="33290758">
            <w:pPr>
              <w:pStyle w:val="24"/>
              <w:spacing w:after="0"/>
              <w:jc w:val="left"/>
            </w:pPr>
            <w:r>
              <w:rPr>
                <w:rFonts w:ascii="Aptos" w:hAnsi="Aptos"/>
                <w:color w:val="1F2937"/>
                <w:sz w:val="18"/>
              </w:rPr>
              <w:t>Público</w:t>
            </w:r>
          </w:p>
        </w:tc>
        <w:tc>
          <w:p w14:paraId="6819EA0C">
            <w:pPr>
              <w:pStyle w:val="24"/>
              <w:spacing w:after="0"/>
              <w:jc w:val="left"/>
            </w:pPr>
            <w:r>
              <w:rPr>
                <w:rFonts w:ascii="Aptos" w:hAnsi="Aptos"/>
                <w:color w:val="1F2937"/>
                <w:sz w:val="18"/>
              </w:rPr>
              <w:t>Edge/IoT rural offline-first (MQTT, gateway, ESP32, Raspberry Pi)</w:t>
            </w:r>
          </w:p>
        </w:tc>
      </w:tr>
      <w:tr w14:paraId="239B4292">
        <w:tblPrEx>
          <w:tblCellMar>
            <w:top w:w="0" w:type="dxa"/>
            <w:left w:w="108" w:type="dxa"/>
            <w:bottom w:w="0" w:type="dxa"/>
            <w:right w:w="108" w:type="dxa"/>
          </w:tblCellMar>
        </w:tblPrEx>
        <w:tc>
          <w:p w14:paraId="686AE2B8">
            <w:pPr>
              <w:pStyle w:val="24"/>
              <w:spacing w:after="0"/>
              <w:jc w:val="left"/>
            </w:pPr>
            <w:r>
              <w:rPr>
                <w:rStyle w:val="35"/>
                <w:rFonts w:ascii="Aptos" w:hAnsi="Aptos"/>
                <w:color w:val="1F2937"/>
                <w:sz w:val="18"/>
              </w:rPr>
              <w:t>castuo-offline-field-operations</w:t>
            </w:r>
          </w:p>
        </w:tc>
        <w:tc>
          <w:p w14:paraId="193CE189">
            <w:pPr>
              <w:pStyle w:val="24"/>
              <w:spacing w:after="0"/>
              <w:jc w:val="left"/>
            </w:pPr>
            <w:r>
              <w:rPr>
                <w:rFonts w:ascii="Aptos" w:hAnsi="Aptos"/>
                <w:color w:val="1F2937"/>
                <w:sz w:val="18"/>
              </w:rPr>
              <w:t>Público</w:t>
            </w:r>
          </w:p>
        </w:tc>
        <w:tc>
          <w:p w14:paraId="6731F14E">
            <w:pPr>
              <w:pStyle w:val="24"/>
              <w:spacing w:after="0"/>
              <w:jc w:val="left"/>
            </w:pPr>
            <w:r>
              <w:rPr>
                <w:rFonts w:ascii="Aptos" w:hAnsi="Aptos"/>
                <w:color w:val="1F2937"/>
                <w:sz w:val="18"/>
              </w:rPr>
              <w:t>Operación de campo resiliente (IA local, navegación/comunicaciones offline)</w:t>
            </w:r>
          </w:p>
        </w:tc>
      </w:tr>
      <w:tr w14:paraId="7366D159">
        <w:tblPrEx>
          <w:tblCellMar>
            <w:top w:w="0" w:type="dxa"/>
            <w:left w:w="108" w:type="dxa"/>
            <w:bottom w:w="0" w:type="dxa"/>
            <w:right w:w="108" w:type="dxa"/>
          </w:tblCellMar>
        </w:tblPrEx>
        <w:tc>
          <w:p w14:paraId="504847AA">
            <w:pPr>
              <w:pStyle w:val="24"/>
              <w:spacing w:after="0"/>
              <w:jc w:val="left"/>
            </w:pPr>
            <w:r>
              <w:rPr>
                <w:rStyle w:val="35"/>
                <w:rFonts w:ascii="Aptos" w:hAnsi="Aptos"/>
                <w:color w:val="1F2937"/>
                <w:sz w:val="18"/>
              </w:rPr>
              <w:t>ctaex-iot-pilot</w:t>
            </w:r>
          </w:p>
        </w:tc>
        <w:tc>
          <w:p w14:paraId="4B25A457">
            <w:pPr>
              <w:pStyle w:val="24"/>
              <w:spacing w:after="0"/>
              <w:jc w:val="left"/>
            </w:pPr>
            <w:r>
              <w:rPr>
                <w:rFonts w:ascii="Aptos" w:hAnsi="Aptos"/>
                <w:color w:val="1F2937"/>
                <w:sz w:val="18"/>
              </w:rPr>
              <w:t>Privado</w:t>
            </w:r>
          </w:p>
        </w:tc>
        <w:tc>
          <w:p w14:paraId="7493C406">
            <w:pPr>
              <w:pStyle w:val="24"/>
              <w:spacing w:after="0"/>
              <w:jc w:val="left"/>
            </w:pPr>
            <w:r>
              <w:rPr>
                <w:rFonts w:ascii="Aptos" w:hAnsi="Aptos"/>
                <w:color w:val="1F2937"/>
                <w:sz w:val="18"/>
              </w:rPr>
              <w:t>Experimentación y despliegue IoT agrícola (LoRaWAN, TTN, FastAPI)</w:t>
            </w:r>
          </w:p>
        </w:tc>
      </w:tr>
      <w:tr w14:paraId="1952B2F9">
        <w:tblPrEx>
          <w:tblCellMar>
            <w:top w:w="0" w:type="dxa"/>
            <w:left w:w="108" w:type="dxa"/>
            <w:bottom w:w="0" w:type="dxa"/>
            <w:right w:w="108" w:type="dxa"/>
          </w:tblCellMar>
        </w:tblPrEx>
        <w:tc>
          <w:p w14:paraId="1C65EE56">
            <w:pPr>
              <w:pStyle w:val="24"/>
              <w:spacing w:after="0"/>
              <w:jc w:val="left"/>
            </w:pPr>
            <w:r>
              <w:rPr>
                <w:rStyle w:val="35"/>
                <w:rFonts w:ascii="Aptos" w:hAnsi="Aptos"/>
                <w:color w:val="1F2937"/>
                <w:sz w:val="18"/>
              </w:rPr>
              <w:t>openclaw</w:t>
            </w:r>
            <w:r>
              <w:rPr>
                <w:rFonts w:ascii="Aptos" w:hAnsi="Aptos"/>
                <w:color w:val="1F2937"/>
                <w:sz w:val="18"/>
              </w:rPr>
              <w:t xml:space="preserve"> / </w:t>
            </w:r>
            <w:r>
              <w:rPr>
                <w:rStyle w:val="35"/>
                <w:rFonts w:ascii="Aptos" w:hAnsi="Aptos"/>
                <w:color w:val="1F2937"/>
                <w:sz w:val="18"/>
              </w:rPr>
              <w:t>n8n</w:t>
            </w:r>
          </w:p>
        </w:tc>
        <w:tc>
          <w:p w14:paraId="6523FA3E">
            <w:pPr>
              <w:pStyle w:val="24"/>
              <w:spacing w:after="0"/>
              <w:jc w:val="left"/>
            </w:pPr>
            <w:r>
              <w:rPr>
                <w:rFonts w:ascii="Aptos" w:hAnsi="Aptos"/>
                <w:color w:val="1F2937"/>
                <w:sz w:val="18"/>
              </w:rPr>
              <w:t>Público / fork</w:t>
            </w:r>
          </w:p>
        </w:tc>
        <w:tc>
          <w:p w14:paraId="1CCDF87E">
            <w:pPr>
              <w:pStyle w:val="24"/>
              <w:spacing w:after="0"/>
              <w:jc w:val="left"/>
            </w:pPr>
            <w:r>
              <w:rPr>
                <w:rFonts w:ascii="Aptos" w:hAnsi="Aptos"/>
                <w:color w:val="1F2937"/>
                <w:sz w:val="18"/>
              </w:rPr>
              <w:t>Infraestructura AI / automatización (forks e integración, no autoría upstream)</w:t>
            </w:r>
          </w:p>
        </w:tc>
      </w:tr>
      <w:tr w14:paraId="645FD7E4">
        <w:tblPrEx>
          <w:tblCellMar>
            <w:top w:w="0" w:type="dxa"/>
            <w:left w:w="108" w:type="dxa"/>
            <w:bottom w:w="0" w:type="dxa"/>
            <w:right w:w="108" w:type="dxa"/>
          </w:tblCellMar>
        </w:tblPrEx>
        <w:tc>
          <w:p w14:paraId="5AD36F9D">
            <w:pPr>
              <w:pStyle w:val="24"/>
              <w:spacing w:after="0"/>
              <w:jc w:val="left"/>
            </w:pPr>
            <w:r>
              <w:rPr>
                <w:rStyle w:val="35"/>
                <w:rFonts w:ascii="Aptos" w:hAnsi="Aptos"/>
                <w:color w:val="1F2937"/>
                <w:sz w:val="18"/>
              </w:rPr>
              <w:t>castuo-360-v5.3</w:t>
            </w:r>
          </w:p>
        </w:tc>
        <w:tc>
          <w:p w14:paraId="300FCA5B">
            <w:pPr>
              <w:pStyle w:val="24"/>
              <w:spacing w:after="0"/>
              <w:jc w:val="left"/>
            </w:pPr>
            <w:r>
              <w:rPr>
                <w:rFonts w:ascii="Aptos" w:hAnsi="Aptos"/>
                <w:color w:val="1F2937"/>
                <w:sz w:val="18"/>
              </w:rPr>
              <w:t>Privado</w:t>
            </w:r>
          </w:p>
        </w:tc>
        <w:tc>
          <w:p w14:paraId="5708920F">
            <w:pPr>
              <w:pStyle w:val="24"/>
              <w:spacing w:after="0"/>
              <w:jc w:val="left"/>
            </w:pPr>
            <w:r>
              <w:rPr>
                <w:rFonts w:ascii="Aptos" w:hAnsi="Aptos"/>
                <w:color w:val="1F2937"/>
                <w:sz w:val="18"/>
              </w:rPr>
              <w:t>Línea de evolución web/empresarial</w:t>
            </w:r>
          </w:p>
        </w:tc>
      </w:tr>
      <w:tr w14:paraId="2907FD90">
        <w:tblPrEx>
          <w:tblCellMar>
            <w:top w:w="0" w:type="dxa"/>
            <w:left w:w="108" w:type="dxa"/>
            <w:bottom w:w="0" w:type="dxa"/>
            <w:right w:w="108" w:type="dxa"/>
          </w:tblCellMar>
        </w:tblPrEx>
        <w:tc>
          <w:p w14:paraId="70679C9D">
            <w:pPr>
              <w:pStyle w:val="24"/>
              <w:spacing w:after="0"/>
              <w:jc w:val="left"/>
            </w:pPr>
            <w:r>
              <w:rPr>
                <w:rStyle w:val="35"/>
                <w:rFonts w:ascii="Aptos" w:hAnsi="Aptos"/>
                <w:color w:val="1F2937"/>
                <w:sz w:val="18"/>
              </w:rPr>
              <w:t>-Prueba-final</w:t>
            </w:r>
          </w:p>
        </w:tc>
        <w:tc>
          <w:p w14:paraId="76020114">
            <w:pPr>
              <w:pStyle w:val="24"/>
              <w:spacing w:after="0"/>
              <w:jc w:val="left"/>
            </w:pPr>
            <w:r>
              <w:rPr>
                <w:rFonts w:ascii="Aptos" w:hAnsi="Aptos"/>
                <w:color w:val="1F2937"/>
                <w:sz w:val="18"/>
              </w:rPr>
              <w:t>Privado</w:t>
            </w:r>
          </w:p>
        </w:tc>
        <w:tc>
          <w:p w14:paraId="7BF9469D">
            <w:pPr>
              <w:pStyle w:val="24"/>
              <w:spacing w:after="0"/>
              <w:jc w:val="left"/>
            </w:pPr>
            <w:r>
              <w:rPr>
                <w:rFonts w:ascii="Aptos" w:hAnsi="Aptos"/>
                <w:color w:val="1F2937"/>
                <w:sz w:val="18"/>
              </w:rPr>
              <w:t xml:space="preserve">Entorno experimental / de validación (el nombre </w:t>
            </w:r>
            <w:r>
              <w:rPr>
                <w:rFonts w:ascii="Aptos" w:hAnsi="Aptos"/>
                <w:b/>
                <w:color w:val="1F2937"/>
                <w:sz w:val="18"/>
              </w:rPr>
              <w:t>no</w:t>
            </w:r>
            <w:r>
              <w:rPr>
                <w:rFonts w:ascii="Aptos" w:hAnsi="Aptos"/>
                <w:color w:val="1F2937"/>
                <w:sz w:val="18"/>
              </w:rPr>
              <w:t xml:space="preserve"> implica «TRL9 validado»)</w:t>
            </w:r>
          </w:p>
        </w:tc>
      </w:tr>
      <w:tr w14:paraId="693CCAB4">
        <w:tblPrEx>
          <w:tblCellMar>
            <w:top w:w="0" w:type="dxa"/>
            <w:left w:w="108" w:type="dxa"/>
            <w:bottom w:w="0" w:type="dxa"/>
            <w:right w:w="108" w:type="dxa"/>
          </w:tblCellMar>
        </w:tblPrEx>
        <w:tc>
          <w:p w14:paraId="1A449A9B">
            <w:pPr>
              <w:pStyle w:val="24"/>
              <w:spacing w:after="0"/>
              <w:jc w:val="left"/>
            </w:pPr>
            <w:r>
              <w:rPr>
                <w:rStyle w:val="35"/>
                <w:rFonts w:ascii="Aptos" w:hAnsi="Aptos"/>
                <w:color w:val="1F2937"/>
                <w:sz w:val="18"/>
              </w:rPr>
              <w:t>agrovision-360</w:t>
            </w:r>
            <w:r>
              <w:rPr>
                <w:rFonts w:ascii="Aptos" w:hAnsi="Aptos"/>
                <w:color w:val="1F2937"/>
                <w:sz w:val="18"/>
              </w:rPr>
              <w:t xml:space="preserve"> · </w:t>
            </w:r>
            <w:r>
              <w:rPr>
                <w:rStyle w:val="35"/>
                <w:rFonts w:ascii="Aptos" w:hAnsi="Aptos"/>
                <w:color w:val="1F2937"/>
                <w:sz w:val="18"/>
              </w:rPr>
              <w:t>desktop-tutorial</w:t>
            </w:r>
          </w:p>
        </w:tc>
        <w:tc>
          <w:p w14:paraId="0715F2C4">
            <w:pPr>
              <w:pStyle w:val="24"/>
              <w:spacing w:after="0"/>
              <w:jc w:val="left"/>
            </w:pPr>
            <w:r>
              <w:rPr>
                <w:rFonts w:ascii="Aptos" w:hAnsi="Aptos"/>
                <w:color w:val="1F2937"/>
                <w:sz w:val="18"/>
              </w:rPr>
              <w:t>Privado</w:t>
            </w:r>
          </w:p>
        </w:tc>
        <w:tc>
          <w:p w14:paraId="1C38926D">
            <w:pPr>
              <w:pStyle w:val="24"/>
              <w:spacing w:after="0"/>
              <w:jc w:val="left"/>
            </w:pPr>
            <w:r>
              <w:rPr>
                <w:rFonts w:ascii="Aptos" w:hAnsi="Aptos"/>
                <w:color w:val="1F2937"/>
                <w:sz w:val="18"/>
              </w:rPr>
              <w:t>Experimentación agro · auxiliar</w:t>
            </w:r>
          </w:p>
        </w:tc>
      </w:tr>
    </w:tbl>
    <w:p w14:paraId="4FF62A62">
      <w:pPr>
        <w:pStyle w:val="3"/>
      </w:pPr>
      <w:r>
        <w:rPr>
          <w:rFonts w:ascii="Aptos" w:hAnsi="Aptos"/>
          <w:b/>
          <w:color w:val="1F2937"/>
          <w:sz w:val="21"/>
        </w:rPr>
        <w:t>Muestra de evolución técnica documentada (Pull Requests representativas del snapshot):</w:t>
      </w:r>
      <w:r>
        <w:rPr>
          <w:rFonts w:ascii="Aptos" w:hAnsi="Aptos"/>
          <w:color w:val="1F2937"/>
          <w:sz w:val="21"/>
        </w:rPr>
        <w:t xml:space="preserve"> </w:t>
      </w:r>
      <w:r>
        <w:rPr>
          <w:rFonts w:ascii="Aptos" w:hAnsi="Aptos"/>
          <w:i/>
          <w:color w:val="1F2937"/>
          <w:sz w:val="21"/>
        </w:rPr>
        <w:t>Evidence Governance Specification v1.0</w:t>
      </w:r>
      <w:r>
        <w:rPr>
          <w:rFonts w:ascii="Aptos" w:hAnsi="Aptos"/>
          <w:color w:val="1F2937"/>
          <w:sz w:val="21"/>
        </w:rPr>
        <w:t xml:space="preserve">; </w:t>
      </w:r>
      <w:r>
        <w:rPr>
          <w:rFonts w:ascii="Aptos" w:hAnsi="Aptos"/>
          <w:i/>
          <w:color w:val="1F2937"/>
          <w:sz w:val="21"/>
        </w:rPr>
        <w:t>External evidence roots</w:t>
      </w:r>
      <w:r>
        <w:rPr>
          <w:rFonts w:ascii="Aptos" w:hAnsi="Aptos"/>
          <w:color w:val="1F2937"/>
          <w:sz w:val="21"/>
        </w:rPr>
        <w:t xml:space="preserve"> (verificación estricta de evidencia externa); </w:t>
      </w:r>
      <w:r>
        <w:rPr>
          <w:rFonts w:ascii="Aptos" w:hAnsi="Aptos"/>
          <w:i/>
          <w:color w:val="1F2937"/>
          <w:sz w:val="21"/>
        </w:rPr>
        <w:t>Capability &amp; evidence governance framework</w:t>
      </w:r>
      <w:r>
        <w:rPr>
          <w:rFonts w:ascii="Aptos" w:hAnsi="Aptos"/>
          <w:color w:val="1F2937"/>
          <w:sz w:val="21"/>
        </w:rPr>
        <w:t xml:space="preserve"> (single source of truth + CI gate); </w:t>
      </w:r>
      <w:r>
        <w:rPr>
          <w:rFonts w:ascii="Aptos" w:hAnsi="Aptos"/>
          <w:i/>
          <w:color w:val="1F2937"/>
          <w:sz w:val="21"/>
        </w:rPr>
        <w:t>COMP metamodel</w:t>
      </w:r>
      <w:r>
        <w:rPr>
          <w:rFonts w:ascii="Aptos" w:hAnsi="Aptos"/>
          <w:color w:val="1F2937"/>
          <w:sz w:val="21"/>
        </w:rPr>
        <w:t xml:space="preserve"> (metamodelo formal); </w:t>
      </w:r>
      <w:r>
        <w:rPr>
          <w:rFonts w:ascii="Aptos" w:hAnsi="Aptos"/>
          <w:i/>
          <w:color w:val="1F2937"/>
          <w:sz w:val="21"/>
        </w:rPr>
        <w:t>COMP → capability registry</w:t>
      </w:r>
      <w:r>
        <w:rPr>
          <w:rFonts w:ascii="Aptos" w:hAnsi="Aptos"/>
          <w:color w:val="1F2937"/>
          <w:sz w:val="21"/>
        </w:rPr>
        <w:t xml:space="preserve"> (registro ejecutable); </w:t>
      </w:r>
      <w:r>
        <w:rPr>
          <w:rFonts w:ascii="Aptos" w:hAnsi="Aptos"/>
          <w:i/>
          <w:color w:val="1F2937"/>
          <w:sz w:val="21"/>
        </w:rPr>
        <w:t>CI merge gate</w:t>
      </w:r>
      <w:r>
        <w:rPr>
          <w:rFonts w:ascii="Aptos" w:hAnsi="Aptos"/>
          <w:color w:val="1F2937"/>
          <w:sz w:val="21"/>
        </w:rPr>
        <w:t xml:space="preserve">; separación de métricas técnicas y aceptación de gobierno; </w:t>
      </w:r>
      <w:r>
        <w:rPr>
          <w:rFonts w:ascii="Aptos" w:hAnsi="Aptos"/>
          <w:i/>
          <w:color w:val="1F2937"/>
          <w:sz w:val="21"/>
        </w:rPr>
        <w:t>Human promotion of verified evidence roots</w:t>
      </w:r>
      <w:r>
        <w:rPr>
          <w:rFonts w:ascii="Aptos" w:hAnsi="Aptos"/>
          <w:color w:val="1F2937"/>
          <w:sz w:val="21"/>
        </w:rPr>
        <w:t xml:space="preserve">. El framework </w:t>
      </w:r>
      <w:r>
        <w:rPr>
          <w:rFonts w:ascii="Aptos" w:hAnsi="Aptos"/>
          <w:b/>
          <w:color w:val="1F2937"/>
          <w:sz w:val="21"/>
        </w:rPr>
        <w:t>COMP</w:t>
      </w:r>
      <w:r>
        <w:rPr>
          <w:rFonts w:ascii="Aptos" w:hAnsi="Aptos"/>
          <w:color w:val="1F2937"/>
          <w:sz w:val="21"/>
        </w:rPr>
        <w:t xml:space="preserve"> y el </w:t>
      </w:r>
      <w:r>
        <w:rPr>
          <w:rFonts w:ascii="Aptos" w:hAnsi="Aptos"/>
          <w:b/>
          <w:color w:val="1F2937"/>
          <w:sz w:val="21"/>
        </w:rPr>
        <w:t>Evidence Governance</w:t>
      </w:r>
      <w:r>
        <w:rPr>
          <w:rFonts w:ascii="Aptos" w:hAnsi="Aptos"/>
          <w:color w:val="1F2937"/>
          <w:sz w:val="21"/>
        </w:rPr>
        <w:t xml:space="preserve"> se integran con el </w:t>
      </w:r>
      <w:r>
        <w:rPr>
          <w:rFonts w:ascii="Aptos" w:hAnsi="Aptos"/>
          <w:b/>
          <w:color w:val="1F2937"/>
          <w:sz w:val="21"/>
        </w:rPr>
        <w:t>SEV</w:t>
      </w:r>
      <w:r>
        <w:rPr>
          <w:rFonts w:ascii="Aptos" w:hAnsi="Aptos"/>
          <w:color w:val="1F2937"/>
          <w:sz w:val="21"/>
        </w:rPr>
        <w:t xml:space="preserve"> como un </w:t>
      </w:r>
      <w:r>
        <w:rPr>
          <w:rFonts w:ascii="Aptos" w:hAnsi="Aptos"/>
          <w:b/>
          <w:color w:val="1F2937"/>
          <w:sz w:val="21"/>
        </w:rPr>
        <w:t>único sistema de gobernanza de evidencia evolucionado</w:t>
      </w:r>
      <w:r>
        <w:rPr>
          <w:rFonts w:ascii="Aptos" w:hAnsi="Aptos"/>
          <w:color w:val="1F2937"/>
          <w:sz w:val="21"/>
        </w:rPr>
        <w:t>, no dos tecnologías distintas.</w:t>
      </w:r>
    </w:p>
    <w:p w14:paraId="0EEA106F">
      <w:pPr>
        <w:pStyle w:val="3"/>
      </w:pPr>
      <w:r>
        <w:t>Evidencia de capacidad de ejecución (estados según evidencia; sin convertir estados parciales en validación local/candidata; producción: NO RECLAMADA):</w:t>
      </w:r>
    </w:p>
    <w:tbl>
      <w:tblPr>
        <w:tblStyle w:val="28"/>
        <w:tblW w:w="9360" w:type="dxa"/>
        <w:jc w:val="center"/>
        <w:tblInd w:w="0" w:type="dxa"/>
        <w:tblLayout w:type="fixed"/>
        <w:tblCellMar>
          <w:top w:w="0" w:type="dxa"/>
          <w:left w:w="108" w:type="dxa"/>
          <w:bottom w:w="0" w:type="dxa"/>
          <w:right w:w="108" w:type="dxa"/>
        </w:tblCellMar>
      </w:tblPr>
      <w:tblGrid>
        <w:gridCol w:w="2340"/>
        <w:gridCol w:w="2340"/>
        <w:gridCol w:w="2340"/>
        <w:gridCol w:w="2340"/>
      </w:tblGrid>
      <w:tr w14:paraId="060C5DF1">
        <w:tblPrEx>
          <w:tblCellMar>
            <w:top w:w="0" w:type="dxa"/>
            <w:left w:w="108" w:type="dxa"/>
            <w:bottom w:w="0" w:type="dxa"/>
            <w:right w:w="108" w:type="dxa"/>
          </w:tblCellMar>
        </w:tblPrEx>
        <w:tc>
          <w:tcPr>
            <w:tcW w:w="2340" w:type="dxa"/>
            <w:tcBorders>
              <w:bottom w:val="single" w:color="auto" w:sz="0" w:space="0"/>
            </w:tcBorders>
            <w:vAlign w:val="bottom"/>
          </w:tcPr>
          <w:p w14:paraId="375977AD">
            <w:pPr>
              <w:pStyle w:val="24"/>
              <w:spacing w:after="0"/>
              <w:jc w:val="left"/>
            </w:pPr>
            <w:r>
              <w:rPr>
                <w:rFonts w:ascii="Aptos" w:hAnsi="Aptos"/>
                <w:color w:val="1F2937"/>
                <w:sz w:val="18"/>
              </w:rPr>
              <w:t>Capacidad</w:t>
            </w:r>
          </w:p>
        </w:tc>
        <w:tc>
          <w:tcPr>
            <w:tcW w:w="2340" w:type="dxa"/>
            <w:tcBorders>
              <w:bottom w:val="single" w:color="auto" w:sz="0" w:space="0"/>
            </w:tcBorders>
            <w:vAlign w:val="bottom"/>
          </w:tcPr>
          <w:p w14:paraId="1466832D">
            <w:pPr>
              <w:pStyle w:val="24"/>
              <w:spacing w:after="0"/>
              <w:jc w:val="left"/>
            </w:pPr>
            <w:r>
              <w:rPr>
                <w:rFonts w:ascii="Aptos" w:hAnsi="Aptos"/>
                <w:color w:val="1F2937"/>
                <w:sz w:val="18"/>
              </w:rPr>
              <w:t>Evidencia</w:t>
            </w:r>
          </w:p>
        </w:tc>
        <w:tc>
          <w:tcPr>
            <w:tcW w:w="2340" w:type="dxa"/>
            <w:tcBorders>
              <w:bottom w:val="single" w:color="auto" w:sz="0" w:space="0"/>
            </w:tcBorders>
            <w:vAlign w:val="bottom"/>
          </w:tcPr>
          <w:p w14:paraId="57FAC342">
            <w:pPr>
              <w:pStyle w:val="24"/>
              <w:spacing w:after="0"/>
              <w:jc w:val="left"/>
            </w:pPr>
            <w:r>
              <w:rPr>
                <w:rFonts w:ascii="Aptos" w:hAnsi="Aptos"/>
                <w:color w:val="1F2937"/>
                <w:sz w:val="18"/>
              </w:rPr>
              <w:t>Estado</w:t>
            </w:r>
          </w:p>
        </w:tc>
        <w:tc>
          <w:tcPr>
            <w:tcW w:w="2340" w:type="dxa"/>
            <w:tcBorders>
              <w:bottom w:val="single" w:color="auto" w:sz="0" w:space="0"/>
            </w:tcBorders>
            <w:vAlign w:val="bottom"/>
          </w:tcPr>
          <w:p w14:paraId="48698DAA">
            <w:pPr>
              <w:pStyle w:val="24"/>
              <w:spacing w:after="0"/>
              <w:jc w:val="left"/>
            </w:pPr>
            <w:r>
              <w:rPr>
                <w:rFonts w:ascii="Aptos" w:hAnsi="Aptos"/>
                <w:color w:val="1F2937"/>
                <w:sz w:val="18"/>
              </w:rPr>
              <w:t>Impacto</w:t>
            </w:r>
          </w:p>
        </w:tc>
      </w:tr>
      <w:tr w14:paraId="4C2AB05F">
        <w:tblPrEx>
          <w:tblCellMar>
            <w:top w:w="0" w:type="dxa"/>
            <w:left w:w="108" w:type="dxa"/>
            <w:bottom w:w="0" w:type="dxa"/>
            <w:right w:w="108" w:type="dxa"/>
          </w:tblCellMar>
        </w:tblPrEx>
        <w:tc>
          <w:p w14:paraId="36A7780D">
            <w:pPr>
              <w:pStyle w:val="24"/>
              <w:spacing w:after="0"/>
              <w:jc w:val="left"/>
            </w:pPr>
            <w:r>
              <w:rPr>
                <w:rFonts w:ascii="Aptos" w:hAnsi="Aptos"/>
                <w:color w:val="1F2937"/>
                <w:sz w:val="18"/>
              </w:rPr>
              <w:t>Software</w:t>
            </w:r>
          </w:p>
        </w:tc>
        <w:tc>
          <w:p w14:paraId="477CBB82">
            <w:pPr>
              <w:pStyle w:val="24"/>
              <w:spacing w:after="0"/>
              <w:jc w:val="left"/>
            </w:pPr>
            <w:r>
              <w:rPr>
                <w:rStyle w:val="35"/>
                <w:rFonts w:ascii="Aptos" w:hAnsi="Aptos"/>
                <w:color w:val="1F2937"/>
                <w:sz w:val="18"/>
              </w:rPr>
              <w:t>Castuo-system</w:t>
            </w:r>
          </w:p>
        </w:tc>
        <w:tc>
          <w:p w14:paraId="58348FBF">
            <w:pPr>
              <w:pStyle w:val="24"/>
              <w:spacing w:after="0"/>
              <w:jc w:val="left"/>
            </w:pPr>
            <w:r>
              <w:rPr>
                <w:rFonts w:ascii="Aptos" w:hAnsi="Aptos"/>
                <w:color w:val="1F2937"/>
                <w:sz w:val="18"/>
              </w:rPr>
              <w:t>desarrollado</w:t>
            </w:r>
          </w:p>
        </w:tc>
        <w:tc>
          <w:p w14:paraId="6B1F611C">
            <w:pPr>
              <w:pStyle w:val="24"/>
              <w:spacing w:after="0"/>
              <w:jc w:val="left"/>
            </w:pPr>
            <w:r>
              <w:rPr>
                <w:rFonts w:ascii="Aptos" w:hAnsi="Aptos"/>
                <w:color w:val="1F2937"/>
                <w:sz w:val="18"/>
              </w:rPr>
              <w:t>reduce riesgo</w:t>
            </w:r>
          </w:p>
        </w:tc>
      </w:tr>
      <w:tr w14:paraId="5345E9DA">
        <w:tblPrEx>
          <w:tblCellMar>
            <w:top w:w="0" w:type="dxa"/>
            <w:left w:w="108" w:type="dxa"/>
            <w:bottom w:w="0" w:type="dxa"/>
            <w:right w:w="108" w:type="dxa"/>
          </w:tblCellMar>
        </w:tblPrEx>
        <w:tc>
          <w:p w14:paraId="79C0D160">
            <w:pPr>
              <w:pStyle w:val="24"/>
              <w:spacing w:after="0"/>
              <w:jc w:val="left"/>
            </w:pPr>
            <w:r>
              <w:rPr>
                <w:rFonts w:ascii="Aptos" w:hAnsi="Aptos"/>
                <w:color w:val="1F2937"/>
                <w:sz w:val="18"/>
              </w:rPr>
              <w:t>Edge/IoT</w:t>
            </w:r>
          </w:p>
        </w:tc>
        <w:tc>
          <w:p w14:paraId="543EE65A">
            <w:pPr>
              <w:pStyle w:val="24"/>
              <w:spacing w:after="0"/>
              <w:jc w:val="left"/>
            </w:pPr>
            <w:r>
              <w:rPr>
                <w:rStyle w:val="35"/>
                <w:rFonts w:ascii="Aptos" w:hAnsi="Aptos"/>
                <w:color w:val="1F2937"/>
                <w:sz w:val="18"/>
              </w:rPr>
              <w:t>castuo-agro-edge</w:t>
            </w:r>
          </w:p>
        </w:tc>
        <w:tc>
          <w:p w14:paraId="31B86126">
            <w:pPr>
              <w:pStyle w:val="24"/>
              <w:spacing w:after="0"/>
              <w:jc w:val="left"/>
            </w:pPr>
            <w:r>
              <w:rPr>
                <w:rFonts w:ascii="Aptos" w:hAnsi="Aptos"/>
                <w:color w:val="1F2937"/>
                <w:sz w:val="18"/>
              </w:rPr>
              <w:t>desarrollado → piloto</w:t>
            </w:r>
          </w:p>
        </w:tc>
        <w:tc>
          <w:p w14:paraId="530BA344">
            <w:pPr>
              <w:pStyle w:val="24"/>
              <w:spacing w:after="0"/>
              <w:jc w:val="left"/>
            </w:pPr>
            <w:r>
              <w:rPr>
                <w:rFonts w:ascii="Aptos" w:hAnsi="Aptos"/>
                <w:color w:val="1F2937"/>
                <w:sz w:val="18"/>
              </w:rPr>
              <w:t>operación rural</w:t>
            </w:r>
          </w:p>
        </w:tc>
      </w:tr>
      <w:tr w14:paraId="591DFB66">
        <w:tblPrEx>
          <w:tblCellMar>
            <w:top w:w="0" w:type="dxa"/>
            <w:left w:w="108" w:type="dxa"/>
            <w:bottom w:w="0" w:type="dxa"/>
            <w:right w:w="108" w:type="dxa"/>
          </w:tblCellMar>
        </w:tblPrEx>
        <w:tc>
          <w:p w14:paraId="0A383A99">
            <w:pPr>
              <w:pStyle w:val="24"/>
              <w:spacing w:after="0"/>
              <w:jc w:val="left"/>
            </w:pPr>
            <w:r>
              <w:rPr>
                <w:rFonts w:ascii="Aptos" w:hAnsi="Aptos"/>
                <w:color w:val="1F2937"/>
                <w:sz w:val="18"/>
              </w:rPr>
              <w:t>Testing/QA</w:t>
            </w:r>
          </w:p>
        </w:tc>
        <w:tc>
          <w:p w14:paraId="21A426CB">
            <w:pPr>
              <w:pStyle w:val="24"/>
              <w:spacing w:after="0"/>
              <w:jc w:val="left"/>
            </w:pPr>
            <w:r>
              <w:rPr>
                <w:rStyle w:val="35"/>
                <w:rFonts w:ascii="Aptos" w:hAnsi="Aptos"/>
                <w:color w:val="1F2937"/>
                <w:sz w:val="18"/>
              </w:rPr>
              <w:t>Cast-o</w:t>
            </w:r>
          </w:p>
        </w:tc>
        <w:tc>
          <w:p w14:paraId="791616AC">
            <w:pPr>
              <w:pStyle w:val="24"/>
              <w:spacing w:after="0"/>
              <w:jc w:val="left"/>
            </w:pPr>
            <w:r>
              <w:rPr>
                <w:rFonts w:ascii="Aptos" w:hAnsi="Aptos"/>
                <w:color w:val="1F2937"/>
                <w:sz w:val="18"/>
              </w:rPr>
              <w:t>desarrollado</w:t>
            </w:r>
          </w:p>
        </w:tc>
        <w:tc>
          <w:p w14:paraId="4B3B428D">
            <w:pPr>
              <w:pStyle w:val="24"/>
              <w:spacing w:after="0"/>
              <w:jc w:val="left"/>
            </w:pPr>
            <w:r>
              <w:rPr>
                <w:rFonts w:ascii="Aptos" w:hAnsi="Aptos"/>
                <w:color w:val="1F2937"/>
                <w:sz w:val="18"/>
              </w:rPr>
              <w:t>calidad / regresión</w:t>
            </w:r>
          </w:p>
        </w:tc>
      </w:tr>
      <w:tr w14:paraId="08A5A1D2">
        <w:tblPrEx>
          <w:tblCellMar>
            <w:top w:w="0" w:type="dxa"/>
            <w:left w:w="108" w:type="dxa"/>
            <w:bottom w:w="0" w:type="dxa"/>
            <w:right w:w="108" w:type="dxa"/>
          </w:tblCellMar>
        </w:tblPrEx>
        <w:tc>
          <w:p w14:paraId="316C7226">
            <w:pPr>
              <w:pStyle w:val="24"/>
              <w:spacing w:after="0"/>
              <w:jc w:val="left"/>
            </w:pPr>
            <w:r>
              <w:rPr>
                <w:rFonts w:ascii="Aptos" w:hAnsi="Aptos"/>
                <w:color w:val="1F2937"/>
                <w:sz w:val="18"/>
              </w:rPr>
              <w:t>Evidencia</w:t>
            </w:r>
          </w:p>
        </w:tc>
        <w:tc>
          <w:p w14:paraId="6D848A31">
            <w:pPr>
              <w:pStyle w:val="24"/>
              <w:spacing w:after="0"/>
              <w:jc w:val="left"/>
            </w:pPr>
            <w:r>
              <w:rPr>
                <w:rFonts w:ascii="Aptos" w:hAnsi="Aptos"/>
                <w:color w:val="1F2937"/>
                <w:sz w:val="18"/>
              </w:rPr>
              <w:t>SEV / COMP</w:t>
            </w:r>
          </w:p>
        </w:tc>
        <w:tc>
          <w:p w14:paraId="5DEED9B0">
            <w:pPr>
              <w:pStyle w:val="24"/>
              <w:spacing w:after="0"/>
              <w:jc w:val="left"/>
            </w:pPr>
            <w:r>
              <w:rPr>
                <w:rFonts w:ascii="Aptos" w:hAnsi="Aptos"/>
                <w:color w:val="1F2937"/>
                <w:sz w:val="18"/>
              </w:rPr>
              <w:t>evolución avanzada</w:t>
            </w:r>
          </w:p>
        </w:tc>
        <w:tc>
          <w:p w14:paraId="11B54705">
            <w:pPr>
              <w:pStyle w:val="24"/>
              <w:spacing w:after="0"/>
              <w:jc w:val="left"/>
            </w:pPr>
            <w:r>
              <w:rPr>
                <w:rFonts w:ascii="Aptos" w:hAnsi="Aptos"/>
                <w:color w:val="1F2937"/>
                <w:sz w:val="18"/>
              </w:rPr>
              <w:t>gobernanza</w:t>
            </w:r>
          </w:p>
        </w:tc>
      </w:tr>
      <w:tr w14:paraId="53B379D1">
        <w:tblPrEx>
          <w:tblCellMar>
            <w:top w:w="0" w:type="dxa"/>
            <w:left w:w="108" w:type="dxa"/>
            <w:bottom w:w="0" w:type="dxa"/>
            <w:right w:w="108" w:type="dxa"/>
          </w:tblCellMar>
        </w:tblPrEx>
        <w:tc>
          <w:p w14:paraId="33428D36">
            <w:pPr>
              <w:pStyle w:val="24"/>
              <w:spacing w:after="0"/>
              <w:jc w:val="left"/>
            </w:pPr>
            <w:r>
              <w:rPr>
                <w:rFonts w:ascii="Aptos" w:hAnsi="Aptos"/>
                <w:color w:val="1F2937"/>
                <w:sz w:val="18"/>
              </w:rPr>
              <w:t>Infraestructura</w:t>
            </w:r>
          </w:p>
        </w:tc>
        <w:tc>
          <w:p w14:paraId="73795358">
            <w:pPr>
              <w:pStyle w:val="24"/>
              <w:spacing w:after="0"/>
              <w:jc w:val="left"/>
            </w:pPr>
            <w:r>
              <w:rPr>
                <w:rStyle w:val="35"/>
                <w:rFonts w:ascii="Aptos" w:hAnsi="Aptos"/>
                <w:color w:val="1F2937"/>
                <w:sz w:val="18"/>
              </w:rPr>
              <w:t>goldfish</w:t>
            </w:r>
          </w:p>
        </w:tc>
        <w:tc>
          <w:p w14:paraId="50E34FE4">
            <w:pPr>
              <w:pStyle w:val="24"/>
              <w:spacing w:after="0"/>
              <w:jc w:val="left"/>
            </w:pPr>
            <w:r>
              <w:rPr>
                <w:rFonts w:ascii="Aptos" w:hAnsi="Aptos"/>
                <w:color w:val="1F2937"/>
                <w:sz w:val="18"/>
              </w:rPr>
              <w:t>desarrollo / evolución</w:t>
            </w:r>
          </w:p>
        </w:tc>
        <w:tc>
          <w:p w14:paraId="2EAFDBEF">
            <w:pPr>
              <w:pStyle w:val="24"/>
              <w:spacing w:after="0"/>
              <w:jc w:val="left"/>
            </w:pPr>
            <w:r>
              <w:rPr>
                <w:rFonts w:ascii="Aptos" w:hAnsi="Aptos"/>
                <w:color w:val="1F2937"/>
                <w:sz w:val="18"/>
              </w:rPr>
              <w:t>despliegue</w:t>
            </w:r>
          </w:p>
        </w:tc>
      </w:tr>
      <w:tr w14:paraId="06B4E4B3">
        <w:tblPrEx>
          <w:tblCellMar>
            <w:top w:w="0" w:type="dxa"/>
            <w:left w:w="108" w:type="dxa"/>
            <w:bottom w:w="0" w:type="dxa"/>
            <w:right w:w="108" w:type="dxa"/>
          </w:tblCellMar>
        </w:tblPrEx>
        <w:tc>
          <w:p w14:paraId="2331A228">
            <w:pPr>
              <w:pStyle w:val="24"/>
              <w:spacing w:after="0"/>
              <w:jc w:val="left"/>
            </w:pPr>
            <w:r>
              <w:rPr>
                <w:rFonts w:ascii="Aptos" w:hAnsi="Aptos"/>
                <w:color w:val="1F2937"/>
                <w:sz w:val="18"/>
              </w:rPr>
              <w:t>Offline-first</w:t>
            </w:r>
          </w:p>
        </w:tc>
        <w:tc>
          <w:p w14:paraId="5EA954BA">
            <w:pPr>
              <w:pStyle w:val="24"/>
              <w:spacing w:after="0"/>
              <w:jc w:val="left"/>
            </w:pPr>
            <w:r>
              <w:rPr>
                <w:rFonts w:ascii="Aptos" w:hAnsi="Aptos"/>
                <w:color w:val="1F2937"/>
                <w:sz w:val="18"/>
              </w:rPr>
              <w:t>field operations</w:t>
            </w:r>
          </w:p>
        </w:tc>
        <w:tc>
          <w:p w14:paraId="7725FE5E">
            <w:pPr>
              <w:pStyle w:val="24"/>
              <w:spacing w:after="0"/>
              <w:jc w:val="left"/>
            </w:pPr>
            <w:r>
              <w:rPr>
                <w:rFonts w:ascii="Aptos" w:hAnsi="Aptos"/>
                <w:color w:val="1F2937"/>
                <w:sz w:val="18"/>
              </w:rPr>
              <w:t>desarrollo → piloto</w:t>
            </w:r>
          </w:p>
        </w:tc>
        <w:tc>
          <w:p w14:paraId="157EAED6">
            <w:pPr>
              <w:pStyle w:val="24"/>
              <w:spacing w:after="0"/>
              <w:jc w:val="left"/>
            </w:pPr>
            <w:r>
              <w:rPr>
                <w:rFonts w:ascii="Aptos" w:hAnsi="Aptos"/>
                <w:color w:val="1F2937"/>
                <w:sz w:val="18"/>
              </w:rPr>
              <w:t>resiliencia</w:t>
            </w:r>
          </w:p>
        </w:tc>
      </w:tr>
      <w:tr w14:paraId="775C055E">
        <w:tblPrEx>
          <w:tblCellMar>
            <w:top w:w="0" w:type="dxa"/>
            <w:left w:w="108" w:type="dxa"/>
            <w:bottom w:w="0" w:type="dxa"/>
            <w:right w:w="108" w:type="dxa"/>
          </w:tblCellMar>
        </w:tblPrEx>
        <w:tc>
          <w:p w14:paraId="4F78933C">
            <w:pPr>
              <w:pStyle w:val="24"/>
              <w:spacing w:after="0"/>
              <w:jc w:val="left"/>
            </w:pPr>
            <w:r>
              <w:rPr>
                <w:rFonts w:ascii="Aptos" w:hAnsi="Aptos"/>
                <w:color w:val="1F2937"/>
                <w:sz w:val="18"/>
              </w:rPr>
              <w:t>IA</w:t>
            </w:r>
          </w:p>
        </w:tc>
        <w:tc>
          <w:p w14:paraId="11A5D718">
            <w:pPr>
              <w:pStyle w:val="24"/>
              <w:spacing w:after="0"/>
              <w:jc w:val="left"/>
            </w:pPr>
            <w:r>
              <w:rPr>
                <w:rFonts w:ascii="Aptos" w:hAnsi="Aptos"/>
                <w:color w:val="1F2937"/>
                <w:sz w:val="18"/>
              </w:rPr>
              <w:t>SABIONDA / OpenClaw</w:t>
            </w:r>
          </w:p>
        </w:tc>
        <w:tc>
          <w:p w14:paraId="1B9F00A2">
            <w:pPr>
              <w:pStyle w:val="24"/>
              <w:spacing w:after="0"/>
              <w:jc w:val="left"/>
            </w:pPr>
            <w:r>
              <w:rPr>
                <w:rFonts w:ascii="Aptos" w:hAnsi="Aptos"/>
                <w:color w:val="1F2937"/>
                <w:sz w:val="18"/>
              </w:rPr>
              <w:t>desarrollo</w:t>
            </w:r>
          </w:p>
        </w:tc>
        <w:tc>
          <w:p w14:paraId="4AF2F34E">
            <w:pPr>
              <w:pStyle w:val="24"/>
              <w:spacing w:after="0"/>
              <w:jc w:val="left"/>
            </w:pPr>
            <w:r>
              <w:rPr>
                <w:rFonts w:ascii="Aptos" w:hAnsi="Aptos"/>
                <w:color w:val="1F2937"/>
                <w:sz w:val="18"/>
              </w:rPr>
              <w:t>diferenciación</w:t>
            </w:r>
          </w:p>
        </w:tc>
      </w:tr>
      <w:tr w14:paraId="31FB5268">
        <w:tblPrEx>
          <w:tblCellMar>
            <w:top w:w="0" w:type="dxa"/>
            <w:left w:w="108" w:type="dxa"/>
            <w:bottom w:w="0" w:type="dxa"/>
            <w:right w:w="108" w:type="dxa"/>
          </w:tblCellMar>
        </w:tblPrEx>
        <w:tc>
          <w:p w14:paraId="70EB224B">
            <w:pPr>
              <w:pStyle w:val="24"/>
              <w:spacing w:after="0"/>
              <w:jc w:val="left"/>
            </w:pPr>
            <w:r>
              <w:rPr>
                <w:rFonts w:ascii="Aptos" w:hAnsi="Aptos"/>
                <w:color w:val="1F2937"/>
                <w:sz w:val="18"/>
              </w:rPr>
              <w:t>CI/CD</w:t>
            </w:r>
          </w:p>
        </w:tc>
        <w:tc>
          <w:p w14:paraId="3C04C75F">
            <w:pPr>
              <w:pStyle w:val="24"/>
              <w:spacing w:after="0"/>
              <w:jc w:val="left"/>
            </w:pPr>
            <w:r>
              <w:rPr>
                <w:rFonts w:ascii="Aptos" w:hAnsi="Aptos"/>
                <w:color w:val="1F2937"/>
                <w:sz w:val="18"/>
              </w:rPr>
              <w:t>GitHub Actions</w:t>
            </w:r>
          </w:p>
        </w:tc>
        <w:tc>
          <w:p w14:paraId="19526990">
            <w:pPr>
              <w:pStyle w:val="24"/>
              <w:spacing w:after="0"/>
              <w:jc w:val="left"/>
            </w:pPr>
            <w:r>
              <w:rPr>
                <w:rFonts w:ascii="Aptos" w:hAnsi="Aptos"/>
                <w:color w:val="1F2937"/>
                <w:sz w:val="18"/>
              </w:rPr>
              <w:t>activo</w:t>
            </w:r>
          </w:p>
        </w:tc>
        <w:tc>
          <w:p w14:paraId="7C85955F">
            <w:pPr>
              <w:pStyle w:val="24"/>
              <w:spacing w:after="0"/>
              <w:jc w:val="left"/>
            </w:pPr>
            <w:r>
              <w:rPr>
                <w:rFonts w:ascii="Aptos" w:hAnsi="Aptos"/>
                <w:color w:val="1F2937"/>
                <w:sz w:val="18"/>
              </w:rPr>
              <w:t>repetibilidad</w:t>
            </w:r>
          </w:p>
        </w:tc>
      </w:tr>
    </w:tbl>
    <w:p w14:paraId="79B1FD4A">
      <w:pPr>
        <w:pStyle w:val="3"/>
      </w:pPr>
      <w:r>
        <w:rPr>
          <w:rFonts w:ascii="Aptos" w:hAnsi="Aptos"/>
          <w:b/>
          <w:color w:val="1F2937"/>
          <w:sz w:val="21"/>
        </w:rPr>
        <w:t>Diferencial offline-first.</w:t>
      </w:r>
      <w:r>
        <w:rPr>
          <w:rFonts w:ascii="Aptos" w:hAnsi="Aptos"/>
          <w:color w:val="1F2937"/>
          <w:sz w:val="21"/>
        </w:rPr>
        <w:t xml:space="preserve"> CASTÚO-SYSTEM está diseñado para </w:t>
      </w:r>
      <w:r>
        <w:rPr>
          <w:rFonts w:ascii="Aptos" w:hAnsi="Aptos"/>
          <w:b/>
          <w:color w:val="1F2937"/>
          <w:sz w:val="21"/>
        </w:rPr>
        <w:t>seguir operando cuando la conectividad falla</w:t>
      </w:r>
      <w:r>
        <w:rPr>
          <w:rFonts w:ascii="Aptos" w:hAnsi="Aptos"/>
          <w:color w:val="1F2937"/>
          <w:sz w:val="21"/>
        </w:rPr>
        <w:t xml:space="preserve"> (Kiwix, IA local/RAG, Organic Maps, Meshtastic, Raspberry Pi, ESP32, MQTT, LoRaWAN, con trazabilidad y evidencia). Es una capacidad especialmente coherente con el territorio rural.</w:t>
      </w:r>
    </w:p>
    <w:p w14:paraId="770512C6">
      <w:pPr>
        <w:pStyle w:val="3"/>
      </w:pPr>
      <w:r>
        <w:rPr>
          <w:rFonts w:ascii="Aptos" w:hAnsi="Aptos"/>
          <w:b/>
          <w:color w:val="1F2937"/>
          <w:sz w:val="21"/>
        </w:rPr>
        <w:t>Lectura honesta.</w:t>
      </w:r>
      <w:r>
        <w:rPr>
          <w:rFonts w:ascii="Aptos" w:hAnsi="Aptos"/>
          <w:color w:val="1F2937"/>
          <w:sz w:val="21"/>
        </w:rPr>
        <w:t xml:space="preserve"> El perfil ofrece </w:t>
      </w:r>
      <w:r>
        <w:rPr>
          <w:rFonts w:ascii="Aptos" w:hAnsi="Aptos"/>
          <w:b/>
          <w:color w:val="1F2937"/>
          <w:sz w:val="21"/>
        </w:rPr>
        <w:t>evidencia pública de actividad técnica sostenida y de un proceso de ingeniería estructurado</w:t>
      </w:r>
      <w:r>
        <w:rPr>
          <w:rFonts w:ascii="Aptos" w:hAnsi="Aptos"/>
          <w:color w:val="1F2937"/>
          <w:sz w:val="21"/>
        </w:rPr>
        <w:t xml:space="preserve"> (arquitectura, desarrollo, integración, CI, testing, seguridad, documentación y gestión de cambios) — suficiente para demostrar </w:t>
      </w:r>
      <w:r>
        <w:rPr>
          <w:rFonts w:ascii="Aptos" w:hAnsi="Aptos"/>
          <w:b/>
          <w:color w:val="1F2937"/>
          <w:sz w:val="21"/>
        </w:rPr>
        <w:t>capacidad técnica</w:t>
      </w:r>
      <w:r>
        <w:rPr>
          <w:rFonts w:ascii="Aptos" w:hAnsi="Aptos"/>
          <w:color w:val="1F2937"/>
          <w:sz w:val="21"/>
        </w:rPr>
        <w:t xml:space="preserve">. No demuestra por sí mismo tracción comercial: los </w:t>
      </w:r>
      <w:r>
        <w:rPr>
          <w:rFonts w:ascii="Aptos" w:hAnsi="Aptos"/>
          <w:b/>
          <w:color w:val="1F2937"/>
          <w:sz w:val="21"/>
        </w:rPr>
        <w:t>≥5 pilotos remunerados, la recurrencia y la facturación</w:t>
      </w:r>
      <w:r>
        <w:rPr>
          <w:rFonts w:ascii="Aptos" w:hAnsi="Aptos"/>
          <w:color w:val="1F2937"/>
          <w:sz w:val="21"/>
        </w:rPr>
        <w:t xml:space="preserve"> son el </w:t>
      </w:r>
      <w:r>
        <w:rPr>
          <w:rFonts w:ascii="Aptos" w:hAnsi="Aptos"/>
          <w:b/>
          <w:color w:val="1F2937"/>
          <w:sz w:val="21"/>
        </w:rPr>
        <w:t>objetivo principal de la Fase 1</w:t>
      </w:r>
      <w:r>
        <w:rPr>
          <w:rFonts w:ascii="Aptos" w:hAnsi="Aptos"/>
          <w:color w:val="1F2937"/>
          <w:sz w:val="21"/>
        </w:rPr>
        <w:t>, no un logro ya conseguido.</w:t>
      </w:r>
    </w:p>
    <w:p w14:paraId="6390458C">
      <w:pPr>
        <w:pStyle w:val="2"/>
      </w:pPr>
      <w:bookmarkStart w:id="11" w:name="Xe8d9935d81d6d1bc14cf14991337b6020ad3240"/>
      <w:r>
        <w:rPr>
          <w:rFonts w:ascii="Aptos Display" w:hAnsi="Aptos Display"/>
          <w:b/>
          <w:color w:val="174A2E"/>
          <w:sz w:val="21"/>
        </w:rPr>
        <w:t>3. Propuesta de valor, innovación y cartera de productos y servicios</w:t>
      </w:r>
      <w:bookmarkEnd w:id="11"/>
    </w:p>
    <w:p w14:paraId="3F2831A1">
      <w:pPr>
        <w:pStyle w:val="4"/>
      </w:pPr>
      <w:bookmarkStart w:id="12" w:name="Xff091f7e0f54d0426f7d90bb4a4ecec5405807b"/>
      <w:r>
        <w:rPr>
          <w:rFonts w:ascii="Aptos Display" w:hAnsi="Aptos Display"/>
          <w:b/>
          <w:color w:val="174A2E"/>
          <w:sz w:val="21"/>
        </w:rPr>
        <w:t>3.1. Propuesta de valor diferencial e innovación rural</w:t>
      </w:r>
      <w:bookmarkEnd w:id="12"/>
    </w:p>
    <w:p w14:paraId="34425447">
      <w:pPr>
        <w:pStyle w:val="23"/>
      </w:pPr>
      <w:r>
        <w:rPr>
          <w:rFonts w:ascii="Aptos" w:hAnsi="Aptos"/>
          <w:b/>
          <w:color w:val="1F2937"/>
          <w:sz w:val="21"/>
        </w:rPr>
        <w:t>Propuesta de valor (en tres frases).</w:t>
      </w:r>
      <w:r>
        <w:rPr>
          <w:rFonts w:ascii="Aptos" w:hAnsi="Aptos"/>
          <w:color w:val="1F2937"/>
          <w:sz w:val="21"/>
        </w:rPr>
        <w:t xml:space="preserve"> CASTÚO-SYSTEM convierte los datos de campo en decisiones útiles y verificables para la explotación pequeña y mediana: trazabilidad por lote de la semilla a la venta, cuaderno digital de explotación sin papel y gestión del agua y la energía desde un mismo panel. A diferencia de las plataformas genéricas, nace en el territorio, a precio de explotación pequeña y con demostrador físico propio. Y todo lo que promete puede comprobarse: cada resultado se publica con su huella de verificación y revisión independiente.</w:t>
      </w:r>
    </w:p>
    <w:p w14:paraId="4B952989">
      <w:pPr>
        <w:pStyle w:val="3"/>
      </w:pPr>
      <w:r>
        <w:rPr>
          <w:rFonts w:ascii="Aptos" w:hAnsi="Aptos"/>
          <w:b/>
          <w:color w:val="1F2937"/>
          <w:sz w:val="21"/>
        </w:rPr>
        <w:t>Ventajas competitivas.</w:t>
      </w:r>
    </w:p>
    <w:tbl>
      <w:tblPr>
        <w:tblStyle w:val="28"/>
        <w:tblW w:w="5000" w:type="pct"/>
        <w:jc w:val="center"/>
        <w:tblInd w:w="0" w:type="dxa"/>
        <w:tblLayout w:type="fixed"/>
        <w:tblCellMar>
          <w:top w:w="0" w:type="dxa"/>
          <w:left w:w="108" w:type="dxa"/>
          <w:bottom w:w="0" w:type="dxa"/>
          <w:right w:w="108" w:type="dxa"/>
        </w:tblCellMar>
      </w:tblPr>
      <w:tblGrid>
        <w:gridCol w:w="1771"/>
        <w:gridCol w:w="1771"/>
        <w:gridCol w:w="1771"/>
        <w:gridCol w:w="1771"/>
        <w:gridCol w:w="1771"/>
      </w:tblGrid>
      <w:tr w14:paraId="43AD3EA7">
        <w:tblPrEx>
          <w:tblCellMar>
            <w:top w:w="0" w:type="dxa"/>
            <w:left w:w="108" w:type="dxa"/>
            <w:bottom w:w="0" w:type="dxa"/>
            <w:right w:w="108" w:type="dxa"/>
          </w:tblCellMar>
        </w:tblPrEx>
        <w:tc>
          <w:tcPr>
            <w:tcW w:w="1872" w:type="dxa"/>
            <w:tcBorders>
              <w:bottom w:val="single" w:color="auto" w:sz="0" w:space="0"/>
            </w:tcBorders>
            <w:vAlign w:val="bottom"/>
          </w:tcPr>
          <w:p w14:paraId="5B245A92">
            <w:pPr>
              <w:pStyle w:val="24"/>
              <w:spacing w:after="0"/>
              <w:jc w:val="left"/>
            </w:pPr>
            <w:r>
              <w:rPr>
                <w:rFonts w:ascii="Aptos" w:hAnsi="Aptos"/>
                <w:color w:val="1F2937"/>
                <w:sz w:val="18"/>
              </w:rPr>
              <w:t>Dimensión</w:t>
            </w:r>
          </w:p>
        </w:tc>
        <w:tc>
          <w:tcPr>
            <w:tcW w:w="1872" w:type="dxa"/>
            <w:tcBorders>
              <w:bottom w:val="single" w:color="auto" w:sz="0" w:space="0"/>
            </w:tcBorders>
            <w:vAlign w:val="bottom"/>
          </w:tcPr>
          <w:p w14:paraId="6CF0819E">
            <w:pPr>
              <w:pStyle w:val="24"/>
              <w:spacing w:after="0"/>
              <w:jc w:val="left"/>
            </w:pPr>
            <w:r>
              <w:rPr>
                <w:rFonts w:ascii="Aptos" w:hAnsi="Aptos"/>
                <w:color w:val="1F2937"/>
                <w:sz w:val="18"/>
              </w:rPr>
              <w:t>Plataformas gran explotación (John Deere OC, FieldView)</w:t>
            </w:r>
          </w:p>
        </w:tc>
        <w:tc>
          <w:tcPr>
            <w:tcW w:w="1872" w:type="dxa"/>
            <w:tcBorders>
              <w:bottom w:val="single" w:color="auto" w:sz="0" w:space="0"/>
            </w:tcBorders>
            <w:vAlign w:val="bottom"/>
          </w:tcPr>
          <w:p w14:paraId="05479DA3">
            <w:pPr>
              <w:pStyle w:val="24"/>
              <w:spacing w:after="0"/>
              <w:jc w:val="left"/>
            </w:pPr>
            <w:r>
              <w:rPr>
                <w:rFonts w:ascii="Aptos" w:hAnsi="Aptos"/>
                <w:color w:val="1F2937"/>
                <w:sz w:val="18"/>
              </w:rPr>
              <w:t>Cuadernos genéricos (xFarm, Agroptima)</w:t>
            </w:r>
          </w:p>
        </w:tc>
        <w:tc>
          <w:tcPr>
            <w:tcW w:w="1872" w:type="dxa"/>
            <w:tcBorders>
              <w:bottom w:val="single" w:color="auto" w:sz="0" w:space="0"/>
            </w:tcBorders>
            <w:vAlign w:val="bottom"/>
          </w:tcPr>
          <w:p w14:paraId="7626A360">
            <w:pPr>
              <w:pStyle w:val="24"/>
              <w:spacing w:after="0"/>
              <w:jc w:val="left"/>
            </w:pPr>
            <w:r>
              <w:rPr>
                <w:rFonts w:ascii="Aptos" w:hAnsi="Aptos"/>
                <w:color w:val="1F2937"/>
                <w:sz w:val="18"/>
              </w:rPr>
              <w:t>Papel / Excel</w:t>
            </w:r>
          </w:p>
        </w:tc>
        <w:tc>
          <w:tcPr>
            <w:tcW w:w="1872" w:type="dxa"/>
            <w:tcBorders>
              <w:bottom w:val="single" w:color="auto" w:sz="0" w:space="0"/>
            </w:tcBorders>
            <w:vAlign w:val="bottom"/>
          </w:tcPr>
          <w:p w14:paraId="46905DCD">
            <w:pPr>
              <w:pStyle w:val="24"/>
              <w:spacing w:after="0"/>
              <w:jc w:val="left"/>
            </w:pPr>
            <w:r>
              <w:rPr>
                <w:rFonts w:ascii="Aptos" w:hAnsi="Aptos"/>
                <w:color w:val="1F2937"/>
                <w:sz w:val="18"/>
              </w:rPr>
              <w:t>CASTÚO</w:t>
            </w:r>
          </w:p>
        </w:tc>
      </w:tr>
      <w:tr w14:paraId="1FEAC704">
        <w:tblPrEx>
          <w:tblCellMar>
            <w:top w:w="0" w:type="dxa"/>
            <w:left w:w="108" w:type="dxa"/>
            <w:bottom w:w="0" w:type="dxa"/>
            <w:right w:w="108" w:type="dxa"/>
          </w:tblCellMar>
        </w:tblPrEx>
        <w:tc>
          <w:p w14:paraId="36E0E0B8">
            <w:pPr>
              <w:pStyle w:val="24"/>
              <w:spacing w:after="0"/>
              <w:jc w:val="left"/>
            </w:pPr>
            <w:r>
              <w:rPr>
                <w:rFonts w:ascii="Aptos" w:hAnsi="Aptos"/>
                <w:color w:val="1F2937"/>
                <w:sz w:val="18"/>
              </w:rPr>
              <w:t>Segmento objetivo</w:t>
            </w:r>
          </w:p>
        </w:tc>
        <w:tc>
          <w:p w14:paraId="679A5ED5">
            <w:pPr>
              <w:pStyle w:val="24"/>
              <w:spacing w:after="0"/>
              <w:jc w:val="left"/>
            </w:pPr>
            <w:r>
              <w:rPr>
                <w:rFonts w:ascii="Aptos" w:hAnsi="Aptos"/>
                <w:color w:val="1F2937"/>
                <w:sz w:val="18"/>
              </w:rPr>
              <w:t>Gran explotación</w:t>
            </w:r>
          </w:p>
        </w:tc>
        <w:tc>
          <w:p w14:paraId="182FB149">
            <w:pPr>
              <w:pStyle w:val="24"/>
              <w:spacing w:after="0"/>
              <w:jc w:val="left"/>
            </w:pPr>
            <w:r>
              <w:rPr>
                <w:rFonts w:ascii="Aptos" w:hAnsi="Aptos"/>
                <w:color w:val="1F2937"/>
                <w:sz w:val="18"/>
              </w:rPr>
              <w:t>Generalista</w:t>
            </w:r>
          </w:p>
        </w:tc>
        <w:tc>
          <w:p w14:paraId="795AE673">
            <w:pPr>
              <w:pStyle w:val="24"/>
              <w:spacing w:after="0"/>
              <w:jc w:val="left"/>
            </w:pPr>
            <w:r>
              <w:rPr>
                <w:rFonts w:ascii="Aptos" w:hAnsi="Aptos"/>
                <w:color w:val="1F2937"/>
                <w:sz w:val="18"/>
              </w:rPr>
              <w:t>—</w:t>
            </w:r>
          </w:p>
        </w:tc>
        <w:tc>
          <w:p w14:paraId="5E7052E0">
            <w:pPr>
              <w:pStyle w:val="24"/>
              <w:spacing w:after="0"/>
              <w:jc w:val="left"/>
            </w:pPr>
            <w:r>
              <w:rPr>
                <w:rFonts w:ascii="Aptos" w:hAnsi="Aptos"/>
                <w:color w:val="1F2937"/>
                <w:sz w:val="18"/>
              </w:rPr>
              <w:t>Explotación 5–20 ha</w:t>
            </w:r>
          </w:p>
        </w:tc>
      </w:tr>
      <w:tr w14:paraId="2DD5ACFC">
        <w:tblPrEx>
          <w:tblCellMar>
            <w:top w:w="0" w:type="dxa"/>
            <w:left w:w="108" w:type="dxa"/>
            <w:bottom w:w="0" w:type="dxa"/>
            <w:right w:w="108" w:type="dxa"/>
          </w:tblCellMar>
        </w:tblPrEx>
        <w:tc>
          <w:p w14:paraId="1264352B">
            <w:pPr>
              <w:pStyle w:val="24"/>
              <w:spacing w:after="0"/>
              <w:jc w:val="left"/>
            </w:pPr>
            <w:r>
              <w:rPr>
                <w:rFonts w:ascii="Aptos" w:hAnsi="Aptos"/>
                <w:color w:val="1F2937"/>
                <w:sz w:val="18"/>
              </w:rPr>
              <w:t>Integración energía+agro+trazabilidad</w:t>
            </w:r>
          </w:p>
        </w:tc>
        <w:tc>
          <w:p w14:paraId="6E1CAD91">
            <w:pPr>
              <w:pStyle w:val="24"/>
              <w:spacing w:after="0"/>
              <w:jc w:val="left"/>
            </w:pPr>
            <w:r>
              <w:rPr>
                <w:rFonts w:ascii="Aptos" w:hAnsi="Aptos"/>
                <w:color w:val="1F2937"/>
                <w:sz w:val="18"/>
              </w:rPr>
              <w:t>Parcial</w:t>
            </w:r>
          </w:p>
        </w:tc>
        <w:tc>
          <w:p w14:paraId="748BA3CA">
            <w:pPr>
              <w:pStyle w:val="24"/>
              <w:spacing w:after="0"/>
              <w:jc w:val="left"/>
            </w:pPr>
            <w:r>
              <w:rPr>
                <w:rFonts w:ascii="Aptos" w:hAnsi="Aptos"/>
                <w:color w:val="1F2937"/>
                <w:sz w:val="18"/>
              </w:rPr>
              <w:t>No</w:t>
            </w:r>
          </w:p>
        </w:tc>
        <w:tc>
          <w:p w14:paraId="43175B67">
            <w:pPr>
              <w:pStyle w:val="24"/>
              <w:spacing w:after="0"/>
              <w:jc w:val="left"/>
            </w:pPr>
            <w:r>
              <w:rPr>
                <w:rFonts w:ascii="Aptos" w:hAnsi="Aptos"/>
                <w:color w:val="1F2937"/>
                <w:sz w:val="18"/>
              </w:rPr>
              <w:t>No</w:t>
            </w:r>
          </w:p>
        </w:tc>
        <w:tc>
          <w:p w14:paraId="278A4935">
            <w:pPr>
              <w:pStyle w:val="24"/>
              <w:spacing w:after="0"/>
              <w:jc w:val="left"/>
            </w:pPr>
            <w:r>
              <w:rPr>
                <w:rFonts w:ascii="Aptos" w:hAnsi="Aptos"/>
                <w:color w:val="1F2937"/>
                <w:sz w:val="18"/>
              </w:rPr>
              <w:t>Sí, en una herramienta</w:t>
            </w:r>
          </w:p>
        </w:tc>
      </w:tr>
      <w:tr w14:paraId="31478437">
        <w:tblPrEx>
          <w:tblCellMar>
            <w:top w:w="0" w:type="dxa"/>
            <w:left w:w="108" w:type="dxa"/>
            <w:bottom w:w="0" w:type="dxa"/>
            <w:right w:w="108" w:type="dxa"/>
          </w:tblCellMar>
        </w:tblPrEx>
        <w:tc>
          <w:p w14:paraId="2385A6E3">
            <w:pPr>
              <w:pStyle w:val="24"/>
              <w:spacing w:after="0"/>
              <w:jc w:val="left"/>
            </w:pPr>
            <w:r>
              <w:rPr>
                <w:rFonts w:ascii="Aptos" w:hAnsi="Aptos"/>
                <w:color w:val="1F2937"/>
                <w:sz w:val="18"/>
              </w:rPr>
              <w:t>Soporte presencial en la comarca</w:t>
            </w:r>
          </w:p>
        </w:tc>
        <w:tc>
          <w:p w14:paraId="3ED2AFAC">
            <w:pPr>
              <w:pStyle w:val="24"/>
              <w:spacing w:after="0"/>
              <w:jc w:val="left"/>
            </w:pPr>
            <w:r>
              <w:rPr>
                <w:rFonts w:ascii="Aptos" w:hAnsi="Aptos"/>
                <w:color w:val="1F2937"/>
                <w:sz w:val="18"/>
              </w:rPr>
              <w:t>No</w:t>
            </w:r>
          </w:p>
        </w:tc>
        <w:tc>
          <w:p w14:paraId="3AEB6DB8">
            <w:pPr>
              <w:pStyle w:val="24"/>
              <w:spacing w:after="0"/>
              <w:jc w:val="left"/>
            </w:pPr>
            <w:r>
              <w:rPr>
                <w:rFonts w:ascii="Aptos" w:hAnsi="Aptos"/>
                <w:color w:val="1F2937"/>
                <w:sz w:val="18"/>
              </w:rPr>
              <w:t>Remoto</w:t>
            </w:r>
          </w:p>
        </w:tc>
        <w:tc>
          <w:p w14:paraId="10D246C6">
            <w:pPr>
              <w:pStyle w:val="24"/>
              <w:spacing w:after="0"/>
              <w:jc w:val="left"/>
            </w:pPr>
            <w:r>
              <w:rPr>
                <w:rFonts w:ascii="Aptos" w:hAnsi="Aptos"/>
                <w:color w:val="1F2937"/>
                <w:sz w:val="18"/>
              </w:rPr>
              <w:t>—</w:t>
            </w:r>
          </w:p>
        </w:tc>
        <w:tc>
          <w:p w14:paraId="4835CE5C">
            <w:pPr>
              <w:pStyle w:val="24"/>
              <w:spacing w:after="0"/>
              <w:jc w:val="left"/>
            </w:pPr>
            <w:r>
              <w:rPr>
                <w:rFonts w:ascii="Aptos" w:hAnsi="Aptos"/>
                <w:color w:val="1F2937"/>
                <w:sz w:val="18"/>
              </w:rPr>
              <w:t>Sí, con formación</w:t>
            </w:r>
          </w:p>
        </w:tc>
      </w:tr>
      <w:tr w14:paraId="4CB0AC60">
        <w:tblPrEx>
          <w:tblCellMar>
            <w:top w:w="0" w:type="dxa"/>
            <w:left w:w="108" w:type="dxa"/>
            <w:bottom w:w="0" w:type="dxa"/>
            <w:right w:w="108" w:type="dxa"/>
          </w:tblCellMar>
        </w:tblPrEx>
        <w:tc>
          <w:p w14:paraId="4E4F029F">
            <w:pPr>
              <w:pStyle w:val="24"/>
              <w:spacing w:after="0"/>
              <w:jc w:val="left"/>
            </w:pPr>
            <w:r>
              <w:rPr>
                <w:rFonts w:ascii="Aptos" w:hAnsi="Aptos"/>
                <w:color w:val="1F2937"/>
                <w:sz w:val="18"/>
              </w:rPr>
              <w:t>Demostrador físico propio</w:t>
            </w:r>
          </w:p>
        </w:tc>
        <w:tc>
          <w:p w14:paraId="54C53583">
            <w:pPr>
              <w:pStyle w:val="24"/>
              <w:spacing w:after="0"/>
              <w:jc w:val="left"/>
            </w:pPr>
            <w:r>
              <w:rPr>
                <w:rFonts w:ascii="Aptos" w:hAnsi="Aptos"/>
                <w:color w:val="1F2937"/>
                <w:sz w:val="18"/>
              </w:rPr>
              <w:t>No</w:t>
            </w:r>
          </w:p>
        </w:tc>
        <w:tc>
          <w:p w14:paraId="6793B2AC">
            <w:pPr>
              <w:pStyle w:val="24"/>
              <w:spacing w:after="0"/>
              <w:jc w:val="left"/>
            </w:pPr>
            <w:r>
              <w:rPr>
                <w:rFonts w:ascii="Aptos" w:hAnsi="Aptos"/>
                <w:color w:val="1F2937"/>
                <w:sz w:val="18"/>
              </w:rPr>
              <w:t>No</w:t>
            </w:r>
          </w:p>
        </w:tc>
        <w:tc>
          <w:p w14:paraId="1F70333D">
            <w:pPr>
              <w:pStyle w:val="24"/>
              <w:spacing w:after="0"/>
              <w:jc w:val="left"/>
            </w:pPr>
            <w:r>
              <w:rPr>
                <w:rFonts w:ascii="Aptos" w:hAnsi="Aptos"/>
                <w:color w:val="1F2937"/>
                <w:sz w:val="18"/>
              </w:rPr>
              <w:t>—</w:t>
            </w:r>
          </w:p>
        </w:tc>
        <w:tc>
          <w:p w14:paraId="18C26EE2">
            <w:pPr>
              <w:pStyle w:val="24"/>
              <w:spacing w:after="0"/>
              <w:jc w:val="left"/>
            </w:pPr>
            <w:r>
              <w:rPr>
                <w:rFonts w:ascii="Aptos" w:hAnsi="Aptos"/>
                <w:color w:val="1F2937"/>
                <w:sz w:val="18"/>
              </w:rPr>
              <w:t>Sí (módulo en Membrío, F1)</w:t>
            </w:r>
          </w:p>
        </w:tc>
      </w:tr>
      <w:tr w14:paraId="29ED49EE">
        <w:tblPrEx>
          <w:tblCellMar>
            <w:top w:w="0" w:type="dxa"/>
            <w:left w:w="108" w:type="dxa"/>
            <w:bottom w:w="0" w:type="dxa"/>
            <w:right w:w="108" w:type="dxa"/>
          </w:tblCellMar>
        </w:tblPrEx>
        <w:tc>
          <w:p w14:paraId="316946F9">
            <w:pPr>
              <w:pStyle w:val="24"/>
              <w:spacing w:after="0"/>
              <w:jc w:val="left"/>
            </w:pPr>
            <w:r>
              <w:rPr>
                <w:rFonts w:ascii="Aptos" w:hAnsi="Aptos"/>
                <w:color w:val="1F2937"/>
                <w:sz w:val="18"/>
              </w:rPr>
              <w:t>Precio para pequeña explotación</w:t>
            </w:r>
          </w:p>
        </w:tc>
        <w:tc>
          <w:p w14:paraId="7344B0F1">
            <w:pPr>
              <w:pStyle w:val="24"/>
              <w:spacing w:after="0"/>
              <w:jc w:val="left"/>
            </w:pPr>
            <w:r>
              <w:rPr>
                <w:rFonts w:ascii="Aptos" w:hAnsi="Aptos"/>
                <w:color w:val="1F2937"/>
                <w:sz w:val="18"/>
              </w:rPr>
              <w:t>Alto</w:t>
            </w:r>
          </w:p>
        </w:tc>
        <w:tc>
          <w:p w14:paraId="3F1A4027">
            <w:pPr>
              <w:pStyle w:val="24"/>
              <w:spacing w:after="0"/>
              <w:jc w:val="left"/>
            </w:pPr>
            <w:r>
              <w:rPr>
                <w:rFonts w:ascii="Aptos" w:hAnsi="Aptos"/>
                <w:color w:val="1F2937"/>
                <w:sz w:val="18"/>
              </w:rPr>
              <w:t>Medio</w:t>
            </w:r>
          </w:p>
        </w:tc>
        <w:tc>
          <w:p w14:paraId="72D3C60D">
            <w:pPr>
              <w:pStyle w:val="24"/>
              <w:spacing w:after="0"/>
              <w:jc w:val="left"/>
            </w:pPr>
            <w:r>
              <w:rPr>
                <w:rFonts w:ascii="Aptos" w:hAnsi="Aptos"/>
                <w:color w:val="1F2937"/>
                <w:sz w:val="18"/>
              </w:rPr>
              <w:t>“Cero” (coste oculto: incumplimiento)</w:t>
            </w:r>
          </w:p>
        </w:tc>
        <w:tc>
          <w:p w14:paraId="5B0DDC48">
            <w:pPr>
              <w:pStyle w:val="24"/>
              <w:spacing w:after="0"/>
              <w:jc w:val="left"/>
            </w:pPr>
            <w:r>
              <w:rPr>
                <w:rFonts w:ascii="Aptos" w:hAnsi="Aptos"/>
                <w:color w:val="1F2937"/>
                <w:sz w:val="18"/>
              </w:rPr>
              <w:t>250–350 €/mes</w:t>
            </w:r>
          </w:p>
        </w:tc>
      </w:tr>
      <w:tr w14:paraId="5A770BDC">
        <w:tblPrEx>
          <w:tblCellMar>
            <w:top w:w="0" w:type="dxa"/>
            <w:left w:w="108" w:type="dxa"/>
            <w:bottom w:w="0" w:type="dxa"/>
            <w:right w:w="108" w:type="dxa"/>
          </w:tblCellMar>
        </w:tblPrEx>
        <w:tc>
          <w:p w14:paraId="00968939">
            <w:pPr>
              <w:pStyle w:val="24"/>
              <w:spacing w:after="0"/>
              <w:jc w:val="left"/>
            </w:pPr>
            <w:r>
              <w:rPr>
                <w:rFonts w:ascii="Aptos" w:hAnsi="Aptos"/>
                <w:color w:val="1F2937"/>
                <w:sz w:val="18"/>
              </w:rPr>
              <w:t>Verificabilidad pública</w:t>
            </w:r>
          </w:p>
        </w:tc>
        <w:tc>
          <w:p w14:paraId="74D1A074">
            <w:pPr>
              <w:pStyle w:val="24"/>
              <w:spacing w:after="0"/>
              <w:jc w:val="left"/>
            </w:pPr>
            <w:r>
              <w:rPr>
                <w:rFonts w:ascii="Aptos" w:hAnsi="Aptos"/>
                <w:color w:val="1F2937"/>
                <w:sz w:val="18"/>
              </w:rPr>
              <w:t>No</w:t>
            </w:r>
          </w:p>
        </w:tc>
        <w:tc>
          <w:p w14:paraId="3E235C4B">
            <w:pPr>
              <w:pStyle w:val="24"/>
              <w:spacing w:after="0"/>
              <w:jc w:val="left"/>
            </w:pPr>
            <w:r>
              <w:rPr>
                <w:rFonts w:ascii="Aptos" w:hAnsi="Aptos"/>
                <w:color w:val="1F2937"/>
                <w:sz w:val="18"/>
              </w:rPr>
              <w:t>No</w:t>
            </w:r>
          </w:p>
        </w:tc>
        <w:tc>
          <w:p w14:paraId="59093076">
            <w:pPr>
              <w:pStyle w:val="24"/>
              <w:spacing w:after="0"/>
              <w:jc w:val="left"/>
            </w:pPr>
            <w:r>
              <w:rPr>
                <w:rFonts w:ascii="Aptos" w:hAnsi="Aptos"/>
                <w:color w:val="1F2937"/>
                <w:sz w:val="18"/>
              </w:rPr>
              <w:t>No</w:t>
            </w:r>
          </w:p>
        </w:tc>
        <w:tc>
          <w:p w14:paraId="5C62BECA">
            <w:pPr>
              <w:pStyle w:val="24"/>
              <w:spacing w:after="0"/>
              <w:jc w:val="left"/>
            </w:pPr>
            <w:r>
              <w:rPr>
                <w:rFonts w:ascii="Aptos" w:hAnsi="Aptos"/>
                <w:color w:val="1F2937"/>
                <w:sz w:val="18"/>
              </w:rPr>
              <w:t>Sí (SEV + entorno de validación)</w:t>
            </w:r>
          </w:p>
        </w:tc>
      </w:tr>
    </w:tbl>
    <w:p w14:paraId="34F8E222">
      <w:pPr>
        <w:pStyle w:val="3"/>
      </w:pPr>
      <w:r>
        <w:rPr>
          <w:rFonts w:ascii="Aptos" w:hAnsi="Aptos"/>
          <w:color w:val="1F2937"/>
          <w:sz w:val="21"/>
        </w:rPr>
        <w:t xml:space="preserve">El diferencial es la </w:t>
      </w:r>
      <w:r>
        <w:rPr>
          <w:rFonts w:ascii="Aptos" w:hAnsi="Aptos"/>
          <w:b/>
          <w:color w:val="1F2937"/>
          <w:sz w:val="21"/>
        </w:rPr>
        <w:t>combinación</w:t>
      </w:r>
      <w:r>
        <w:rPr>
          <w:rFonts w:ascii="Aptos" w:hAnsi="Aptos"/>
          <w:color w:val="1F2937"/>
          <w:sz w:val="21"/>
        </w:rPr>
        <w:t xml:space="preserve"> — integración, cercanía, precio, demostrador y verificabilidad — y esa combinación es la barrera de entrada.</w:t>
      </w:r>
    </w:p>
    <w:p w14:paraId="51FC754A">
      <w:pPr>
        <w:pStyle w:val="4"/>
      </w:pPr>
      <w:bookmarkStart w:id="13" w:name="carácter-innovador-de-la-iniciativa"/>
      <w:r>
        <w:rPr>
          <w:rFonts w:ascii="Aptos Display" w:hAnsi="Aptos Display"/>
          <w:b/>
          <w:color w:val="174A2E"/>
          <w:sz w:val="21"/>
        </w:rPr>
        <w:t>3.2. Carácter innovador de la iniciativa</w:t>
      </w:r>
      <w:bookmarkEnd w:id="13"/>
    </w:p>
    <w:p w14:paraId="67000FAF">
      <w:pPr>
        <w:pStyle w:val="23"/>
      </w:pPr>
      <w:r>
        <w:rPr>
          <w:rFonts w:ascii="Aptos" w:hAnsi="Aptos"/>
          <w:color w:val="1F2937"/>
          <w:sz w:val="21"/>
        </w:rPr>
        <w:t xml:space="preserve">La innovación es cuádruple y verificable: </w:t>
      </w:r>
      <w:r>
        <w:rPr>
          <w:rFonts w:ascii="Aptos" w:hAnsi="Aptos"/>
          <w:b/>
          <w:color w:val="1F2937"/>
          <w:sz w:val="21"/>
        </w:rPr>
        <w:t>(a) Tecnológica</w:t>
      </w:r>
      <w:r>
        <w:rPr>
          <w:rFonts w:ascii="Aptos" w:hAnsi="Aptos"/>
          <w:color w:val="1F2937"/>
          <w:sz w:val="21"/>
        </w:rPr>
        <w:t xml:space="preserve"> — la envolvente de terracota como sistema térmico integrado (TRL 4–5; hipótesis de reducción térmica del 30–45 % a validar con ≥6 meses de datos propios) y el SaaS agro-energético integrado (núcleo implementado candidato a TRL 6; TRL 7 condicionado a piloto y evidencia externa). </w:t>
      </w:r>
      <w:r>
        <w:rPr>
          <w:rFonts w:ascii="Aptos" w:hAnsi="Aptos"/>
          <w:b/>
          <w:color w:val="1F2937"/>
          <w:sz w:val="21"/>
        </w:rPr>
        <w:t>(b) De proceso</w:t>
      </w:r>
      <w:r>
        <w:rPr>
          <w:rFonts w:ascii="Aptos" w:hAnsi="Aptos"/>
          <w:color w:val="1F2937"/>
          <w:sz w:val="21"/>
        </w:rPr>
        <w:t xml:space="preserve"> — la gobernanza por hitos auditables: cada fase de inversión se condiciona a un Gate con criterios cuantitativos públicos, datos reproducibles y revisor independiente; el impacto social se trata con la disciplina de un ensayo. </w:t>
      </w:r>
      <w:r>
        <w:rPr>
          <w:rFonts w:ascii="Aptos" w:hAnsi="Aptos"/>
          <w:b/>
          <w:color w:val="1F2937"/>
          <w:sz w:val="21"/>
        </w:rPr>
        <w:t>(c) De producto</w:t>
      </w:r>
      <w:r>
        <w:rPr>
          <w:rFonts w:ascii="Aptos" w:hAnsi="Aptos"/>
          <w:color w:val="1F2937"/>
          <w:sz w:val="21"/>
        </w:rPr>
        <w:t xml:space="preserve"> — no existe en la comarca ni en el segmento pequeño una oferta que integre cuaderno digital, trazabilidad por lote y gestión energética con soporte local. </w:t>
      </w:r>
      <w:r>
        <w:rPr>
          <w:rFonts w:ascii="Aptos" w:hAnsi="Aptos"/>
          <w:b/>
          <w:color w:val="1F2937"/>
          <w:sz w:val="21"/>
        </w:rPr>
        <w:t>(d) Social/comunitaria</w:t>
      </w:r>
      <w:r>
        <w:rPr>
          <w:rFonts w:ascii="Aptos" w:hAnsi="Aptos"/>
          <w:color w:val="1F2937"/>
          <w:sz w:val="21"/>
        </w:rPr>
        <w:t xml:space="preserve"> — el municipio como socio: vehículo de autoconsumo colectivo que puede reducir el término de energía municipal hasta un 70–90 % (ahorro del municipio, no ingreso de la empresa), empleo estable con prioridad a jóvenes y mujeres, y formación local (200–400 h/año).</w:t>
      </w:r>
    </w:p>
    <w:p w14:paraId="0CA573D5">
      <w:pPr>
        <w:pStyle w:val="3"/>
      </w:pPr>
      <w:r>
        <w:rPr>
          <w:rFonts w:ascii="Aptos" w:hAnsi="Aptos"/>
          <w:b/>
          <w:color w:val="1F2937"/>
          <w:sz w:val="21"/>
        </w:rPr>
        <w:t>Barreras de entrada que el proyecto construye.</w:t>
      </w:r>
      <w:r>
        <w:rPr>
          <w:rFonts w:ascii="Aptos" w:hAnsi="Aptos"/>
          <w:color w:val="1F2937"/>
          <w:sz w:val="21"/>
        </w:rPr>
        <w:t xml:space="preserve"> No el software aislado, sino la combinación acumulativa: arquitectura IoT sobre estándares abiertos con edge local, automatización configurable, analítica sobre histórico propio del territorio, capa de IA planificada (SABIONDA), compatibilidad con sensórica heterogénea, y —lo más difícil de copiar— el demostrador físico, la confianza comarcal y el sistema de evidencias públicas.</w:t>
      </w:r>
    </w:p>
    <w:p w14:paraId="72B79E17">
      <w:pPr>
        <w:pStyle w:val="4"/>
      </w:pPr>
      <w:bookmarkStart w:id="14" w:name="cartera-de-productos-y-servicios"/>
      <w:r>
        <w:rPr>
          <w:rFonts w:ascii="Aptos Display" w:hAnsi="Aptos Display"/>
          <w:b/>
          <w:color w:val="174A2E"/>
          <w:sz w:val="21"/>
        </w:rPr>
        <w:t>3.3. Cartera de productos y servicios</w:t>
      </w:r>
      <w:bookmarkEnd w:id="14"/>
    </w:p>
    <w:p w14:paraId="2BE21CB3">
      <w:pPr>
        <w:pStyle w:val="24"/>
        <w:numPr>
          <w:ilvl w:val="0"/>
          <w:numId w:val="1"/>
        </w:numPr>
      </w:pPr>
      <w:r>
        <w:rPr>
          <w:rFonts w:ascii="Aptos" w:hAnsi="Aptos"/>
          <w:b/>
          <w:color w:val="1F2937"/>
          <w:sz w:val="21"/>
        </w:rPr>
        <w:t>Producto 1 — SaaS CASTÚO (núcleo; desde F1).</w:t>
      </w:r>
      <w:r>
        <w:rPr>
          <w:rFonts w:ascii="Aptos" w:hAnsi="Aptos"/>
          <w:color w:val="1F2937"/>
          <w:sz w:val="21"/>
        </w:rPr>
        <w:t xml:space="preserve"> Plataforma en la nube, multi-cliente con aislamiento de datos: trazabilidad por lote con registro inmutable, cuaderno digital (compatible SIEX), control ambiental y fertirrigación, gestión energética, economía por unidad productiva y cuadros de mando por rol. Segmentos: explotaciones, cooperativas, municipios.</w:t>
      </w:r>
    </w:p>
    <w:p w14:paraId="3D84DE7E">
      <w:pPr>
        <w:pStyle w:val="24"/>
        <w:numPr>
          <w:ilvl w:val="0"/>
          <w:numId w:val="1"/>
        </w:numPr>
      </w:pPr>
      <w:r>
        <w:rPr>
          <w:rFonts w:ascii="Aptos" w:hAnsi="Aptos"/>
          <w:b/>
          <w:color w:val="1F2937"/>
          <w:sz w:val="21"/>
        </w:rPr>
        <w:t>Producto 2 — Sensórica y puesta en marcha (F1).</w:t>
      </w:r>
      <w:r>
        <w:rPr>
          <w:rFonts w:ascii="Aptos" w:hAnsi="Aptos"/>
          <w:color w:val="1F2937"/>
          <w:sz w:val="21"/>
        </w:rPr>
        <w:t xml:space="preserve"> Kit IoT (clima, riego, energía) con instalación, calibración, conexión al SaaS y garantía de operación local.</w:t>
      </w:r>
    </w:p>
    <w:p w14:paraId="38113AC3">
      <w:pPr>
        <w:pStyle w:val="24"/>
        <w:numPr>
          <w:ilvl w:val="0"/>
          <w:numId w:val="1"/>
        </w:numPr>
      </w:pPr>
      <w:r>
        <w:rPr>
          <w:rFonts w:ascii="Aptos" w:hAnsi="Aptos"/>
          <w:b/>
          <w:color w:val="1F2937"/>
          <w:sz w:val="21"/>
        </w:rPr>
        <w:t>Producto 3 — Consultoría y formación (F1).</w:t>
      </w:r>
      <w:r>
        <w:rPr>
          <w:rFonts w:ascii="Aptos" w:hAnsi="Aptos"/>
          <w:color w:val="1F2937"/>
          <w:sz w:val="21"/>
        </w:rPr>
        <w:t xml:space="preserve"> Acompañamiento de digitalización (cuaderno digital, APPCC, gestión energética) y programas de formación (200–400 h/año).</w:t>
      </w:r>
    </w:p>
    <w:p w14:paraId="7BB513BA">
      <w:pPr>
        <w:pStyle w:val="24"/>
        <w:numPr>
          <w:ilvl w:val="0"/>
          <w:numId w:val="1"/>
        </w:numPr>
      </w:pPr>
      <w:r>
        <w:rPr>
          <w:rFonts w:ascii="Aptos" w:hAnsi="Aptos"/>
          <w:b/>
          <w:color w:val="1F2937"/>
          <w:sz w:val="21"/>
        </w:rPr>
        <w:t>Producto 4 — Hortaliza trazada de proximidad (F3; condicionado a G1–G2).</w:t>
      </w:r>
      <w:r>
        <w:rPr>
          <w:rFonts w:ascii="Aptos" w:hAnsi="Aptos"/>
          <w:color w:val="1F2937"/>
          <w:sz w:val="21"/>
        </w:rPr>
        <w:t xml:space="preserve"> 120–180 t/año de hoja y fruto con trazabilidad por lote.</w:t>
      </w:r>
    </w:p>
    <w:p w14:paraId="7C7707EC">
      <w:pPr>
        <w:pStyle w:val="24"/>
        <w:numPr>
          <w:ilvl w:val="0"/>
          <w:numId w:val="1"/>
        </w:numPr>
      </w:pPr>
      <w:r>
        <w:rPr>
          <w:rFonts w:ascii="Aptos" w:hAnsi="Aptos"/>
          <w:b/>
          <w:color w:val="1F2937"/>
          <w:sz w:val="21"/>
        </w:rPr>
        <w:t>Producto 5 — Energía gestionada (F4; condicionado a G3).</w:t>
      </w:r>
      <w:r>
        <w:rPr>
          <w:rFonts w:ascii="Aptos" w:hAnsi="Aptos"/>
          <w:color w:val="1F2937"/>
          <w:sz w:val="21"/>
        </w:rPr>
        <w:t xml:space="preserve"> ≈1,95 GWh/año agrovoltaicos gestionados desde el SaaS para el vehículo de autoconsumo municipal.</w:t>
      </w:r>
    </w:p>
    <w:p w14:paraId="08B9F843">
      <w:pPr>
        <w:pStyle w:val="24"/>
        <w:numPr>
          <w:ilvl w:val="0"/>
          <w:numId w:val="1"/>
        </w:numPr>
      </w:pPr>
      <w:r>
        <w:rPr>
          <w:rFonts w:ascii="Aptos" w:hAnsi="Aptos"/>
          <w:b/>
          <w:color w:val="1F2937"/>
          <w:sz w:val="21"/>
        </w:rPr>
        <w:t>Servicio 6 — Datos agro-energéticos B2B (F5; condicionado a Evaluación F5).</w:t>
      </w:r>
      <w:r>
        <w:rPr>
          <w:rFonts w:ascii="Aptos" w:hAnsi="Aptos"/>
          <w:color w:val="1F2937"/>
          <w:sz w:val="21"/>
        </w:rPr>
        <w:t xml:space="preserve"> Servicios de datos para 2–5 clientes B2B.</w:t>
      </w:r>
    </w:p>
    <w:p w14:paraId="49D43708">
      <w:pPr>
        <w:pStyle w:val="4"/>
      </w:pPr>
      <w:bookmarkStart w:id="15" w:name="X8b953c2666c5296c1c2f0626b78c28a69ddd12c"/>
      <w:r>
        <w:rPr>
          <w:rFonts w:ascii="Aptos Display" w:hAnsi="Aptos Display"/>
          <w:b/>
          <w:color w:val="174A2E"/>
          <w:sz w:val="21"/>
        </w:rPr>
        <w:t>3.4. Desarrollo ampliado — La solución y arquitectura del ecosistema</w:t>
      </w:r>
      <w:bookmarkEnd w:id="15"/>
    </w:p>
    <w:p w14:paraId="0769C439">
      <w:pPr>
        <w:pStyle w:val="23"/>
      </w:pPr>
      <w:r>
        <w:rPr>
          <w:rFonts w:ascii="Aptos" w:hAnsi="Aptos"/>
          <w:b/>
          <w:color w:val="1F2937"/>
          <w:sz w:val="21"/>
        </w:rPr>
        <w:t>La unidad mínima de infraestructura rural inteligente.</w:t>
      </w:r>
      <w:r>
        <w:rPr>
          <w:rFonts w:ascii="Aptos" w:hAnsi="Aptos"/>
          <w:color w:val="1F2937"/>
          <w:sz w:val="21"/>
        </w:rPr>
        <w:t xml:space="preserve"> CASTÚO-SYSTEM™ no vende un invernadero, ni un SaaS, ni una planta solar: vende un </w:t>
      </w:r>
      <w:r>
        <w:rPr>
          <w:rFonts w:ascii="Aptos" w:hAnsi="Aptos"/>
          <w:b/>
          <w:color w:val="1F2937"/>
          <w:sz w:val="21"/>
        </w:rPr>
        <w:t>patrón técnico-económico completo</w:t>
      </w:r>
      <w:r>
        <w:rPr>
          <w:rFonts w:ascii="Aptos" w:hAnsi="Aptos"/>
          <w:color w:val="1F2937"/>
          <w:sz w:val="21"/>
        </w:rPr>
        <w:t xml:space="preserve"> (físico + digital + energético + de gobernanza). La regla que hace funcionar el conjunto: la información precede a la obra y lo profundo precede a lo superficial. Ejecutar el orden al revés cuesta 0,34–0,55 M€ en desmontajes y retrabajo.</w:t>
      </w:r>
    </w:p>
    <w:p w14:paraId="3F630105">
      <w:pPr>
        <w:pStyle w:val="3"/>
      </w:pPr>
      <w:r>
        <w:rPr>
          <w:rFonts w:ascii="Aptos" w:hAnsi="Aptos"/>
          <w:b/>
          <w:color w:val="1F2937"/>
          <w:sz w:val="21"/>
        </w:rPr>
        <w:t>Vista de arquitectura (seis capas + SEV).</w:t>
      </w:r>
    </w:p>
    <w:tbl>
      <w:tblPr>
        <w:tblStyle w:val="28"/>
        <w:tblW w:w="5000" w:type="pct"/>
        <w:jc w:val="center"/>
        <w:tblInd w:w="0" w:type="dxa"/>
        <w:tblLayout w:type="fixed"/>
        <w:tblCellMar>
          <w:top w:w="0" w:type="dxa"/>
          <w:left w:w="108" w:type="dxa"/>
          <w:bottom w:w="0" w:type="dxa"/>
          <w:right w:w="108" w:type="dxa"/>
        </w:tblCellMar>
      </w:tblPr>
      <w:tblGrid>
        <w:gridCol w:w="2952"/>
        <w:gridCol w:w="2952"/>
        <w:gridCol w:w="2952"/>
      </w:tblGrid>
      <w:tr w14:paraId="48315BB1">
        <w:tblPrEx>
          <w:tblCellMar>
            <w:top w:w="0" w:type="dxa"/>
            <w:left w:w="108" w:type="dxa"/>
            <w:bottom w:w="0" w:type="dxa"/>
            <w:right w:w="108" w:type="dxa"/>
          </w:tblCellMar>
        </w:tblPrEx>
        <w:tc>
          <w:tcPr>
            <w:tcW w:w="3120" w:type="dxa"/>
            <w:tcBorders>
              <w:bottom w:val="single" w:color="auto" w:sz="0" w:space="0"/>
            </w:tcBorders>
            <w:vAlign w:val="bottom"/>
          </w:tcPr>
          <w:p w14:paraId="1AB70170">
            <w:pPr>
              <w:pStyle w:val="24"/>
              <w:spacing w:after="0"/>
              <w:jc w:val="left"/>
            </w:pPr>
            <w:r>
              <w:rPr>
                <w:rFonts w:ascii="Aptos" w:hAnsi="Aptos"/>
                <w:color w:val="1F2937"/>
                <w:sz w:val="18"/>
              </w:rPr>
              <w:t>Capa</w:t>
            </w:r>
          </w:p>
        </w:tc>
        <w:tc>
          <w:tcPr>
            <w:tcW w:w="3120" w:type="dxa"/>
            <w:tcBorders>
              <w:bottom w:val="single" w:color="auto" w:sz="0" w:space="0"/>
            </w:tcBorders>
            <w:vAlign w:val="bottom"/>
          </w:tcPr>
          <w:p w14:paraId="6302001B">
            <w:pPr>
              <w:pStyle w:val="24"/>
              <w:spacing w:after="0"/>
              <w:jc w:val="left"/>
            </w:pPr>
            <w:r>
              <w:rPr>
                <w:rFonts w:ascii="Aptos" w:hAnsi="Aptos"/>
                <w:color w:val="1F2937"/>
                <w:sz w:val="18"/>
              </w:rPr>
              <w:t>Función</w:t>
            </w:r>
          </w:p>
        </w:tc>
        <w:tc>
          <w:tcPr>
            <w:tcW w:w="3120" w:type="dxa"/>
            <w:tcBorders>
              <w:bottom w:val="single" w:color="auto" w:sz="0" w:space="0"/>
            </w:tcBorders>
            <w:vAlign w:val="bottom"/>
          </w:tcPr>
          <w:p w14:paraId="58061330">
            <w:pPr>
              <w:pStyle w:val="24"/>
              <w:spacing w:after="0"/>
              <w:jc w:val="left"/>
            </w:pPr>
            <w:r>
              <w:rPr>
                <w:rFonts w:ascii="Aptos" w:hAnsi="Aptos"/>
                <w:color w:val="1F2937"/>
                <w:sz w:val="18"/>
              </w:rPr>
              <w:t>Estándar / decisión de diseño</w:t>
            </w:r>
          </w:p>
        </w:tc>
      </w:tr>
      <w:tr w14:paraId="02C7F63F">
        <w:tblPrEx>
          <w:tblCellMar>
            <w:top w:w="0" w:type="dxa"/>
            <w:left w:w="108" w:type="dxa"/>
            <w:bottom w:w="0" w:type="dxa"/>
            <w:right w:w="108" w:type="dxa"/>
          </w:tblCellMar>
        </w:tblPrEx>
        <w:tc>
          <w:p w14:paraId="7D1AC5C3">
            <w:pPr>
              <w:pStyle w:val="24"/>
              <w:spacing w:after="0"/>
              <w:jc w:val="left"/>
            </w:pPr>
            <w:r>
              <w:rPr>
                <w:rFonts w:ascii="Aptos" w:hAnsi="Aptos"/>
                <w:color w:val="1F2937"/>
                <w:sz w:val="18"/>
              </w:rPr>
              <w:t>Presentación</w:t>
            </w:r>
          </w:p>
        </w:tc>
        <w:tc>
          <w:p w14:paraId="1E2591A8">
            <w:pPr>
              <w:pStyle w:val="24"/>
              <w:spacing w:after="0"/>
              <w:jc w:val="left"/>
            </w:pPr>
            <w:r>
              <w:rPr>
                <w:rFonts w:ascii="Aptos" w:hAnsi="Aptos"/>
                <w:color w:val="1F2937"/>
                <w:sz w:val="18"/>
              </w:rPr>
              <w:t>Cuadros de mando por rol</w:t>
            </w:r>
          </w:p>
        </w:tc>
        <w:tc>
          <w:p w14:paraId="096983A7">
            <w:pPr>
              <w:pStyle w:val="24"/>
              <w:spacing w:after="0"/>
              <w:jc w:val="left"/>
            </w:pPr>
            <w:r>
              <w:rPr>
                <w:rFonts w:ascii="Aptos" w:hAnsi="Aptos"/>
                <w:color w:val="1F2937"/>
                <w:sz w:val="18"/>
              </w:rPr>
              <w:t>Web responsive; accesibilidad</w:t>
            </w:r>
          </w:p>
        </w:tc>
      </w:tr>
      <w:tr w14:paraId="6E13AC98">
        <w:tblPrEx>
          <w:tblCellMar>
            <w:top w:w="0" w:type="dxa"/>
            <w:left w:w="108" w:type="dxa"/>
            <w:bottom w:w="0" w:type="dxa"/>
            <w:right w:w="108" w:type="dxa"/>
          </w:tblCellMar>
        </w:tblPrEx>
        <w:tc>
          <w:p w14:paraId="3CB15ECB">
            <w:pPr>
              <w:pStyle w:val="24"/>
              <w:spacing w:after="0"/>
              <w:jc w:val="left"/>
            </w:pPr>
            <w:r>
              <w:rPr>
                <w:rFonts w:ascii="Aptos" w:hAnsi="Aptos"/>
                <w:color w:val="1F2937"/>
                <w:sz w:val="18"/>
              </w:rPr>
              <w:t>Aplicación (SaaS)</w:t>
            </w:r>
          </w:p>
        </w:tc>
        <w:tc>
          <w:p w14:paraId="6AD9552C">
            <w:pPr>
              <w:pStyle w:val="24"/>
              <w:spacing w:after="0"/>
              <w:jc w:val="left"/>
            </w:pPr>
            <w:r>
              <w:rPr>
                <w:rFonts w:ascii="Aptos" w:hAnsi="Aptos"/>
                <w:color w:val="1F2937"/>
                <w:sz w:val="18"/>
              </w:rPr>
              <w:t>Trazabilidad, cuaderno, energía, economía</w:t>
            </w:r>
          </w:p>
        </w:tc>
        <w:tc>
          <w:p w14:paraId="53C5E3F4">
            <w:pPr>
              <w:pStyle w:val="24"/>
              <w:spacing w:after="0"/>
              <w:jc w:val="left"/>
            </w:pPr>
            <w:r>
              <w:rPr>
                <w:rFonts w:ascii="Aptos" w:hAnsi="Aptos"/>
                <w:color w:val="1F2937"/>
                <w:sz w:val="18"/>
              </w:rPr>
              <w:t>API abierta, multi-tenant</w:t>
            </w:r>
          </w:p>
        </w:tc>
      </w:tr>
      <w:tr w14:paraId="695E30A2">
        <w:tblPrEx>
          <w:tblCellMar>
            <w:top w:w="0" w:type="dxa"/>
            <w:left w:w="108" w:type="dxa"/>
            <w:bottom w:w="0" w:type="dxa"/>
            <w:right w:w="108" w:type="dxa"/>
          </w:tblCellMar>
        </w:tblPrEx>
        <w:tc>
          <w:p w14:paraId="4C6472D0">
            <w:pPr>
              <w:pStyle w:val="24"/>
              <w:spacing w:after="0"/>
              <w:jc w:val="left"/>
            </w:pPr>
            <w:r>
              <w:rPr>
                <w:rFonts w:ascii="Aptos" w:hAnsi="Aptos"/>
                <w:color w:val="1F2937"/>
                <w:sz w:val="18"/>
              </w:rPr>
              <w:t>Datos / contexto</w:t>
            </w:r>
          </w:p>
        </w:tc>
        <w:tc>
          <w:p w14:paraId="69D85FF3">
            <w:pPr>
              <w:pStyle w:val="24"/>
              <w:spacing w:after="0"/>
              <w:jc w:val="left"/>
            </w:pPr>
            <w:r>
              <w:rPr>
                <w:rFonts w:ascii="Aptos" w:hAnsi="Aptos"/>
                <w:color w:val="1F2937"/>
                <w:sz w:val="18"/>
              </w:rPr>
              <w:t>Modelo de información</w:t>
            </w:r>
          </w:p>
        </w:tc>
        <w:tc>
          <w:p w14:paraId="3F85D675">
            <w:pPr>
              <w:pStyle w:val="24"/>
              <w:spacing w:after="0"/>
              <w:jc w:val="left"/>
            </w:pPr>
            <w:r>
              <w:rPr>
                <w:rFonts w:ascii="Aptos" w:hAnsi="Aptos"/>
                <w:color w:val="1F2937"/>
                <w:sz w:val="18"/>
              </w:rPr>
              <w:t>NGSI-LD (FIWARE)</w:t>
            </w:r>
          </w:p>
        </w:tc>
      </w:tr>
      <w:tr w14:paraId="6D25F80A">
        <w:tblPrEx>
          <w:tblCellMar>
            <w:top w:w="0" w:type="dxa"/>
            <w:left w:w="108" w:type="dxa"/>
            <w:bottom w:w="0" w:type="dxa"/>
            <w:right w:w="108" w:type="dxa"/>
          </w:tblCellMar>
        </w:tblPrEx>
        <w:tc>
          <w:p w14:paraId="6C4FC457">
            <w:pPr>
              <w:pStyle w:val="24"/>
              <w:spacing w:after="0"/>
              <w:jc w:val="left"/>
            </w:pPr>
            <w:r>
              <w:rPr>
                <w:rFonts w:ascii="Aptos" w:hAnsi="Aptos"/>
                <w:color w:val="1F2937"/>
                <w:sz w:val="18"/>
              </w:rPr>
              <w:t>Integración / IoT</w:t>
            </w:r>
          </w:p>
        </w:tc>
        <w:tc>
          <w:p w14:paraId="4CDCA213">
            <w:pPr>
              <w:pStyle w:val="24"/>
              <w:spacing w:after="0"/>
              <w:jc w:val="left"/>
            </w:pPr>
            <w:r>
              <w:rPr>
                <w:rFonts w:ascii="Aptos" w:hAnsi="Aptos"/>
                <w:color w:val="1F2937"/>
                <w:sz w:val="18"/>
              </w:rPr>
              <w:t>Telemetría y control</w:t>
            </w:r>
          </w:p>
        </w:tc>
        <w:tc>
          <w:p w14:paraId="4543226D">
            <w:pPr>
              <w:pStyle w:val="24"/>
              <w:spacing w:after="0"/>
              <w:jc w:val="left"/>
            </w:pPr>
            <w:r>
              <w:rPr>
                <w:rFonts w:ascii="Aptos" w:hAnsi="Aptos"/>
                <w:color w:val="1F2937"/>
                <w:sz w:val="18"/>
              </w:rPr>
              <w:t>MQTT/edge; separación OT/IT (IEC 62443)</w:t>
            </w:r>
          </w:p>
        </w:tc>
      </w:tr>
      <w:tr w14:paraId="56EC63B6">
        <w:tc>
          <w:p w14:paraId="27C7D28E">
            <w:pPr>
              <w:pStyle w:val="24"/>
              <w:spacing w:after="0"/>
              <w:jc w:val="left"/>
            </w:pPr>
            <w:r>
              <w:rPr>
                <w:rFonts w:ascii="Aptos" w:hAnsi="Aptos"/>
                <w:color w:val="1F2937"/>
                <w:sz w:val="18"/>
              </w:rPr>
              <w:t>Física</w:t>
            </w:r>
          </w:p>
        </w:tc>
        <w:tc>
          <w:p w14:paraId="35AA6FB1">
            <w:pPr>
              <w:pStyle w:val="24"/>
              <w:spacing w:after="0"/>
              <w:jc w:val="left"/>
            </w:pPr>
            <w:r>
              <w:rPr>
                <w:rFonts w:ascii="Aptos" w:hAnsi="Aptos"/>
                <w:color w:val="1F2937"/>
                <w:sz w:val="18"/>
              </w:rPr>
              <w:t>Invernadero, FV, geotermia, galería</w:t>
            </w:r>
          </w:p>
        </w:tc>
        <w:tc>
          <w:p w14:paraId="3DF3C7D5">
            <w:pPr>
              <w:pStyle w:val="24"/>
              <w:spacing w:after="0"/>
              <w:jc w:val="left"/>
            </w:pPr>
            <w:r>
              <w:rPr>
                <w:rFonts w:ascii="Aptos" w:hAnsi="Aptos"/>
                <w:color w:val="1F2937"/>
                <w:sz w:val="18"/>
              </w:rPr>
              <w:t>Diseño para recibir la FV</w:t>
            </w:r>
          </w:p>
        </w:tc>
      </w:tr>
      <w:tr w14:paraId="1546F020">
        <w:tblPrEx>
          <w:tblCellMar>
            <w:top w:w="0" w:type="dxa"/>
            <w:left w:w="108" w:type="dxa"/>
            <w:bottom w:w="0" w:type="dxa"/>
            <w:right w:w="108" w:type="dxa"/>
          </w:tblCellMar>
        </w:tblPrEx>
        <w:tc>
          <w:p w14:paraId="491EF558">
            <w:pPr>
              <w:pStyle w:val="24"/>
              <w:spacing w:after="0"/>
              <w:jc w:val="left"/>
            </w:pPr>
            <w:r>
              <w:rPr>
                <w:rFonts w:ascii="Aptos" w:hAnsi="Aptos"/>
                <w:color w:val="1F2937"/>
                <w:sz w:val="18"/>
              </w:rPr>
              <w:t>Territorio</w:t>
            </w:r>
          </w:p>
        </w:tc>
        <w:tc>
          <w:p w14:paraId="4030034E">
            <w:pPr>
              <w:pStyle w:val="24"/>
              <w:spacing w:after="0"/>
              <w:jc w:val="left"/>
            </w:pPr>
            <w:r>
              <w:rPr>
                <w:rFonts w:ascii="Aptos" w:hAnsi="Aptos"/>
                <w:color w:val="1F2937"/>
                <w:sz w:val="18"/>
              </w:rPr>
              <w:t>Parcela, geodatos</w:t>
            </w:r>
          </w:p>
        </w:tc>
        <w:tc>
          <w:p w14:paraId="70F16B17">
            <w:pPr>
              <w:pStyle w:val="24"/>
              <w:spacing w:after="0"/>
              <w:jc w:val="left"/>
            </w:pPr>
            <w:r>
              <w:rPr>
                <w:rFonts w:ascii="Aptos" w:hAnsi="Aptos"/>
                <w:color w:val="1F2937"/>
                <w:sz w:val="18"/>
              </w:rPr>
              <w:t>INSPIRE, SIGPAC, SIEX</w:t>
            </w:r>
          </w:p>
        </w:tc>
      </w:tr>
      <w:tr w14:paraId="7EB34D7C">
        <w:tblPrEx>
          <w:tblCellMar>
            <w:top w:w="0" w:type="dxa"/>
            <w:left w:w="108" w:type="dxa"/>
            <w:bottom w:w="0" w:type="dxa"/>
            <w:right w:w="108" w:type="dxa"/>
          </w:tblCellMar>
        </w:tblPrEx>
        <w:tc>
          <w:p w14:paraId="45B97A38">
            <w:pPr>
              <w:pStyle w:val="24"/>
              <w:spacing w:after="0"/>
              <w:jc w:val="left"/>
            </w:pPr>
            <w:r>
              <w:rPr>
                <w:rFonts w:ascii="Aptos" w:hAnsi="Aptos"/>
                <w:color w:val="1F2937"/>
                <w:sz w:val="18"/>
              </w:rPr>
              <w:t>Evidencias (SEV)</w:t>
            </w:r>
          </w:p>
        </w:tc>
        <w:tc>
          <w:p w14:paraId="049F0B31">
            <w:pPr>
              <w:pStyle w:val="24"/>
              <w:spacing w:after="0"/>
              <w:jc w:val="left"/>
            </w:pPr>
            <w:r>
              <w:rPr>
                <w:rFonts w:ascii="Aptos" w:hAnsi="Aptos"/>
                <w:color w:val="1F2937"/>
                <w:sz w:val="18"/>
              </w:rPr>
              <w:t>Verificabilidad transversal</w:t>
            </w:r>
          </w:p>
        </w:tc>
        <w:tc>
          <w:p w14:paraId="393372E4">
            <w:pPr>
              <w:pStyle w:val="24"/>
              <w:spacing w:after="0"/>
              <w:jc w:val="left"/>
            </w:pPr>
            <w:r>
              <w:rPr>
                <w:rFonts w:ascii="Aptos" w:hAnsi="Aptos"/>
                <w:color w:val="1F2937"/>
                <w:sz w:val="18"/>
              </w:rPr>
              <w:t>Git, SHA-256, reviewers</w:t>
            </w:r>
          </w:p>
        </w:tc>
      </w:tr>
    </w:tbl>
    <w:p w14:paraId="304FB5EE">
      <w:pPr>
        <w:pStyle w:val="3"/>
      </w:pPr>
      <w:r>
        <w:rPr>
          <w:rFonts w:ascii="Aptos" w:hAnsi="Aptos"/>
          <w:b/>
          <w:color w:val="1F2937"/>
          <w:sz w:val="21"/>
        </w:rPr>
        <w:t>Secuencia constructiva y coste de violarla.</w:t>
      </w:r>
    </w:p>
    <w:tbl>
      <w:tblPr>
        <w:tblStyle w:val="28"/>
        <w:tblW w:w="5000" w:type="pct"/>
        <w:jc w:val="center"/>
        <w:tblInd w:w="0" w:type="dxa"/>
        <w:tblLayout w:type="fixed"/>
        <w:tblCellMar>
          <w:top w:w="0" w:type="dxa"/>
          <w:left w:w="108" w:type="dxa"/>
          <w:bottom w:w="0" w:type="dxa"/>
          <w:right w:w="108" w:type="dxa"/>
        </w:tblCellMar>
      </w:tblPr>
      <w:tblGrid>
        <w:gridCol w:w="2952"/>
        <w:gridCol w:w="2952"/>
        <w:gridCol w:w="2952"/>
      </w:tblGrid>
      <w:tr w14:paraId="0200DC5E">
        <w:tblPrEx>
          <w:tblCellMar>
            <w:top w:w="0" w:type="dxa"/>
            <w:left w:w="108" w:type="dxa"/>
            <w:bottom w:w="0" w:type="dxa"/>
            <w:right w:w="108" w:type="dxa"/>
          </w:tblCellMar>
        </w:tblPrEx>
        <w:tc>
          <w:tcPr>
            <w:tcW w:w="3120" w:type="dxa"/>
            <w:tcBorders>
              <w:bottom w:val="single" w:color="auto" w:sz="0" w:space="0"/>
            </w:tcBorders>
            <w:vAlign w:val="bottom"/>
          </w:tcPr>
          <w:p w14:paraId="1AF7E7A8">
            <w:pPr>
              <w:pStyle w:val="24"/>
              <w:spacing w:after="0"/>
              <w:jc w:val="left"/>
            </w:pPr>
            <w:r>
              <w:rPr>
                <w:rFonts w:ascii="Aptos" w:hAnsi="Aptos"/>
                <w:color w:val="1F2937"/>
                <w:sz w:val="18"/>
              </w:rPr>
              <w:t>Orden</w:t>
            </w:r>
          </w:p>
        </w:tc>
        <w:tc>
          <w:tcPr>
            <w:tcW w:w="3120" w:type="dxa"/>
            <w:tcBorders>
              <w:bottom w:val="single" w:color="auto" w:sz="0" w:space="0"/>
            </w:tcBorders>
            <w:vAlign w:val="bottom"/>
          </w:tcPr>
          <w:p w14:paraId="172E81BC">
            <w:pPr>
              <w:pStyle w:val="24"/>
              <w:spacing w:after="0"/>
              <w:jc w:val="left"/>
            </w:pPr>
            <w:r>
              <w:rPr>
                <w:rFonts w:ascii="Aptos" w:hAnsi="Aptos"/>
                <w:color w:val="1F2937"/>
                <w:sz w:val="18"/>
              </w:rPr>
              <w:t>Intervención</w:t>
            </w:r>
          </w:p>
        </w:tc>
        <w:tc>
          <w:tcPr>
            <w:tcW w:w="3120" w:type="dxa"/>
            <w:tcBorders>
              <w:bottom w:val="single" w:color="auto" w:sz="0" w:space="0"/>
            </w:tcBorders>
            <w:vAlign w:val="bottom"/>
          </w:tcPr>
          <w:p w14:paraId="1ACCC93D">
            <w:pPr>
              <w:pStyle w:val="24"/>
              <w:spacing w:after="0"/>
              <w:jc w:val="left"/>
            </w:pPr>
            <w:r>
              <w:rPr>
                <w:rFonts w:ascii="Aptos" w:hAnsi="Aptos"/>
                <w:color w:val="1F2937"/>
                <w:sz w:val="18"/>
              </w:rPr>
              <w:t>Justificación técnica</w:t>
            </w:r>
          </w:p>
        </w:tc>
      </w:tr>
      <w:tr w14:paraId="38499A21">
        <w:tblPrEx>
          <w:tblCellMar>
            <w:top w:w="0" w:type="dxa"/>
            <w:left w:w="108" w:type="dxa"/>
            <w:bottom w:w="0" w:type="dxa"/>
            <w:right w:w="108" w:type="dxa"/>
          </w:tblCellMar>
        </w:tblPrEx>
        <w:tc>
          <w:p w14:paraId="086AF8BE">
            <w:pPr>
              <w:pStyle w:val="24"/>
              <w:spacing w:after="0"/>
              <w:jc w:val="left"/>
            </w:pPr>
            <w:r>
              <w:rPr>
                <w:rFonts w:ascii="Aptos" w:hAnsi="Aptos"/>
                <w:color w:val="1F2937"/>
                <w:sz w:val="18"/>
              </w:rPr>
              <w:t>1º</w:t>
            </w:r>
          </w:p>
        </w:tc>
        <w:tc>
          <w:p w14:paraId="0294823F">
            <w:pPr>
              <w:pStyle w:val="24"/>
              <w:spacing w:after="0"/>
              <w:jc w:val="left"/>
            </w:pPr>
            <w:r>
              <w:rPr>
                <w:rFonts w:ascii="Aptos" w:hAnsi="Aptos"/>
                <w:color w:val="1F2937"/>
                <w:sz w:val="18"/>
              </w:rPr>
              <w:t>SaaS + pilotos + ensayos (TRT, geotécnico, módulo terracota, anteproyecto)</w:t>
            </w:r>
          </w:p>
        </w:tc>
        <w:tc>
          <w:p w14:paraId="59F0043B">
            <w:pPr>
              <w:pStyle w:val="24"/>
              <w:spacing w:after="0"/>
              <w:jc w:val="left"/>
            </w:pPr>
            <w:r>
              <w:rPr>
                <w:rFonts w:ascii="Aptos" w:hAnsi="Aptos"/>
                <w:color w:val="1F2937"/>
                <w:sz w:val="18"/>
              </w:rPr>
              <w:t>Sin datos ni modelo, todo dimensionado posterior es especulativo</w:t>
            </w:r>
          </w:p>
        </w:tc>
      </w:tr>
      <w:tr w14:paraId="63D1AE1F">
        <w:tblPrEx>
          <w:tblCellMar>
            <w:top w:w="0" w:type="dxa"/>
            <w:left w:w="108" w:type="dxa"/>
            <w:bottom w:w="0" w:type="dxa"/>
            <w:right w:w="108" w:type="dxa"/>
          </w:tblCellMar>
        </w:tblPrEx>
        <w:tc>
          <w:p w14:paraId="11174E2C">
            <w:pPr>
              <w:pStyle w:val="24"/>
              <w:spacing w:after="0"/>
              <w:jc w:val="left"/>
            </w:pPr>
            <w:r>
              <w:rPr>
                <w:rFonts w:ascii="Aptos" w:hAnsi="Aptos"/>
                <w:color w:val="1F2937"/>
                <w:sz w:val="18"/>
              </w:rPr>
              <w:t>2º</w:t>
            </w:r>
          </w:p>
        </w:tc>
        <w:tc>
          <w:p w14:paraId="61490E40">
            <w:pPr>
              <w:pStyle w:val="24"/>
              <w:spacing w:after="0"/>
              <w:jc w:val="left"/>
            </w:pPr>
            <w:r>
              <w:rPr>
                <w:rFonts w:ascii="Aptos" w:hAnsi="Aptos"/>
                <w:color w:val="1F2937"/>
                <w:sz w:val="18"/>
              </w:rPr>
              <w:t>Sondeos + obra profunda + galería única (con reservas CPD)</w:t>
            </w:r>
          </w:p>
        </w:tc>
        <w:tc>
          <w:p w14:paraId="074167DF">
            <w:pPr>
              <w:pStyle w:val="24"/>
              <w:spacing w:after="0"/>
              <w:jc w:val="left"/>
            </w:pPr>
            <w:r>
              <w:rPr>
                <w:rFonts w:ascii="Aptos" w:hAnsi="Aptos"/>
                <w:color w:val="1F2937"/>
                <w:sz w:val="18"/>
              </w:rPr>
              <w:t>Perforar con estructura encima es inviable</w:t>
            </w:r>
          </w:p>
        </w:tc>
      </w:tr>
      <w:tr w14:paraId="18F67556">
        <w:tblPrEx>
          <w:tblCellMar>
            <w:top w:w="0" w:type="dxa"/>
            <w:left w:w="108" w:type="dxa"/>
            <w:bottom w:w="0" w:type="dxa"/>
            <w:right w:w="108" w:type="dxa"/>
          </w:tblCellMar>
        </w:tblPrEx>
        <w:tc>
          <w:p w14:paraId="5B0CD11A">
            <w:pPr>
              <w:pStyle w:val="24"/>
              <w:spacing w:after="0"/>
              <w:jc w:val="left"/>
            </w:pPr>
            <w:r>
              <w:rPr>
                <w:rFonts w:ascii="Aptos" w:hAnsi="Aptos"/>
                <w:color w:val="1F2937"/>
                <w:sz w:val="18"/>
              </w:rPr>
              <w:t>3º</w:t>
            </w:r>
          </w:p>
        </w:tc>
        <w:tc>
          <w:p w14:paraId="4612F3F3">
            <w:pPr>
              <w:pStyle w:val="24"/>
              <w:spacing w:after="0"/>
              <w:jc w:val="left"/>
            </w:pPr>
            <w:r>
              <w:rPr>
                <w:rFonts w:ascii="Aptos" w:hAnsi="Aptos"/>
                <w:color w:val="1F2937"/>
                <w:sz w:val="18"/>
              </w:rPr>
              <w:t>Invernadero terracota + hidroponía + geotermia operativa</w:t>
            </w:r>
          </w:p>
        </w:tc>
        <w:tc>
          <w:p w14:paraId="100D82A5">
            <w:pPr>
              <w:pStyle w:val="24"/>
              <w:spacing w:after="0"/>
              <w:jc w:val="left"/>
            </w:pPr>
            <w:r>
              <w:rPr>
                <w:rFonts w:ascii="Aptos" w:hAnsi="Aptos"/>
                <w:color w:val="1F2937"/>
                <w:sz w:val="18"/>
              </w:rPr>
              <w:t>La cimentación y los muros definen la geometría</w:t>
            </w:r>
          </w:p>
        </w:tc>
      </w:tr>
      <w:tr w14:paraId="2C31C9E0">
        <w:tblPrEx>
          <w:tblCellMar>
            <w:top w:w="0" w:type="dxa"/>
            <w:left w:w="108" w:type="dxa"/>
            <w:bottom w:w="0" w:type="dxa"/>
            <w:right w:w="108" w:type="dxa"/>
          </w:tblCellMar>
        </w:tblPrEx>
        <w:tc>
          <w:p w14:paraId="3F7653FF">
            <w:pPr>
              <w:pStyle w:val="24"/>
              <w:spacing w:after="0"/>
              <w:jc w:val="left"/>
            </w:pPr>
            <w:r>
              <w:rPr>
                <w:rFonts w:ascii="Aptos" w:hAnsi="Aptos"/>
                <w:color w:val="1F2937"/>
                <w:sz w:val="18"/>
              </w:rPr>
              <w:t>4º</w:t>
            </w:r>
          </w:p>
        </w:tc>
        <w:tc>
          <w:p w14:paraId="668BFDAE">
            <w:pPr>
              <w:pStyle w:val="24"/>
              <w:spacing w:after="0"/>
              <w:jc w:val="left"/>
            </w:pPr>
            <w:r>
              <w:rPr>
                <w:rFonts w:ascii="Aptos" w:hAnsi="Aptos"/>
                <w:color w:val="1F2937"/>
                <w:sz w:val="18"/>
              </w:rPr>
              <w:t>Agrovoltaica sobre anclajes previstos</w:t>
            </w:r>
          </w:p>
        </w:tc>
        <w:tc>
          <w:p w14:paraId="02347434">
            <w:pPr>
              <w:pStyle w:val="24"/>
              <w:spacing w:after="0"/>
              <w:jc w:val="left"/>
            </w:pPr>
            <w:r>
              <w:rPr>
                <w:rFonts w:ascii="Aptos" w:hAnsi="Aptos"/>
                <w:color w:val="1F2937"/>
                <w:sz w:val="18"/>
              </w:rPr>
              <w:t>Sombras sobre cultivo ya caracterizado; sin desmontajes</w:t>
            </w:r>
          </w:p>
        </w:tc>
      </w:tr>
      <w:tr w14:paraId="1EE61758">
        <w:tblPrEx>
          <w:tblCellMar>
            <w:top w:w="0" w:type="dxa"/>
            <w:left w:w="108" w:type="dxa"/>
            <w:bottom w:w="0" w:type="dxa"/>
            <w:right w:w="108" w:type="dxa"/>
          </w:tblCellMar>
        </w:tblPrEx>
        <w:tc>
          <w:p w14:paraId="25EFF3BE">
            <w:pPr>
              <w:pStyle w:val="24"/>
              <w:spacing w:after="0"/>
              <w:jc w:val="left"/>
            </w:pPr>
            <w:r>
              <w:rPr>
                <w:rFonts w:ascii="Aptos" w:hAnsi="Aptos"/>
                <w:color w:val="1F2937"/>
                <w:sz w:val="18"/>
              </w:rPr>
              <w:t>5º</w:t>
            </w:r>
          </w:p>
        </w:tc>
        <w:tc>
          <w:p w14:paraId="26CD4A37">
            <w:pPr>
              <w:pStyle w:val="24"/>
              <w:spacing w:after="0"/>
              <w:jc w:val="left"/>
            </w:pPr>
            <w:r>
              <w:rPr>
                <w:rFonts w:ascii="Aptos" w:hAnsi="Aptos"/>
                <w:color w:val="1F2937"/>
                <w:sz w:val="18"/>
              </w:rPr>
              <w:t>CPD solo tras evaluación positiva</w:t>
            </w:r>
          </w:p>
        </w:tc>
        <w:tc>
          <w:p w14:paraId="7DA91D9D">
            <w:pPr>
              <w:pStyle w:val="24"/>
              <w:spacing w:after="0"/>
              <w:jc w:val="left"/>
            </w:pPr>
            <w:r>
              <w:rPr>
                <w:rFonts w:ascii="Aptos" w:hAnsi="Aptos"/>
                <w:color w:val="1F2937"/>
                <w:sz w:val="18"/>
              </w:rPr>
              <w:t>Barato de añadir tarde, caro de improvisar pronto</w:t>
            </w:r>
          </w:p>
        </w:tc>
      </w:tr>
    </w:tbl>
    <w:p w14:paraId="5A48F7F4">
      <w:pPr>
        <w:pStyle w:val="3"/>
      </w:pPr>
      <w:r>
        <w:rPr>
          <w:rFonts w:ascii="Aptos" w:hAnsi="Aptos"/>
          <w:color w:val="1F2937"/>
          <w:sz w:val="21"/>
        </w:rPr>
        <w:t>Coste del orden incorrecto (FV primero): 340–550 k€ y 6–12 meses de retraso.</w:t>
      </w:r>
    </w:p>
    <w:p w14:paraId="2AFD236E">
      <w:pPr>
        <w:pStyle w:val="4"/>
      </w:pPr>
      <w:bookmarkStart w:id="16" w:name="X94a48fa1e3d908830fdacad1b595c1a4dfc7b04"/>
      <w:r>
        <w:rPr>
          <w:rFonts w:ascii="Aptos Display" w:hAnsi="Aptos Display"/>
          <w:b/>
          <w:color w:val="174A2E"/>
          <w:sz w:val="21"/>
        </w:rPr>
        <w:t>3.5. Desarrollo ampliado — SaaS, IoT y arquitectura de datos</w:t>
      </w:r>
      <w:bookmarkEnd w:id="16"/>
    </w:p>
    <w:p w14:paraId="77E8159F">
      <w:pPr>
        <w:pStyle w:val="23"/>
      </w:pPr>
      <w:r>
        <w:rPr>
          <w:rFonts w:ascii="Aptos" w:hAnsi="Aptos"/>
          <w:b/>
          <w:color w:val="1F2937"/>
          <w:sz w:val="21"/>
        </w:rPr>
        <w:t>La plataforma SaaS (núcleo implementado candidato a TRL 6; TRL 7 condicionado a piloto y evidencia externa).</w:t>
      </w:r>
      <w:r>
        <w:rPr>
          <w:rFonts w:ascii="Aptos" w:hAnsi="Aptos"/>
          <w:color w:val="1F2937"/>
          <w:sz w:val="21"/>
        </w:rPr>
        <w:t xml:space="preserve"> Backend API en Python, base de datos PostgreSQL, despliegue en contenedores. Seis dominios funcionales: trazabilidad de lotes con registro inmutable; cuaderno de campo digital (SIEX); control ambiental y de fertirrigación; gestión energética; economía por unidad productiva; cuadros de mando por rol. Es la primera fase por su menor CAPEX y riesgo, porque genera ingresos antes de que exista obra y porque </w:t>
      </w:r>
      <w:r>
        <w:rPr>
          <w:rFonts w:ascii="Aptos" w:hAnsi="Aptos"/>
          <w:b/>
          <w:color w:val="1F2937"/>
          <w:sz w:val="21"/>
        </w:rPr>
        <w:t>define el contrato de datos</w:t>
      </w:r>
      <w:r>
        <w:rPr>
          <w:rFonts w:ascii="Aptos" w:hAnsi="Aptos"/>
          <w:color w:val="1F2937"/>
          <w:sz w:val="21"/>
        </w:rPr>
        <w:t xml:space="preserve"> que toda la infraestructura posterior debe cumplir. Margen bruto &gt;70 %.</w:t>
      </w:r>
    </w:p>
    <w:p w14:paraId="4F44BDF2">
      <w:pPr>
        <w:pStyle w:val="3"/>
      </w:pPr>
      <w:r>
        <w:rPr>
          <w:rFonts w:ascii="Aptos" w:hAnsi="Aptos"/>
          <w:b/>
          <w:color w:val="1F2937"/>
          <w:sz w:val="21"/>
        </w:rPr>
        <w:t>Modelo de datos (NGSI-LD).</w:t>
      </w:r>
      <w:r>
        <w:rPr>
          <w:rFonts w:ascii="Aptos" w:hAnsi="Aptos"/>
          <w:color w:val="1F2937"/>
          <w:sz w:val="21"/>
        </w:rPr>
        <w:t xml:space="preserve"> Entidades (parcela, lote, sensor, equipo, contador, campaña) con relaciones tipadas; integración con SIEX/cuaderno digital, SIGPAC y fuentes abiertas (AEMET, Datadis); interoperabilidad INSPIRE.</w:t>
      </w:r>
    </w:p>
    <w:p w14:paraId="7871C6FB">
      <w:pPr>
        <w:pStyle w:val="3"/>
      </w:pPr>
      <w:r>
        <w:rPr>
          <w:rFonts w:ascii="Aptos" w:hAnsi="Aptos"/>
          <w:b/>
          <w:color w:val="1F2937"/>
          <w:sz w:val="21"/>
        </w:rPr>
        <w:t>Edge y separación OT/IT.</w:t>
      </w:r>
      <w:r>
        <w:rPr>
          <w:rFonts w:ascii="Aptos" w:hAnsi="Aptos"/>
          <w:color w:val="1F2937"/>
          <w:sz w:val="21"/>
        </w:rPr>
        <w:t xml:space="preserve"> El control del invernadero es autónomo; el cloud añade análisis, no dependencia. La red de control (OT) se segmenta de la de gestión (IT) según IEC 62443; la OT no es alcanzable desde Internet.</w:t>
      </w:r>
    </w:p>
    <w:p w14:paraId="4B96F8B0">
      <w:pPr>
        <w:pStyle w:val="3"/>
      </w:pPr>
      <w:r>
        <w:rPr>
          <w:rFonts w:ascii="Aptos" w:hAnsi="Aptos"/>
          <w:b/>
          <w:color w:val="1F2937"/>
          <w:sz w:val="21"/>
        </w:rPr>
        <w:t>CI/CD, SBOM y calidad.</w:t>
      </w:r>
      <w:r>
        <w:rPr>
          <w:rFonts w:ascii="Aptos" w:hAnsi="Aptos"/>
          <w:color w:val="1F2937"/>
          <w:sz w:val="21"/>
        </w:rPr>
        <w:t xml:space="preserve"> Integración/entrega continua; SBOM desde el primer commit (Cyber Resilience Act por construcción); entornos </w:t>
      </w:r>
      <w:r>
        <w:rPr>
          <w:rStyle w:val="35"/>
          <w:rFonts w:ascii="Aptos" w:hAnsi="Aptos"/>
          <w:color w:val="1F2937"/>
          <w:sz w:val="21"/>
        </w:rPr>
        <w:t>/evaluation-environment</w:t>
      </w:r>
      <w:r>
        <w:rPr>
          <w:rFonts w:ascii="Aptos" w:hAnsi="Aptos"/>
          <w:color w:val="1F2937"/>
          <w:sz w:val="21"/>
        </w:rPr>
        <w:t>, pre-producción y producción; pruebas unitarias, de integración y de regresión.</w:t>
      </w:r>
    </w:p>
    <w:p w14:paraId="5A8AF70C">
      <w:pPr>
        <w:pStyle w:val="3"/>
      </w:pPr>
      <w:r>
        <w:rPr>
          <w:rFonts w:ascii="Aptos" w:hAnsi="Aptos"/>
          <w:b/>
          <w:color w:val="1F2937"/>
          <w:sz w:val="21"/>
        </w:rPr>
        <w:t>Escalado con la demanda.</w:t>
      </w:r>
      <w:r>
        <w:rPr>
          <w:rFonts w:ascii="Aptos" w:hAnsi="Aptos"/>
          <w:color w:val="1F2937"/>
          <w:sz w:val="21"/>
        </w:rPr>
        <w:t xml:space="preserve"> Arquitectura multi-tenant sobre contenedores: escalado horizontal sin cambio de arquitectura en todo el rango del plan (10–40 clientes) y muy por encima; el coste marginal por cliente adicional es bajo, lo que sostiene el margen bruto &gt;70 %. </w:t>
      </w:r>
      <w:r>
        <w:rPr>
          <w:rFonts w:ascii="Aptos" w:hAnsi="Aptos"/>
          <w:b/>
          <w:color w:val="1F2937"/>
          <w:sz w:val="21"/>
        </w:rPr>
        <w:t>Matiz de caja:</w:t>
      </w:r>
      <w:r>
        <w:rPr>
          <w:rFonts w:ascii="Aptos" w:hAnsi="Aptos"/>
          <w:color w:val="1F2937"/>
          <w:sz w:val="21"/>
        </w:rPr>
        <w:t xml:space="preserve"> la línea de software factura desde los primeros pilotos remunerados de la Fase 1 y no necesita obra para crecer.</w:t>
      </w:r>
    </w:p>
    <w:p w14:paraId="113EF371">
      <w:pPr>
        <w:pStyle w:val="3"/>
      </w:pPr>
      <w:r>
        <w:rPr>
          <w:rFonts w:ascii="Aptos" w:hAnsi="Aptos"/>
          <w:b/>
          <w:color w:val="1F2937"/>
          <w:sz w:val="21"/>
        </w:rPr>
        <w:t>Almacenamiento de datos: capacidad crítica transversal.</w:t>
      </w:r>
      <w:r>
        <w:rPr>
          <w:rFonts w:ascii="Aptos" w:hAnsi="Aptos"/>
          <w:color w:val="1F2937"/>
          <w:sz w:val="21"/>
        </w:rPr>
        <w:t xml:space="preserve"> El dato no solo se guarda: se audita, se versiona y se trazabiliza. El almacenamiento sostiene el SaaS y, además, la custodia de evidencias, los repositorios de telemetría, las series temporales, los archivos de validación y la trazabilidad histórica; es </w:t>
      </w:r>
      <w:r>
        <w:rPr>
          <w:rFonts w:ascii="Aptos" w:hAnsi="Aptos"/>
          <w:b/>
          <w:color w:val="1F2937"/>
          <w:sz w:val="21"/>
        </w:rPr>
        <w:t>condición de posibilidad</w:t>
      </w:r>
      <w:r>
        <w:rPr>
          <w:rFonts w:ascii="Aptos" w:hAnsi="Aptos"/>
          <w:color w:val="1F2937"/>
          <w:sz w:val="21"/>
        </w:rPr>
        <w:t xml:space="preserve"> de la analítica, la IA y el futuro gemelo digital. Su ampliación a gran escala es Plano C (§4.3.6), pero su versión operativa ya opera en la Fase 1.</w:t>
      </w:r>
    </w:p>
    <w:p w14:paraId="55515112">
      <w:pPr>
        <w:pStyle w:val="4"/>
      </w:pPr>
      <w:bookmarkStart w:id="17" w:name="Xdcb429dbfa3bac04a3a45f0461047badba2a9fa"/>
      <w:r>
        <w:rPr>
          <w:rFonts w:ascii="Aptos Display" w:hAnsi="Aptos Display"/>
          <w:b/>
          <w:color w:val="174A2E"/>
          <w:sz w:val="21"/>
        </w:rPr>
        <w:t>3.6. Desarrollo ampliado — Inteligencia artificial (SABIONDA) y gemelo digital</w:t>
      </w:r>
      <w:bookmarkEnd w:id="17"/>
    </w:p>
    <w:p w14:paraId="4B101D8D">
      <w:pPr>
        <w:pStyle w:val="23"/>
      </w:pPr>
      <w:r>
        <w:rPr>
          <w:rFonts w:ascii="Aptos" w:hAnsi="Aptos"/>
          <w:b/>
          <w:color w:val="1F2937"/>
          <w:sz w:val="21"/>
        </w:rPr>
        <w:t>Qué hará SABIONDA por el usuario:</w:t>
      </w:r>
      <w:r>
        <w:rPr>
          <w:rFonts w:ascii="Aptos" w:hAnsi="Aptos"/>
          <w:color w:val="1F2937"/>
          <w:sz w:val="21"/>
        </w:rPr>
        <w:t xml:space="preserve"> anticipar el riego a partir de la previsión meteorológica y la humedad medida; avisar de anomalías antes de que cuesten dinero; y desplazar cargas eléctricas a las horas de sol propio. Los porcentajes de mejora no se prometen: se medirán sobre la línea base de cada explotación piloto y se publicarán con su evidencia.</w:t>
      </w:r>
    </w:p>
    <w:tbl>
      <w:tblPr>
        <w:tblStyle w:val="28"/>
        <w:tblW w:w="5000" w:type="pct"/>
        <w:jc w:val="center"/>
        <w:tblInd w:w="0" w:type="dxa"/>
        <w:tblLayout w:type="fixed"/>
        <w:tblCellMar>
          <w:top w:w="0" w:type="dxa"/>
          <w:left w:w="108" w:type="dxa"/>
          <w:bottom w:w="0" w:type="dxa"/>
          <w:right w:w="108" w:type="dxa"/>
        </w:tblCellMar>
      </w:tblPr>
      <w:tblGrid>
        <w:gridCol w:w="2214"/>
        <w:gridCol w:w="2214"/>
        <w:gridCol w:w="2214"/>
        <w:gridCol w:w="2214"/>
      </w:tblGrid>
      <w:tr w14:paraId="12EC1426">
        <w:tblPrEx>
          <w:tblCellMar>
            <w:top w:w="0" w:type="dxa"/>
            <w:left w:w="108" w:type="dxa"/>
            <w:bottom w:w="0" w:type="dxa"/>
            <w:right w:w="108" w:type="dxa"/>
          </w:tblCellMar>
        </w:tblPrEx>
        <w:tc>
          <w:tcPr>
            <w:tcW w:w="2340" w:type="dxa"/>
            <w:tcBorders>
              <w:bottom w:val="single" w:color="auto" w:sz="0" w:space="0"/>
            </w:tcBorders>
            <w:vAlign w:val="bottom"/>
          </w:tcPr>
          <w:p w14:paraId="3FA2C67B">
            <w:pPr>
              <w:pStyle w:val="24"/>
              <w:spacing w:after="0"/>
              <w:jc w:val="left"/>
            </w:pPr>
            <w:r>
              <w:rPr>
                <w:rFonts w:ascii="Aptos" w:hAnsi="Aptos"/>
                <w:color w:val="1F2937"/>
                <w:sz w:val="18"/>
              </w:rPr>
              <w:t>Caso de uso</w:t>
            </w:r>
          </w:p>
        </w:tc>
        <w:tc>
          <w:tcPr>
            <w:tcW w:w="2340" w:type="dxa"/>
            <w:tcBorders>
              <w:bottom w:val="single" w:color="auto" w:sz="0" w:space="0"/>
            </w:tcBorders>
            <w:vAlign w:val="bottom"/>
          </w:tcPr>
          <w:p w14:paraId="2EE985EA">
            <w:pPr>
              <w:pStyle w:val="24"/>
              <w:spacing w:after="0"/>
              <w:jc w:val="left"/>
            </w:pPr>
            <w:r>
              <w:rPr>
                <w:rFonts w:ascii="Aptos" w:hAnsi="Aptos"/>
                <w:color w:val="1F2937"/>
                <w:sz w:val="18"/>
              </w:rPr>
              <w:t>Entrada</w:t>
            </w:r>
          </w:p>
        </w:tc>
        <w:tc>
          <w:tcPr>
            <w:tcW w:w="2340" w:type="dxa"/>
            <w:tcBorders>
              <w:bottom w:val="single" w:color="auto" w:sz="0" w:space="0"/>
            </w:tcBorders>
            <w:vAlign w:val="bottom"/>
          </w:tcPr>
          <w:p w14:paraId="2B5145EB">
            <w:pPr>
              <w:pStyle w:val="24"/>
              <w:spacing w:after="0"/>
              <w:jc w:val="left"/>
            </w:pPr>
            <w:r>
              <w:rPr>
                <w:rFonts w:ascii="Aptos" w:hAnsi="Aptos"/>
                <w:color w:val="1F2937"/>
                <w:sz w:val="18"/>
              </w:rPr>
              <w:t>Salida</w:t>
            </w:r>
          </w:p>
        </w:tc>
        <w:tc>
          <w:tcPr>
            <w:tcW w:w="2340" w:type="dxa"/>
            <w:tcBorders>
              <w:bottom w:val="single" w:color="auto" w:sz="0" w:space="0"/>
            </w:tcBorders>
            <w:vAlign w:val="bottom"/>
          </w:tcPr>
          <w:p w14:paraId="4A463E5F">
            <w:pPr>
              <w:pStyle w:val="24"/>
              <w:spacing w:after="0"/>
              <w:jc w:val="left"/>
            </w:pPr>
            <w:r>
              <w:rPr>
                <w:rFonts w:ascii="Aptos" w:hAnsi="Aptos"/>
                <w:color w:val="1F2937"/>
                <w:sz w:val="18"/>
              </w:rPr>
              <w:t>Madurez</w:t>
            </w:r>
          </w:p>
        </w:tc>
      </w:tr>
      <w:tr w14:paraId="16DC53B0">
        <w:tblPrEx>
          <w:tblCellMar>
            <w:top w:w="0" w:type="dxa"/>
            <w:left w:w="108" w:type="dxa"/>
            <w:bottom w:w="0" w:type="dxa"/>
            <w:right w:w="108" w:type="dxa"/>
          </w:tblCellMar>
        </w:tblPrEx>
        <w:tc>
          <w:p w14:paraId="1DD09161">
            <w:pPr>
              <w:pStyle w:val="24"/>
              <w:spacing w:after="0"/>
              <w:jc w:val="left"/>
            </w:pPr>
            <w:r>
              <w:rPr>
                <w:rFonts w:ascii="Aptos" w:hAnsi="Aptos"/>
                <w:color w:val="1F2937"/>
                <w:sz w:val="18"/>
              </w:rPr>
              <w:t>Predicción de demanda térmica</w:t>
            </w:r>
          </w:p>
        </w:tc>
        <w:tc>
          <w:p w14:paraId="7FFC4E31">
            <w:pPr>
              <w:pStyle w:val="24"/>
              <w:spacing w:after="0"/>
              <w:jc w:val="left"/>
            </w:pPr>
            <w:r>
              <w:rPr>
                <w:rFonts w:ascii="Aptos" w:hAnsi="Aptos"/>
                <w:color w:val="1F2937"/>
                <w:sz w:val="18"/>
              </w:rPr>
              <w:t>Meteo (AEMET) + histórico</w:t>
            </w:r>
          </w:p>
        </w:tc>
        <w:tc>
          <w:p w14:paraId="5338A765">
            <w:pPr>
              <w:pStyle w:val="24"/>
              <w:spacing w:after="0"/>
              <w:jc w:val="left"/>
            </w:pPr>
            <w:r>
              <w:rPr>
                <w:rFonts w:ascii="Aptos" w:hAnsi="Aptos"/>
                <w:color w:val="1F2937"/>
                <w:sz w:val="18"/>
              </w:rPr>
              <w:t>Consigna anticipada de clima</w:t>
            </w:r>
          </w:p>
        </w:tc>
        <w:tc>
          <w:p w14:paraId="20E898DE">
            <w:pPr>
              <w:pStyle w:val="24"/>
              <w:spacing w:after="0"/>
              <w:jc w:val="left"/>
            </w:pPr>
            <w:r>
              <w:rPr>
                <w:rFonts w:ascii="Aptos" w:hAnsi="Aptos"/>
                <w:color w:val="1F2937"/>
                <w:sz w:val="18"/>
              </w:rPr>
              <w:t>TRL 5–6</w:t>
            </w:r>
          </w:p>
        </w:tc>
      </w:tr>
      <w:tr w14:paraId="7C57936B">
        <w:tblPrEx>
          <w:tblCellMar>
            <w:top w:w="0" w:type="dxa"/>
            <w:left w:w="108" w:type="dxa"/>
            <w:bottom w:w="0" w:type="dxa"/>
            <w:right w:w="108" w:type="dxa"/>
          </w:tblCellMar>
        </w:tblPrEx>
        <w:tc>
          <w:p w14:paraId="32D75EA4">
            <w:pPr>
              <w:pStyle w:val="24"/>
              <w:spacing w:after="0"/>
              <w:jc w:val="left"/>
            </w:pPr>
            <w:r>
              <w:rPr>
                <w:rFonts w:ascii="Aptos" w:hAnsi="Aptos"/>
                <w:color w:val="1F2937"/>
                <w:sz w:val="18"/>
              </w:rPr>
              <w:t>Optimización de cargas</w:t>
            </w:r>
          </w:p>
        </w:tc>
        <w:tc>
          <w:p w14:paraId="0FCF6F16">
            <w:pPr>
              <w:pStyle w:val="24"/>
              <w:spacing w:after="0"/>
              <w:jc w:val="left"/>
            </w:pPr>
            <w:r>
              <w:rPr>
                <w:rFonts w:ascii="Aptos" w:hAnsi="Aptos"/>
                <w:color w:val="1F2937"/>
                <w:sz w:val="18"/>
              </w:rPr>
              <w:t>Generación FV prevista + tarifas</w:t>
            </w:r>
          </w:p>
        </w:tc>
        <w:tc>
          <w:p w14:paraId="5A5A8933">
            <w:pPr>
              <w:pStyle w:val="24"/>
              <w:spacing w:after="0"/>
              <w:jc w:val="left"/>
            </w:pPr>
            <w:r>
              <w:rPr>
                <w:rFonts w:ascii="Aptos" w:hAnsi="Aptos"/>
                <w:color w:val="1F2937"/>
                <w:sz w:val="18"/>
              </w:rPr>
              <w:t>Plan diario de bombeo/clima/CPD</w:t>
            </w:r>
          </w:p>
        </w:tc>
        <w:tc>
          <w:p w14:paraId="4784C4AE">
            <w:pPr>
              <w:pStyle w:val="24"/>
              <w:spacing w:after="0"/>
              <w:jc w:val="left"/>
            </w:pPr>
            <w:r>
              <w:rPr>
                <w:rFonts w:ascii="Aptos" w:hAnsi="Aptos"/>
                <w:color w:val="1F2937"/>
                <w:sz w:val="18"/>
              </w:rPr>
              <w:t>TRL 5–6</w:t>
            </w:r>
          </w:p>
        </w:tc>
      </w:tr>
      <w:tr w14:paraId="71CF3459">
        <w:tblPrEx>
          <w:tblCellMar>
            <w:top w:w="0" w:type="dxa"/>
            <w:left w:w="108" w:type="dxa"/>
            <w:bottom w:w="0" w:type="dxa"/>
            <w:right w:w="108" w:type="dxa"/>
          </w:tblCellMar>
        </w:tblPrEx>
        <w:tc>
          <w:p w14:paraId="6B7B087C">
            <w:pPr>
              <w:pStyle w:val="24"/>
              <w:spacing w:after="0"/>
              <w:jc w:val="left"/>
            </w:pPr>
            <w:r>
              <w:rPr>
                <w:rFonts w:ascii="Aptos" w:hAnsi="Aptos"/>
                <w:color w:val="1F2937"/>
                <w:sz w:val="18"/>
              </w:rPr>
              <w:t>Detección de anomalías</w:t>
            </w:r>
          </w:p>
        </w:tc>
        <w:tc>
          <w:p w14:paraId="24E69D0D">
            <w:pPr>
              <w:pStyle w:val="24"/>
              <w:spacing w:after="0"/>
              <w:jc w:val="left"/>
            </w:pPr>
            <w:r>
              <w:rPr>
                <w:rFonts w:ascii="Aptos" w:hAnsi="Aptos"/>
                <w:color w:val="1F2937"/>
                <w:sz w:val="18"/>
              </w:rPr>
              <w:t>Series de sensores</w:t>
            </w:r>
          </w:p>
        </w:tc>
        <w:tc>
          <w:p w14:paraId="44975881">
            <w:pPr>
              <w:pStyle w:val="24"/>
              <w:spacing w:after="0"/>
              <w:jc w:val="left"/>
            </w:pPr>
            <w:r>
              <w:rPr>
                <w:rFonts w:ascii="Aptos" w:hAnsi="Aptos"/>
                <w:color w:val="1F2937"/>
                <w:sz w:val="18"/>
              </w:rPr>
              <w:t>Alertas tempranas</w:t>
            </w:r>
          </w:p>
        </w:tc>
        <w:tc>
          <w:p w14:paraId="5B0DF82F">
            <w:pPr>
              <w:pStyle w:val="24"/>
              <w:spacing w:after="0"/>
              <w:jc w:val="left"/>
            </w:pPr>
            <w:r>
              <w:rPr>
                <w:rFonts w:ascii="Aptos" w:hAnsi="Aptos"/>
                <w:color w:val="1F2937"/>
                <w:sz w:val="18"/>
              </w:rPr>
              <w:t>TRL 5–6</w:t>
            </w:r>
          </w:p>
        </w:tc>
      </w:tr>
      <w:tr w14:paraId="2FE14B62">
        <w:tblPrEx>
          <w:tblCellMar>
            <w:top w:w="0" w:type="dxa"/>
            <w:left w:w="108" w:type="dxa"/>
            <w:bottom w:w="0" w:type="dxa"/>
            <w:right w:w="108" w:type="dxa"/>
          </w:tblCellMar>
        </w:tblPrEx>
        <w:tc>
          <w:p w14:paraId="4E6CFDD2">
            <w:pPr>
              <w:pStyle w:val="24"/>
              <w:spacing w:after="0"/>
              <w:jc w:val="left"/>
            </w:pPr>
            <w:r>
              <w:rPr>
                <w:rFonts w:ascii="Aptos" w:hAnsi="Aptos"/>
                <w:color w:val="1F2937"/>
                <w:sz w:val="18"/>
              </w:rPr>
              <w:t>Predicción de rendimiento</w:t>
            </w:r>
          </w:p>
        </w:tc>
        <w:tc>
          <w:p w14:paraId="7C3C8B86">
            <w:pPr>
              <w:pStyle w:val="24"/>
              <w:spacing w:after="0"/>
              <w:jc w:val="left"/>
            </w:pPr>
            <w:r>
              <w:rPr>
                <w:rFonts w:ascii="Aptos" w:hAnsi="Aptos"/>
                <w:color w:val="1F2937"/>
                <w:sz w:val="18"/>
              </w:rPr>
              <w:t>Estado del cultivo + clima</w:t>
            </w:r>
          </w:p>
        </w:tc>
        <w:tc>
          <w:p w14:paraId="7A08B69E">
            <w:pPr>
              <w:pStyle w:val="24"/>
              <w:spacing w:after="0"/>
              <w:jc w:val="left"/>
            </w:pPr>
            <w:r>
              <w:rPr>
                <w:rFonts w:ascii="Aptos" w:hAnsi="Aptos"/>
                <w:color w:val="1F2937"/>
                <w:sz w:val="18"/>
              </w:rPr>
              <w:t>Ajuste de calendario y ventas</w:t>
            </w:r>
          </w:p>
        </w:tc>
        <w:tc>
          <w:p w14:paraId="17D4B2D0">
            <w:pPr>
              <w:pStyle w:val="24"/>
              <w:spacing w:after="0"/>
              <w:jc w:val="left"/>
            </w:pPr>
            <w:r>
              <w:rPr>
                <w:rFonts w:ascii="Aptos" w:hAnsi="Aptos"/>
                <w:color w:val="1F2937"/>
                <w:sz w:val="18"/>
              </w:rPr>
              <w:t>TRL 4–5</w:t>
            </w:r>
          </w:p>
        </w:tc>
      </w:tr>
      <w:tr w14:paraId="53AFFCB0">
        <w:tblPrEx>
          <w:tblCellMar>
            <w:top w:w="0" w:type="dxa"/>
            <w:left w:w="108" w:type="dxa"/>
            <w:bottom w:w="0" w:type="dxa"/>
            <w:right w:w="108" w:type="dxa"/>
          </w:tblCellMar>
        </w:tblPrEx>
        <w:tc>
          <w:p w14:paraId="0B3B72F1">
            <w:pPr>
              <w:pStyle w:val="24"/>
              <w:spacing w:after="0"/>
              <w:jc w:val="left"/>
            </w:pPr>
            <w:r>
              <w:rPr>
                <w:rFonts w:ascii="Aptos" w:hAnsi="Aptos"/>
                <w:color w:val="1F2937"/>
                <w:sz w:val="18"/>
              </w:rPr>
              <w:t>Mantenimiento predictivo</w:t>
            </w:r>
          </w:p>
        </w:tc>
        <w:tc>
          <w:p w14:paraId="16BF53B0">
            <w:pPr>
              <w:pStyle w:val="24"/>
              <w:spacing w:after="0"/>
              <w:jc w:val="left"/>
            </w:pPr>
            <w:r>
              <w:rPr>
                <w:rFonts w:ascii="Aptos" w:hAnsi="Aptos"/>
                <w:color w:val="1F2937"/>
                <w:sz w:val="18"/>
              </w:rPr>
              <w:t>Vibración/consumo</w:t>
            </w:r>
          </w:p>
        </w:tc>
        <w:tc>
          <w:p w14:paraId="1008535F">
            <w:pPr>
              <w:pStyle w:val="24"/>
              <w:spacing w:after="0"/>
              <w:jc w:val="left"/>
            </w:pPr>
            <w:r>
              <w:rPr>
                <w:rFonts w:ascii="Aptos" w:hAnsi="Aptos"/>
                <w:color w:val="1F2937"/>
                <w:sz w:val="18"/>
              </w:rPr>
              <w:t>Orden de trabajo anticipada</w:t>
            </w:r>
          </w:p>
        </w:tc>
        <w:tc>
          <w:p w14:paraId="6AFA345A">
            <w:pPr>
              <w:pStyle w:val="24"/>
              <w:spacing w:after="0"/>
              <w:jc w:val="left"/>
            </w:pPr>
            <w:r>
              <w:rPr>
                <w:rFonts w:ascii="Aptos" w:hAnsi="Aptos"/>
                <w:color w:val="1F2937"/>
                <w:sz w:val="18"/>
              </w:rPr>
              <w:t>TRL 4–5</w:t>
            </w:r>
          </w:p>
        </w:tc>
      </w:tr>
    </w:tbl>
    <w:p w14:paraId="1E99CE36">
      <w:pPr>
        <w:pStyle w:val="3"/>
      </w:pPr>
      <w:r>
        <w:rPr>
          <w:rFonts w:ascii="Aptos" w:hAnsi="Aptos"/>
          <w:b/>
          <w:color w:val="1F2937"/>
          <w:sz w:val="21"/>
        </w:rPr>
        <w:t>Gobernanza de la IA (EU AI Act).</w:t>
      </w:r>
      <w:r>
        <w:rPr>
          <w:rFonts w:ascii="Aptos" w:hAnsi="Aptos"/>
          <w:color w:val="1F2937"/>
          <w:sz w:val="21"/>
        </w:rPr>
        <w:t xml:space="preserve"> Clasificación preliminar: riesgo mínimo o limitado. Compromisos: supervisión humana en toda actuación con impacto físico o económico; registro y versionado de modelos; transparencia sobre predicción vs. dato medido; revisión en cada Gate. </w:t>
      </w:r>
      <w:r>
        <w:rPr>
          <w:rFonts w:ascii="Aptos" w:hAnsi="Aptos"/>
          <w:b/>
          <w:color w:val="1F2937"/>
          <w:sz w:val="21"/>
        </w:rPr>
        <w:t>Los beneficios cuantificados del plan económico no incluyen mejoras por IA:</w:t>
      </w:r>
      <w:r>
        <w:rPr>
          <w:rFonts w:ascii="Aptos" w:hAnsi="Aptos"/>
          <w:color w:val="1F2937"/>
          <w:sz w:val="21"/>
        </w:rPr>
        <w:t xml:space="preserve"> cualquier ganancia será margen adicional, no supuesto de viabilidad.</w:t>
      </w:r>
    </w:p>
    <w:p w14:paraId="319BB385">
      <w:pPr>
        <w:pStyle w:val="3"/>
      </w:pPr>
      <w:r>
        <w:rPr>
          <w:rFonts w:ascii="Aptos" w:hAnsi="Aptos"/>
          <w:b/>
          <w:color w:val="1F2937"/>
          <w:sz w:val="21"/>
        </w:rPr>
        <w:t>Gemelo digital.</w:t>
      </w:r>
      <w:r>
        <w:rPr>
          <w:rFonts w:ascii="Aptos" w:hAnsi="Aptos"/>
          <w:color w:val="1F2937"/>
          <w:sz w:val="21"/>
        </w:rPr>
        <w:t xml:space="preserve"> Estado actual TRL 4–5 (existe el diseño del modelo de datos, no el twin). Métrica clave: error relativo simulado-medido por dominio (térmico, hídrico, energético), con objetivo de desviación térmica &lt;20 % como criterio de G3.</w:t>
      </w:r>
    </w:p>
    <w:p w14:paraId="3BCC83CC">
      <w:pPr>
        <w:pStyle w:val="4"/>
      </w:pPr>
      <w:bookmarkStart w:id="18" w:name="X5178ea7de8ee0212b7999db14e0062aee81693f"/>
      <w:r>
        <w:rPr>
          <w:rFonts w:ascii="Aptos Display" w:hAnsi="Aptos Display"/>
          <w:b/>
          <w:color w:val="174A2E"/>
          <w:sz w:val="21"/>
        </w:rPr>
        <w:t>3.7. Desarrollo ampliado — Sistema Europeo de Evidencias Verificables (SEV)</w:t>
      </w:r>
      <w:bookmarkEnd w:id="18"/>
    </w:p>
    <w:p w14:paraId="4E93A9E3">
      <w:pPr>
        <w:pStyle w:val="23"/>
      </w:pPr>
      <w:r>
        <w:rPr>
          <w:rFonts w:ascii="Aptos" w:hAnsi="Aptos"/>
          <w:color w:val="1F2937"/>
          <w:sz w:val="21"/>
        </w:rPr>
        <w:t xml:space="preserve">El SEV es la capa funcional permanente que permite demostrar cualquier afirmación del proyecto. Junto con la matriz MISV (§7.10) forma el </w:t>
      </w:r>
      <w:r>
        <w:rPr>
          <w:rFonts w:ascii="Aptos" w:hAnsi="Aptos"/>
          <w:b/>
          <w:color w:val="1F2937"/>
          <w:sz w:val="21"/>
        </w:rPr>
        <w:t>MEEV — Modelo de Evidencia Verificable</w:t>
      </w:r>
      <w:r>
        <w:rPr>
          <w:rFonts w:ascii="Aptos" w:hAnsi="Aptos"/>
          <w:color w:val="1F2937"/>
          <w:sz w:val="21"/>
        </w:rPr>
        <w:t>. Repositorio ejecutable (</w:t>
      </w:r>
      <w:r>
        <w:rPr>
          <w:rStyle w:val="35"/>
          <w:rFonts w:ascii="Aptos" w:hAnsi="Aptos"/>
          <w:color w:val="1F2937"/>
          <w:sz w:val="21"/>
        </w:rPr>
        <w:t>sev/</w:t>
      </w:r>
      <w:r>
        <w:rPr>
          <w:rFonts w:ascii="Aptos" w:hAnsi="Aptos"/>
          <w:color w:val="1F2937"/>
          <w:sz w:val="21"/>
        </w:rPr>
        <w:t xml:space="preserve">): 10 artefactos catalogados, validador con esquema (10 cabeceras · 0 errores), verificación de hashes, informe de estado HTML y workflow CI. La regla de honestidad es una compuerta automática: un artefacto marcado </w:t>
      </w:r>
      <w:r>
        <w:rPr>
          <w:rFonts w:ascii="Aptos" w:hAnsi="Aptos"/>
          <w:i/>
          <w:color w:val="1F2937"/>
          <w:sz w:val="21"/>
        </w:rPr>
        <w:t>existe</w:t>
      </w:r>
      <w:r>
        <w:rPr>
          <w:rFonts w:ascii="Aptos" w:hAnsi="Aptos"/>
          <w:color w:val="1F2937"/>
          <w:sz w:val="21"/>
        </w:rPr>
        <w:t xml:space="preserve"> sin hash y firma hace fallar la validación.</w:t>
      </w:r>
    </w:p>
    <w:p w14:paraId="39FD38CB">
      <w:pPr>
        <w:pStyle w:val="3"/>
      </w:pPr>
      <w:r>
        <w:rPr>
          <w:rFonts w:ascii="Aptos" w:hAnsi="Aptos"/>
          <w:b/>
          <w:color w:val="1F2937"/>
          <w:sz w:val="21"/>
        </w:rPr>
        <w:t>Principios.</w:t>
      </w:r>
      <w:r>
        <w:rPr>
          <w:rFonts w:ascii="Aptos" w:hAnsi="Aptos"/>
          <w:color w:val="1F2937"/>
          <w:sz w:val="21"/>
        </w:rPr>
        <w:t xml:space="preserve"> (1) Todo lo afirmado es un artefacto versionado. (2) Integridad por hash SHA-256. (3) Reproducibilidad (datos brutos + scripts). (4) Validación independiente (reviewer registrado). (5) Honestidad de estado (</w:t>
      </w:r>
      <w:r>
        <w:rPr>
          <w:rFonts w:ascii="Aptos" w:hAnsi="Aptos"/>
          <w:i/>
          <w:color w:val="1F2937"/>
          <w:sz w:val="21"/>
        </w:rPr>
        <w:t>existe / parcial / planificado</w:t>
      </w:r>
      <w:r>
        <w:rPr>
          <w:rFonts w:ascii="Aptos" w:hAnsi="Aptos"/>
          <w:color w:val="1F2937"/>
          <w:sz w:val="21"/>
        </w:rPr>
        <w:t>).</w:t>
      </w:r>
    </w:p>
    <w:p w14:paraId="0F84A411">
      <w:pPr>
        <w:pStyle w:val="3"/>
      </w:pPr>
      <w:r>
        <w:rPr>
          <w:rFonts w:ascii="Aptos" w:hAnsi="Aptos"/>
          <w:b/>
          <w:color w:val="1F2937"/>
          <w:sz w:val="21"/>
        </w:rPr>
        <w:t>El Gate como objeto auditable.</w:t>
      </w:r>
      <w:r>
        <w:rPr>
          <w:rFonts w:ascii="Aptos" w:hAnsi="Aptos"/>
          <w:color w:val="1F2937"/>
          <w:sz w:val="21"/>
        </w:rPr>
        <w:t xml:space="preserve"> </w:t>
      </w:r>
      <w:r>
        <w:rPr>
          <w:rStyle w:val="35"/>
          <w:rFonts w:ascii="Aptos" w:hAnsi="Aptos"/>
          <w:color w:val="1F2937"/>
          <w:sz w:val="21"/>
        </w:rPr>
        <w:t>Gate → Hipótesis → Métrica → Ensayo → Raw Data → Scripts → Resultados → Reviewer → Decisión → Tag Git → Publicación</w:t>
      </w:r>
      <w:r>
        <w:rPr>
          <w:rFonts w:ascii="Aptos" w:hAnsi="Aptos"/>
          <w:color w:val="1F2937"/>
          <w:sz w:val="21"/>
        </w:rPr>
        <w:t>. Un tercero puede recorrerlo íntegro.</w:t>
      </w:r>
    </w:p>
    <w:p w14:paraId="3A7BD113">
      <w:pPr>
        <w:pStyle w:val="3"/>
      </w:pPr>
      <w:r>
        <w:rPr>
          <w:rFonts w:ascii="Aptos" w:hAnsi="Aptos"/>
          <w:b/>
          <w:color w:val="1F2937"/>
          <w:sz w:val="21"/>
        </w:rPr>
        <w:t>Fichas de artefacto desarrolladas.</w:t>
      </w:r>
    </w:p>
    <w:p w14:paraId="482123AD">
      <w:pPr>
        <w:pStyle w:val="3"/>
      </w:pPr>
      <w:r>
        <w:rPr>
          <w:rFonts w:ascii="Aptos" w:hAnsi="Aptos"/>
          <w:i/>
          <w:color w:val="1F2937"/>
          <w:sz w:val="21"/>
        </w:rPr>
        <w:t>SEV-F1-MODULO-PROT-001 — Protocolo del módulo terracota 100 m².</w:t>
      </w:r>
      <w:r>
        <w:rPr>
          <w:rFonts w:ascii="Aptos" w:hAnsi="Aptos"/>
          <w:color w:val="1F2937"/>
          <w:sz w:val="21"/>
        </w:rPr>
        <w:t xml:space="preserve"> Tipo/versión: protocol · 1.0.0. Estado: </w:t>
      </w:r>
      <w:r>
        <w:rPr>
          <w:rFonts w:ascii="Aptos" w:hAnsi="Aptos"/>
          <w:b/>
          <w:color w:val="1F2937"/>
          <w:sz w:val="21"/>
        </w:rPr>
        <w:t>Planificado</w:t>
      </w:r>
      <w:r>
        <w:rPr>
          <w:rFonts w:ascii="Aptos" w:hAnsi="Aptos"/>
          <w:color w:val="1F2937"/>
          <w:sz w:val="21"/>
        </w:rPr>
        <w:t xml:space="preserve"> (aún sin datos). Gate que desbloquea: </w:t>
      </w:r>
      <w:r>
        <w:rPr>
          <w:rFonts w:ascii="Aptos" w:hAnsi="Aptos"/>
          <w:b/>
          <w:color w:val="1F2937"/>
          <w:sz w:val="21"/>
        </w:rPr>
        <w:t>G1</w:t>
      </w:r>
      <w:r>
        <w:rPr>
          <w:rFonts w:ascii="Aptos" w:hAnsi="Aptos"/>
          <w:color w:val="1F2937"/>
          <w:sz w:val="21"/>
        </w:rPr>
        <w:t xml:space="preserve">. Es el diseño experimental que valida —o refuta— la única hipótesis no probada que sostiene la física del sistema (reducción térmica 30–45 %). El script deriva tres CTQ: reducción térmica (%), desfase horario y desviación simulado–medido (%). El cierre exige verificación por reviewer independiente y reproducción bajo </w:t>
      </w:r>
      <w:r>
        <w:rPr>
          <w:rFonts w:ascii="Aptos" w:hAnsi="Aptos"/>
          <w:i/>
          <w:color w:val="1F2937"/>
          <w:sz w:val="21"/>
        </w:rPr>
        <w:t>sealed evidence</w:t>
      </w:r>
      <w:r>
        <w:rPr>
          <w:rFonts w:ascii="Aptos" w:hAnsi="Aptos"/>
          <w:color w:val="1F2937"/>
          <w:sz w:val="21"/>
        </w:rPr>
        <w:t>.</w:t>
      </w:r>
    </w:p>
    <w:p w14:paraId="1EAB51DB">
      <w:pPr>
        <w:pStyle w:val="3"/>
      </w:pPr>
      <w:r>
        <w:rPr>
          <w:rFonts w:ascii="Aptos" w:hAnsi="Aptos"/>
          <w:i/>
          <w:color w:val="1F2937"/>
          <w:sz w:val="21"/>
        </w:rPr>
        <w:t>SEV-F1-PIPELINE-001 — Pipeline SEV CI/CD.</w:t>
      </w:r>
      <w:r>
        <w:rPr>
          <w:rFonts w:ascii="Aptos" w:hAnsi="Aptos"/>
          <w:color w:val="1F2937"/>
          <w:sz w:val="21"/>
        </w:rPr>
        <w:t xml:space="preserve"> Tipo/versión: script · 0.2.0. Estado: </w:t>
      </w:r>
      <w:r>
        <w:rPr>
          <w:rFonts w:ascii="Aptos" w:hAnsi="Aptos"/>
          <w:b/>
          <w:color w:val="1F2937"/>
          <w:sz w:val="21"/>
        </w:rPr>
        <w:t>Parcial</w:t>
      </w:r>
      <w:r>
        <w:rPr>
          <w:rFonts w:ascii="Aptos" w:hAnsi="Aptos"/>
          <w:color w:val="1F2937"/>
          <w:sz w:val="21"/>
        </w:rPr>
        <w:t xml:space="preserve"> (operativo en local; falta publicación con hashes, firma y reviewer). Gate: </w:t>
      </w:r>
      <w:r>
        <w:rPr>
          <w:rFonts w:ascii="Aptos" w:hAnsi="Aptos"/>
          <w:b/>
          <w:color w:val="1F2937"/>
          <w:sz w:val="21"/>
        </w:rPr>
        <w:t>G1</w:t>
      </w:r>
      <w:r>
        <w:rPr>
          <w:rFonts w:ascii="Aptos" w:hAnsi="Aptos"/>
          <w:color w:val="1F2937"/>
          <w:sz w:val="21"/>
        </w:rPr>
        <w:t>. Cadena de seis pasos: commit → hash SHA-256 → re-ejecución → reviewer → firma → publicación. El validador corre con 0 errores sobre las 10 cabeceras. Cierre previsto: días 0–7 de la Fase 1.</w:t>
      </w:r>
    </w:p>
    <w:p w14:paraId="0368DB76">
      <w:pPr>
        <w:pStyle w:val="3"/>
      </w:pPr>
      <w:r>
        <w:rPr>
          <w:rFonts w:ascii="Aptos" w:hAnsi="Aptos"/>
          <w:b/>
          <w:color w:val="1F2937"/>
          <w:sz w:val="21"/>
        </w:rPr>
        <w:t>GAIA-chain.</w:t>
      </w:r>
      <w:r>
        <w:rPr>
          <w:rFonts w:ascii="Aptos" w:hAnsi="Aptos"/>
          <w:color w:val="1F2937"/>
          <w:sz w:val="21"/>
        </w:rPr>
        <w:t xml:space="preserve"> Capa de trazabilidad en su forma inicial: repositorio versionado + sellado SHA-256 + matriz de trazabilidad + fichas de Gate + panel de estados. No incluye blockchain en esta fase (opción declarada para cuando el volumen lo justifique). Coste de la capa inicial: 3.000–8.000 €.</w:t>
      </w:r>
    </w:p>
    <w:p w14:paraId="161F62AE">
      <w:pPr>
        <w:pStyle w:val="4"/>
      </w:pPr>
      <w:bookmarkStart w:id="19" w:name="Xc59cebee4c44406118fa78f4877d54c826ac7ee"/>
      <w:r>
        <w:rPr>
          <w:rFonts w:ascii="Aptos Display" w:hAnsi="Aptos Display"/>
          <w:b/>
          <w:color w:val="174A2E"/>
          <w:sz w:val="21"/>
        </w:rPr>
        <w:t xml:space="preserve">3.8. Estado real del desarrollo — repositorio </w:t>
      </w:r>
      <w:r>
        <w:rPr>
          <w:rStyle w:val="35"/>
          <w:rFonts w:ascii="Aptos Display" w:hAnsi="Aptos Display"/>
          <w:b/>
          <w:color w:val="174A2E"/>
          <w:sz w:val="21"/>
        </w:rPr>
        <w:t>Castuo-system</w:t>
      </w:r>
      <w:r>
        <w:rPr>
          <w:rFonts w:ascii="Aptos Display" w:hAnsi="Aptos Display"/>
          <w:b/>
          <w:color w:val="174A2E"/>
          <w:sz w:val="21"/>
        </w:rPr>
        <w:t xml:space="preserve"> (parte técnica)</w:t>
      </w:r>
      <w:bookmarkEnd w:id="19"/>
    </w:p>
    <w:p w14:paraId="344E64DC">
      <w:pPr>
        <w:pStyle w:val="23"/>
      </w:pPr>
      <w:r>
        <w:rPr>
          <w:rFonts w:ascii="Aptos" w:hAnsi="Aptos"/>
          <w:color w:val="1F2937"/>
          <w:sz w:val="21"/>
        </w:rPr>
        <w:t xml:space="preserve">Esta versión incorpora, como parte técnica verificable, el </w:t>
      </w:r>
      <w:r>
        <w:rPr>
          <w:rFonts w:ascii="Aptos" w:hAnsi="Aptos"/>
          <w:b/>
          <w:color w:val="1F2937"/>
          <w:sz w:val="21"/>
        </w:rPr>
        <w:t>estado real del desarrollo de software</w:t>
      </w:r>
      <w:r>
        <w:rPr>
          <w:rFonts w:ascii="Aptos" w:hAnsi="Aptos"/>
          <w:color w:val="1F2937"/>
          <w:sz w:val="21"/>
        </w:rPr>
        <w:t xml:space="preserve"> del proyecto, alojado en el repositorio privado </w:t>
      </w:r>
      <w:r>
        <w:rPr>
          <w:rStyle w:val="35"/>
          <w:rFonts w:ascii="Aptos" w:hAnsi="Aptos"/>
          <w:color w:val="1F2937"/>
          <w:sz w:val="21"/>
        </w:rPr>
        <w:t>Traky12/Castuo-system</w:t>
      </w:r>
      <w:r>
        <w:rPr>
          <w:rFonts w:ascii="Aptos" w:hAnsi="Aptos"/>
          <w:color w:val="1F2937"/>
          <w:sz w:val="21"/>
        </w:rPr>
        <w:t xml:space="preserve"> (web asociada: castuo-system.es). A diferencia de un proyecto en fase de idea, el SaaS de CASTÚO-SYSTEM </w:t>
      </w:r>
      <w:r>
        <w:rPr>
          <w:rFonts w:ascii="Aptos" w:hAnsi="Aptos"/>
          <w:b/>
          <w:color w:val="1F2937"/>
          <w:sz w:val="21"/>
        </w:rPr>
        <w:t>ya existe como núcleo implementado en repositorios y pruebas internas; la calificación de MVP avanzado es una autoevaluación sujeta a validación piloto en integración continua</w:t>
      </w:r>
      <w:r>
        <w:rPr>
          <w:rFonts w:ascii="Aptos" w:hAnsi="Aptos"/>
          <w:color w:val="1F2937"/>
          <w:sz w:val="21"/>
        </w:rPr>
        <w:t xml:space="preserve">, con historial de commits activo (entre otros recientes: migración del registro Docker a GHCR, cadena de despliegue </w:t>
      </w:r>
      <w:r>
        <w:rPr>
          <w:rFonts w:ascii="Aptos" w:hAnsi="Aptos"/>
          <w:i/>
          <w:color w:val="1F2937"/>
          <w:sz w:val="21"/>
        </w:rPr>
        <w:t>staging → production</w:t>
      </w:r>
      <w:r>
        <w:rPr>
          <w:rFonts w:ascii="Aptos" w:hAnsi="Aptos"/>
          <w:color w:val="1F2937"/>
          <w:sz w:val="21"/>
        </w:rPr>
        <w:t xml:space="preserve"> con promoción, </w:t>
      </w:r>
      <w:r>
        <w:rPr>
          <w:rFonts w:ascii="Aptos" w:hAnsi="Aptos"/>
          <w:i/>
          <w:color w:val="1F2937"/>
          <w:sz w:val="21"/>
        </w:rPr>
        <w:t>rollback</w:t>
      </w:r>
      <w:r>
        <w:rPr>
          <w:rFonts w:ascii="Aptos" w:hAnsi="Aptos"/>
          <w:color w:val="1F2937"/>
          <w:sz w:val="21"/>
        </w:rPr>
        <w:t xml:space="preserve"> y </w:t>
      </w:r>
      <w:r>
        <w:rPr>
          <w:rFonts w:ascii="Aptos" w:hAnsi="Aptos"/>
          <w:i/>
          <w:color w:val="1F2937"/>
          <w:sz w:val="21"/>
        </w:rPr>
        <w:t>health</w:t>
      </w:r>
      <w:r>
        <w:rPr>
          <w:rFonts w:ascii="Aptos" w:hAnsi="Aptos"/>
          <w:color w:val="1F2937"/>
          <w:sz w:val="21"/>
        </w:rPr>
        <w:t xml:space="preserve">, hardening de seguridad y dependencias). Esto </w:t>
      </w:r>
      <w:r>
        <w:rPr>
          <w:rFonts w:ascii="Aptos" w:hAnsi="Aptos"/>
          <w:b/>
          <w:color w:val="1F2937"/>
          <w:sz w:val="21"/>
        </w:rPr>
        <w:t>eleva el TRL del SaaS de “definido” a “núcleo implementado en repositorios y pruebas internas; la calificación de MVP avanzado es una autoevaluación sujeta a validación piloto”</w:t>
      </w:r>
      <w:r>
        <w:rPr>
          <w:rFonts w:ascii="Aptos" w:hAnsi="Aptos"/>
          <w:color w:val="1F2937"/>
          <w:sz w:val="21"/>
        </w:rPr>
        <w:t xml:space="preserve"> (TRL 6→7 sustanciado) y </w:t>
      </w:r>
      <w:r>
        <w:rPr>
          <w:rFonts w:ascii="Aptos" w:hAnsi="Aptos"/>
          <w:b/>
          <w:color w:val="1F2937"/>
          <w:sz w:val="21"/>
        </w:rPr>
        <w:t>reduce el riesgo técnico (N2 digital)</w:t>
      </w:r>
      <w:r>
        <w:rPr>
          <w:rFonts w:ascii="Aptos" w:hAnsi="Aptos"/>
          <w:color w:val="1F2937"/>
          <w:sz w:val="21"/>
        </w:rPr>
        <w:t xml:space="preserve"> por debajo de lo declarado en versiones previas: la Fase 1 pasa de </w:t>
      </w:r>
      <w:r>
        <w:rPr>
          <w:rFonts w:ascii="Aptos" w:hAnsi="Aptos"/>
          <w:i/>
          <w:color w:val="1F2937"/>
          <w:sz w:val="21"/>
        </w:rPr>
        <w:t>“construir el SaaS”</w:t>
      </w:r>
      <w:r>
        <w:rPr>
          <w:rFonts w:ascii="Aptos" w:hAnsi="Aptos"/>
          <w:color w:val="1F2937"/>
          <w:sz w:val="21"/>
        </w:rPr>
        <w:t xml:space="preserve"> a </w:t>
      </w:r>
      <w:r>
        <w:rPr>
          <w:rFonts w:ascii="Aptos" w:hAnsi="Aptos"/>
          <w:i/>
          <w:color w:val="1F2937"/>
          <w:sz w:val="21"/>
        </w:rPr>
        <w:t>“endurecer, certificar, pilotar y comercializar”</w:t>
      </w:r>
      <w:r>
        <w:rPr>
          <w:rFonts w:ascii="Aptos" w:hAnsi="Aptos"/>
          <w:color w:val="1F2937"/>
          <w:sz w:val="21"/>
        </w:rPr>
        <w:t>.</w:t>
      </w:r>
    </w:p>
    <w:p w14:paraId="33869E5E">
      <w:pPr>
        <w:pStyle w:val="3"/>
      </w:pPr>
      <w:r>
        <w:rPr>
          <w:rFonts w:ascii="Aptos" w:hAnsi="Aptos"/>
          <w:b/>
          <w:color w:val="1F2937"/>
          <w:sz w:val="21"/>
        </w:rPr>
        <w:t>Arquitectura y stack implementados</w:t>
      </w:r>
      <w:r>
        <w:rPr>
          <w:rFonts w:ascii="Aptos" w:hAnsi="Aptos"/>
          <w:color w:val="1F2937"/>
          <w:sz w:val="21"/>
        </w:rPr>
        <w:t xml:space="preserve"> (según README y estructura del repositorio):</w:t>
      </w:r>
    </w:p>
    <w:tbl>
      <w:tblPr>
        <w:tblStyle w:val="28"/>
        <w:tblW w:w="5000" w:type="pct"/>
        <w:jc w:val="center"/>
        <w:tblInd w:w="0" w:type="dxa"/>
        <w:tblLayout w:type="fixed"/>
        <w:tblCellMar>
          <w:top w:w="0" w:type="dxa"/>
          <w:left w:w="108" w:type="dxa"/>
          <w:bottom w:w="0" w:type="dxa"/>
          <w:right w:w="108" w:type="dxa"/>
        </w:tblCellMar>
      </w:tblPr>
      <w:tblGrid>
        <w:gridCol w:w="2952"/>
        <w:gridCol w:w="2952"/>
        <w:gridCol w:w="2952"/>
      </w:tblGrid>
      <w:tr w14:paraId="448524A4">
        <w:tblPrEx>
          <w:tblCellMar>
            <w:top w:w="0" w:type="dxa"/>
            <w:left w:w="108" w:type="dxa"/>
            <w:bottom w:w="0" w:type="dxa"/>
            <w:right w:w="108" w:type="dxa"/>
          </w:tblCellMar>
        </w:tblPrEx>
        <w:tc>
          <w:tcPr>
            <w:tcW w:w="3120" w:type="dxa"/>
            <w:tcBorders>
              <w:bottom w:val="single" w:color="auto" w:sz="0" w:space="0"/>
            </w:tcBorders>
            <w:vAlign w:val="bottom"/>
          </w:tcPr>
          <w:p w14:paraId="6467A7EA">
            <w:pPr>
              <w:pStyle w:val="24"/>
              <w:spacing w:after="0"/>
              <w:jc w:val="left"/>
            </w:pPr>
            <w:r>
              <w:rPr>
                <w:rFonts w:ascii="Aptos" w:hAnsi="Aptos"/>
                <w:color w:val="1F2937"/>
                <w:sz w:val="18"/>
              </w:rPr>
              <w:t>Capa</w:t>
            </w:r>
          </w:p>
        </w:tc>
        <w:tc>
          <w:tcPr>
            <w:tcW w:w="3120" w:type="dxa"/>
            <w:tcBorders>
              <w:bottom w:val="single" w:color="auto" w:sz="0" w:space="0"/>
            </w:tcBorders>
            <w:vAlign w:val="bottom"/>
          </w:tcPr>
          <w:p w14:paraId="4B84D07B">
            <w:pPr>
              <w:pStyle w:val="24"/>
              <w:spacing w:after="0"/>
              <w:jc w:val="left"/>
            </w:pPr>
            <w:r>
              <w:rPr>
                <w:rFonts w:ascii="Aptos" w:hAnsi="Aptos"/>
                <w:color w:val="1F2937"/>
                <w:sz w:val="18"/>
              </w:rPr>
              <w:t>Implementación real en el repositorio</w:t>
            </w:r>
          </w:p>
        </w:tc>
        <w:tc>
          <w:tcPr>
            <w:tcW w:w="3120" w:type="dxa"/>
            <w:tcBorders>
              <w:bottom w:val="single" w:color="auto" w:sz="0" w:space="0"/>
            </w:tcBorders>
            <w:vAlign w:val="bottom"/>
          </w:tcPr>
          <w:p w14:paraId="33F12C0A">
            <w:pPr>
              <w:pStyle w:val="24"/>
              <w:spacing w:after="0"/>
              <w:jc w:val="left"/>
            </w:pPr>
            <w:r>
              <w:rPr>
                <w:rFonts w:ascii="Aptos" w:hAnsi="Aptos"/>
                <w:color w:val="1F2937"/>
                <w:sz w:val="18"/>
              </w:rPr>
              <w:t>Estado</w:t>
            </w:r>
          </w:p>
        </w:tc>
      </w:tr>
      <w:tr w14:paraId="7B3D5F47">
        <w:tblPrEx>
          <w:tblCellMar>
            <w:top w:w="0" w:type="dxa"/>
            <w:left w:w="108" w:type="dxa"/>
            <w:bottom w:w="0" w:type="dxa"/>
            <w:right w:w="108" w:type="dxa"/>
          </w:tblCellMar>
        </w:tblPrEx>
        <w:tc>
          <w:p w14:paraId="46F6048B">
            <w:pPr>
              <w:pStyle w:val="24"/>
              <w:spacing w:after="0"/>
              <w:jc w:val="left"/>
            </w:pPr>
            <w:r>
              <w:rPr>
                <w:rFonts w:ascii="Aptos" w:hAnsi="Aptos"/>
                <w:color w:val="1F2937"/>
                <w:sz w:val="18"/>
              </w:rPr>
              <w:t>API y lógica de negocio</w:t>
            </w:r>
          </w:p>
        </w:tc>
        <w:tc>
          <w:p w14:paraId="78EE71D2">
            <w:pPr>
              <w:pStyle w:val="24"/>
              <w:spacing w:after="0"/>
              <w:jc w:val="left"/>
            </w:pPr>
            <w:r>
              <w:rPr>
                <w:rFonts w:ascii="Aptos" w:hAnsi="Aptos"/>
                <w:color w:val="1F2937"/>
                <w:sz w:val="18"/>
              </w:rPr>
              <w:t>FastAPI + Pydantic v2 (</w:t>
            </w:r>
            <w:r>
              <w:rPr>
                <w:rStyle w:val="35"/>
                <w:rFonts w:ascii="Aptos" w:hAnsi="Aptos"/>
                <w:color w:val="1F2937"/>
                <w:sz w:val="18"/>
              </w:rPr>
              <w:t>backend/</w:t>
            </w:r>
            <w:r>
              <w:rPr>
                <w:rFonts w:ascii="Aptos" w:hAnsi="Aptos"/>
                <w:color w:val="1F2937"/>
                <w:sz w:val="18"/>
              </w:rPr>
              <w:t xml:space="preserve">, </w:t>
            </w:r>
            <w:r>
              <w:rPr>
                <w:rStyle w:val="35"/>
                <w:rFonts w:ascii="Aptos" w:hAnsi="Aptos"/>
                <w:color w:val="1F2937"/>
                <w:sz w:val="18"/>
              </w:rPr>
              <w:t>apps/</w:t>
            </w:r>
            <w:r>
              <w:rPr>
                <w:rFonts w:ascii="Aptos" w:hAnsi="Aptos"/>
                <w:color w:val="1F2937"/>
                <w:sz w:val="18"/>
              </w:rPr>
              <w:t xml:space="preserve">, </w:t>
            </w:r>
            <w:r>
              <w:rPr>
                <w:rStyle w:val="35"/>
                <w:rFonts w:ascii="Aptos" w:hAnsi="Aptos"/>
                <w:color w:val="1F2937"/>
                <w:sz w:val="18"/>
              </w:rPr>
              <w:t>services/</w:t>
            </w:r>
            <w:r>
              <w:rPr>
                <w:rFonts w:ascii="Aptos" w:hAnsi="Aptos"/>
                <w:color w:val="1F2937"/>
                <w:sz w:val="18"/>
              </w:rPr>
              <w:t xml:space="preserve">): sensores, MQTT, cultivos, alertas, </w:t>
            </w:r>
            <w:r>
              <w:rPr>
                <w:rStyle w:val="35"/>
                <w:rFonts w:ascii="Aptos" w:hAnsi="Aptos"/>
                <w:color w:val="1F2937"/>
                <w:sz w:val="18"/>
              </w:rPr>
              <w:t>/health</w:t>
            </w:r>
            <w:r>
              <w:rPr>
                <w:rFonts w:ascii="Aptos" w:hAnsi="Aptos"/>
                <w:color w:val="1F2937"/>
                <w:sz w:val="18"/>
              </w:rPr>
              <w:t xml:space="preserve"> con </w:t>
            </w:r>
            <w:r>
              <w:rPr>
                <w:rStyle w:val="35"/>
                <w:rFonts w:ascii="Aptos" w:hAnsi="Aptos"/>
                <w:color w:val="1F2937"/>
                <w:sz w:val="18"/>
              </w:rPr>
              <w:t>chain_status</w:t>
            </w:r>
            <w:r>
              <w:rPr>
                <w:rFonts w:ascii="Aptos" w:hAnsi="Aptos"/>
                <w:color w:val="1F2937"/>
                <w:sz w:val="18"/>
              </w:rPr>
              <w:t xml:space="preserve">, </w:t>
            </w:r>
            <w:r>
              <w:rPr>
                <w:rFonts w:ascii="Aptos" w:hAnsi="Aptos"/>
                <w:i/>
                <w:color w:val="1F2937"/>
                <w:sz w:val="18"/>
              </w:rPr>
              <w:t>skills API</w:t>
            </w:r>
            <w:r>
              <w:rPr>
                <w:rFonts w:ascii="Aptos" w:hAnsi="Aptos"/>
                <w:color w:val="1F2937"/>
                <w:sz w:val="18"/>
              </w:rPr>
              <w:t xml:space="preserve"> con JWT y test E2E</w:t>
            </w:r>
          </w:p>
        </w:tc>
        <w:tc>
          <w:p w14:paraId="3B6A1406">
            <w:pPr>
              <w:pStyle w:val="24"/>
              <w:spacing w:after="0"/>
              <w:jc w:val="left"/>
            </w:pPr>
            <w:r>
              <w:rPr>
                <w:rFonts w:ascii="Aptos" w:hAnsi="Aptos"/>
                <w:color w:val="1F2937"/>
                <w:sz w:val="18"/>
              </w:rPr>
              <w:t>Operativo</w:t>
            </w:r>
          </w:p>
        </w:tc>
      </w:tr>
      <w:tr w14:paraId="1CB3C33A">
        <w:tblPrEx>
          <w:tblCellMar>
            <w:top w:w="0" w:type="dxa"/>
            <w:left w:w="108" w:type="dxa"/>
            <w:bottom w:w="0" w:type="dxa"/>
            <w:right w:w="108" w:type="dxa"/>
          </w:tblCellMar>
        </w:tblPrEx>
        <w:tc>
          <w:p w14:paraId="13CE9A95">
            <w:pPr>
              <w:pStyle w:val="24"/>
              <w:spacing w:after="0"/>
              <w:jc w:val="left"/>
            </w:pPr>
            <w:r>
              <w:rPr>
                <w:rFonts w:ascii="Aptos" w:hAnsi="Aptos"/>
                <w:color w:val="1F2937"/>
                <w:sz w:val="18"/>
              </w:rPr>
              <w:t>Automatización</w:t>
            </w:r>
          </w:p>
        </w:tc>
        <w:tc>
          <w:p w14:paraId="7BE69260">
            <w:pPr>
              <w:pStyle w:val="24"/>
              <w:spacing w:after="0"/>
              <w:jc w:val="left"/>
            </w:pPr>
            <w:r>
              <w:rPr>
                <w:rFonts w:ascii="Aptos" w:hAnsi="Aptos"/>
                <w:color w:val="1F2937"/>
                <w:sz w:val="18"/>
              </w:rPr>
              <w:t>n8n (</w:t>
            </w:r>
            <w:r>
              <w:rPr>
                <w:rStyle w:val="35"/>
                <w:rFonts w:ascii="Aptos" w:hAnsi="Aptos"/>
                <w:color w:val="1F2937"/>
                <w:sz w:val="18"/>
              </w:rPr>
              <w:t>n8n/workflows/</w:t>
            </w:r>
            <w:r>
              <w:rPr>
                <w:rFonts w:ascii="Aptos" w:hAnsi="Aptos"/>
                <w:color w:val="1F2937"/>
                <w:sz w:val="18"/>
              </w:rPr>
              <w:t>), integración WhatsApp</w:t>
            </w:r>
          </w:p>
        </w:tc>
        <w:tc>
          <w:p w14:paraId="0FD20319">
            <w:pPr>
              <w:pStyle w:val="24"/>
              <w:spacing w:after="0"/>
              <w:jc w:val="left"/>
            </w:pPr>
            <w:r>
              <w:rPr>
                <w:rFonts w:ascii="Aptos" w:hAnsi="Aptos"/>
                <w:color w:val="1F2937"/>
                <w:sz w:val="18"/>
              </w:rPr>
              <w:t>Operativo</w:t>
            </w:r>
          </w:p>
        </w:tc>
      </w:tr>
      <w:tr w14:paraId="12A45B91">
        <w:tblPrEx>
          <w:tblCellMar>
            <w:top w:w="0" w:type="dxa"/>
            <w:left w:w="108" w:type="dxa"/>
            <w:bottom w:w="0" w:type="dxa"/>
            <w:right w:w="108" w:type="dxa"/>
          </w:tblCellMar>
        </w:tblPrEx>
        <w:tc>
          <w:p w14:paraId="7D5B2213">
            <w:pPr>
              <w:pStyle w:val="24"/>
              <w:spacing w:after="0"/>
              <w:jc w:val="left"/>
            </w:pPr>
            <w:r>
              <w:rPr>
                <w:rFonts w:ascii="Aptos" w:hAnsi="Aptos"/>
                <w:color w:val="1F2937"/>
                <w:sz w:val="18"/>
              </w:rPr>
              <w:t>Persistencia</w:t>
            </w:r>
          </w:p>
        </w:tc>
        <w:tc>
          <w:p w14:paraId="577990A9">
            <w:pPr>
              <w:pStyle w:val="24"/>
              <w:spacing w:after="0"/>
              <w:jc w:val="left"/>
            </w:pPr>
            <w:r>
              <w:rPr>
                <w:rFonts w:ascii="Aptos" w:hAnsi="Aptos"/>
                <w:color w:val="1F2937"/>
                <w:sz w:val="18"/>
              </w:rPr>
              <w:t>PostgreSQL, TimescaleDB (HA), Redis (state backend); esquemas y migraciones (</w:t>
            </w:r>
            <w:r>
              <w:rPr>
                <w:rStyle w:val="35"/>
                <w:rFonts w:ascii="Aptos" w:hAnsi="Aptos"/>
                <w:color w:val="1F2937"/>
                <w:sz w:val="18"/>
              </w:rPr>
              <w:t>postgres/</w:t>
            </w:r>
            <w:r>
              <w:rPr>
                <w:rFonts w:ascii="Aptos" w:hAnsi="Aptos"/>
                <w:color w:val="1F2937"/>
                <w:sz w:val="18"/>
              </w:rPr>
              <w:t xml:space="preserve">, </w:t>
            </w:r>
            <w:r>
              <w:rPr>
                <w:rStyle w:val="35"/>
                <w:rFonts w:ascii="Aptos" w:hAnsi="Aptos"/>
                <w:color w:val="1F2937"/>
                <w:sz w:val="18"/>
              </w:rPr>
              <w:t>schemas/</w:t>
            </w:r>
            <w:r>
              <w:rPr>
                <w:rFonts w:ascii="Aptos" w:hAnsi="Aptos"/>
                <w:color w:val="1F2937"/>
                <w:sz w:val="18"/>
              </w:rPr>
              <w:t xml:space="preserve">, </w:t>
            </w:r>
            <w:r>
              <w:rPr>
                <w:rStyle w:val="35"/>
                <w:rFonts w:ascii="Aptos" w:hAnsi="Aptos"/>
                <w:color w:val="1F2937"/>
                <w:sz w:val="18"/>
              </w:rPr>
              <w:t>config/</w:t>
            </w:r>
            <w:r>
              <w:rPr>
                <w:rFonts w:ascii="Aptos" w:hAnsi="Aptos"/>
                <w:color w:val="1F2937"/>
                <w:sz w:val="18"/>
              </w:rPr>
              <w:t>)</w:t>
            </w:r>
          </w:p>
        </w:tc>
        <w:tc>
          <w:p w14:paraId="2860A5E0">
            <w:pPr>
              <w:pStyle w:val="24"/>
              <w:spacing w:after="0"/>
              <w:jc w:val="left"/>
            </w:pPr>
            <w:r>
              <w:rPr>
                <w:rFonts w:ascii="Aptos" w:hAnsi="Aptos"/>
                <w:color w:val="1F2937"/>
                <w:sz w:val="18"/>
              </w:rPr>
              <w:t>Operativo</w:t>
            </w:r>
          </w:p>
        </w:tc>
      </w:tr>
      <w:tr w14:paraId="21AB2A93">
        <w:tblPrEx>
          <w:tblCellMar>
            <w:top w:w="0" w:type="dxa"/>
            <w:left w:w="108" w:type="dxa"/>
            <w:bottom w:w="0" w:type="dxa"/>
            <w:right w:w="108" w:type="dxa"/>
          </w:tblCellMar>
        </w:tblPrEx>
        <w:tc>
          <w:p w14:paraId="1DE835A4">
            <w:pPr>
              <w:pStyle w:val="24"/>
              <w:spacing w:after="0"/>
              <w:jc w:val="left"/>
            </w:pPr>
            <w:r>
              <w:rPr>
                <w:rFonts w:ascii="Aptos" w:hAnsi="Aptos"/>
                <w:color w:val="1F2937"/>
                <w:sz w:val="18"/>
              </w:rPr>
              <w:t>IoT / edge</w:t>
            </w:r>
          </w:p>
        </w:tc>
        <w:tc>
          <w:p w14:paraId="66D629DB">
            <w:pPr>
              <w:pStyle w:val="24"/>
              <w:spacing w:after="0"/>
              <w:jc w:val="left"/>
            </w:pPr>
            <w:r>
              <w:rPr>
                <w:rFonts w:ascii="Aptos" w:hAnsi="Aptos"/>
                <w:color w:val="1F2937"/>
                <w:sz w:val="18"/>
              </w:rPr>
              <w:t>MQTT/TLS (</w:t>
            </w:r>
            <w:r>
              <w:rPr>
                <w:rStyle w:val="35"/>
                <w:rFonts w:ascii="Aptos" w:hAnsi="Aptos"/>
                <w:color w:val="1F2937"/>
                <w:sz w:val="18"/>
              </w:rPr>
              <w:t>mosquitto/</w:t>
            </w:r>
            <w:r>
              <w:rPr>
                <w:rFonts w:ascii="Aptos" w:hAnsi="Aptos"/>
                <w:color w:val="1F2937"/>
                <w:sz w:val="18"/>
              </w:rPr>
              <w:t>), firmware ESP32 y TTGO LoRa32 sobre TTN EU868 (</w:t>
            </w:r>
            <w:r>
              <w:rPr>
                <w:rStyle w:val="35"/>
                <w:rFonts w:ascii="Aptos" w:hAnsi="Aptos"/>
                <w:color w:val="1F2937"/>
                <w:sz w:val="18"/>
              </w:rPr>
              <w:t>esp32_code/</w:t>
            </w:r>
            <w:r>
              <w:rPr>
                <w:rFonts w:ascii="Aptos" w:hAnsi="Aptos"/>
                <w:color w:val="1F2937"/>
                <w:sz w:val="18"/>
              </w:rPr>
              <w:t xml:space="preserve">, </w:t>
            </w:r>
            <w:r>
              <w:rPr>
                <w:rStyle w:val="35"/>
                <w:rFonts w:ascii="Aptos" w:hAnsi="Aptos"/>
                <w:color w:val="1F2937"/>
                <w:sz w:val="18"/>
              </w:rPr>
              <w:t>esp32_code_ttn/</w:t>
            </w:r>
            <w:r>
              <w:rPr>
                <w:rFonts w:ascii="Aptos" w:hAnsi="Aptos"/>
                <w:color w:val="1F2937"/>
                <w:sz w:val="18"/>
              </w:rPr>
              <w:t xml:space="preserve">), campo </w:t>
            </w:r>
            <w:r>
              <w:rPr>
                <w:rStyle w:val="35"/>
                <w:rFonts w:ascii="Aptos" w:hAnsi="Aptos"/>
                <w:color w:val="1F2937"/>
                <w:sz w:val="18"/>
              </w:rPr>
              <w:t>TRAY_ID</w:t>
            </w:r>
          </w:p>
        </w:tc>
        <w:tc>
          <w:p w14:paraId="536F9B48">
            <w:pPr>
              <w:pStyle w:val="24"/>
              <w:spacing w:after="0"/>
              <w:jc w:val="left"/>
            </w:pPr>
            <w:r>
              <w:rPr>
                <w:rFonts w:ascii="Aptos" w:hAnsi="Aptos"/>
                <w:color w:val="1F2937"/>
                <w:sz w:val="18"/>
              </w:rPr>
              <w:t>Operativo</w:t>
            </w:r>
          </w:p>
        </w:tc>
      </w:tr>
      <w:tr w14:paraId="3BC53ED5">
        <w:tblPrEx>
          <w:tblCellMar>
            <w:top w:w="0" w:type="dxa"/>
            <w:left w:w="108" w:type="dxa"/>
            <w:bottom w:w="0" w:type="dxa"/>
            <w:right w:w="108" w:type="dxa"/>
          </w:tblCellMar>
        </w:tblPrEx>
        <w:tc>
          <w:p w14:paraId="6A5FDBB0">
            <w:pPr>
              <w:pStyle w:val="24"/>
              <w:spacing w:after="0"/>
              <w:jc w:val="left"/>
            </w:pPr>
            <w:r>
              <w:rPr>
                <w:rFonts w:ascii="Aptos" w:hAnsi="Aptos"/>
                <w:color w:val="1F2937"/>
                <w:sz w:val="18"/>
              </w:rPr>
              <w:t>Trazabilidad</w:t>
            </w:r>
          </w:p>
        </w:tc>
        <w:tc>
          <w:p w14:paraId="4594735D">
            <w:pPr>
              <w:pStyle w:val="24"/>
              <w:spacing w:after="0"/>
              <w:jc w:val="left"/>
            </w:pPr>
            <w:r>
              <w:rPr>
                <w:rFonts w:ascii="Aptos" w:hAnsi="Aptos"/>
                <w:color w:val="1F2937"/>
                <w:sz w:val="18"/>
              </w:rPr>
              <w:t>GaiaChain/TRAZALIA (</w:t>
            </w:r>
            <w:r>
              <w:rPr>
                <w:rStyle w:val="35"/>
                <w:rFonts w:ascii="Aptos" w:hAnsi="Aptos"/>
                <w:color w:val="1F2937"/>
                <w:sz w:val="18"/>
              </w:rPr>
              <w:t>trazalia-mcp-server/</w:t>
            </w:r>
            <w:r>
              <w:rPr>
                <w:rFonts w:ascii="Aptos" w:hAnsi="Aptos"/>
                <w:color w:val="1F2937"/>
                <w:sz w:val="18"/>
              </w:rPr>
              <w:t xml:space="preserve">, </w:t>
            </w:r>
            <w:r>
              <w:rPr>
                <w:rStyle w:val="35"/>
                <w:rFonts w:ascii="Aptos" w:hAnsi="Aptos"/>
                <w:color w:val="1F2937"/>
                <w:sz w:val="18"/>
              </w:rPr>
              <w:t>blockchain_txs/iso22000/</w:t>
            </w:r>
            <w:r>
              <w:rPr>
                <w:rFonts w:ascii="Aptos" w:hAnsi="Aptos"/>
                <w:color w:val="1F2937"/>
                <w:sz w:val="18"/>
              </w:rPr>
              <w:t xml:space="preserve">, </w:t>
            </w:r>
            <w:r>
              <w:rPr>
                <w:rStyle w:val="35"/>
                <w:rFonts w:ascii="Aptos" w:hAnsi="Aptos"/>
                <w:color w:val="1F2937"/>
                <w:sz w:val="18"/>
              </w:rPr>
              <w:t>validar_lote</w:t>
            </w:r>
            <w:r>
              <w:rPr>
                <w:rFonts w:ascii="Aptos" w:hAnsi="Aptos"/>
                <w:color w:val="1F2937"/>
                <w:sz w:val="18"/>
              </w:rPr>
              <w:t>, Merkle) — el SEV tiene implementación real</w:t>
            </w:r>
          </w:p>
        </w:tc>
        <w:tc>
          <w:p w14:paraId="5565B441">
            <w:pPr>
              <w:pStyle w:val="24"/>
              <w:spacing w:after="0"/>
              <w:jc w:val="left"/>
            </w:pPr>
            <w:r>
              <w:rPr>
                <w:rFonts w:ascii="Aptos" w:hAnsi="Aptos"/>
                <w:color w:val="1F2937"/>
                <w:sz w:val="18"/>
              </w:rPr>
              <w:t>Operativo</w:t>
            </w:r>
          </w:p>
        </w:tc>
      </w:tr>
      <w:tr w14:paraId="02FF3A00">
        <w:tblPrEx>
          <w:tblCellMar>
            <w:top w:w="0" w:type="dxa"/>
            <w:left w:w="108" w:type="dxa"/>
            <w:bottom w:w="0" w:type="dxa"/>
            <w:right w:w="108" w:type="dxa"/>
          </w:tblCellMar>
        </w:tblPrEx>
        <w:tc>
          <w:p w14:paraId="021BD655">
            <w:pPr>
              <w:pStyle w:val="24"/>
              <w:spacing w:after="0"/>
              <w:jc w:val="left"/>
            </w:pPr>
            <w:r>
              <w:rPr>
                <w:rFonts w:ascii="Aptos" w:hAnsi="Aptos"/>
                <w:color w:val="1F2937"/>
                <w:sz w:val="18"/>
              </w:rPr>
              <w:t>Servidores MCP</w:t>
            </w:r>
          </w:p>
        </w:tc>
        <w:tc>
          <w:p w14:paraId="5816084C">
            <w:pPr>
              <w:pStyle w:val="24"/>
              <w:spacing w:after="0"/>
              <w:jc w:val="left"/>
            </w:pPr>
            <w:r>
              <w:rPr>
                <w:rStyle w:val="35"/>
                <w:rFonts w:ascii="Aptos" w:hAnsi="Aptos"/>
                <w:color w:val="1F2937"/>
                <w:sz w:val="18"/>
              </w:rPr>
              <w:t>trazalia-mcp-server</w:t>
            </w:r>
            <w:r>
              <w:rPr>
                <w:rFonts w:ascii="Aptos" w:hAnsi="Aptos"/>
                <w:color w:val="1F2937"/>
                <w:sz w:val="18"/>
              </w:rPr>
              <w:t>, MCP PostgreSQL (</w:t>
            </w:r>
            <w:r>
              <w:rPr>
                <w:rStyle w:val="35"/>
                <w:rFonts w:ascii="Aptos" w:hAnsi="Aptos"/>
                <w:color w:val="1F2937"/>
                <w:sz w:val="18"/>
              </w:rPr>
              <w:t>.mcp.json</w:t>
            </w:r>
            <w:r>
              <w:rPr>
                <w:rFonts w:ascii="Aptos" w:hAnsi="Aptos"/>
                <w:color w:val="1F2937"/>
                <w:sz w:val="18"/>
              </w:rPr>
              <w:t>) — interoperabilidad con agentes</w:t>
            </w:r>
          </w:p>
        </w:tc>
        <w:tc>
          <w:p w14:paraId="102DE8D6">
            <w:pPr>
              <w:pStyle w:val="24"/>
              <w:spacing w:after="0"/>
              <w:jc w:val="left"/>
            </w:pPr>
            <w:r>
              <w:rPr>
                <w:rFonts w:ascii="Aptos" w:hAnsi="Aptos"/>
                <w:color w:val="1F2937"/>
                <w:sz w:val="18"/>
              </w:rPr>
              <w:t>Operativo</w:t>
            </w:r>
          </w:p>
        </w:tc>
      </w:tr>
      <w:tr w14:paraId="3CFB48D3">
        <w:tblPrEx>
          <w:tblCellMar>
            <w:top w:w="0" w:type="dxa"/>
            <w:left w:w="108" w:type="dxa"/>
            <w:bottom w:w="0" w:type="dxa"/>
            <w:right w:w="108" w:type="dxa"/>
          </w:tblCellMar>
        </w:tblPrEx>
        <w:tc>
          <w:p w14:paraId="2685BA15">
            <w:pPr>
              <w:pStyle w:val="24"/>
              <w:spacing w:after="0"/>
              <w:jc w:val="left"/>
            </w:pPr>
            <w:r>
              <w:rPr>
                <w:rFonts w:ascii="Aptos" w:hAnsi="Aptos"/>
                <w:color w:val="1F2937"/>
                <w:sz w:val="18"/>
              </w:rPr>
              <w:t>IA / agentes</w:t>
            </w:r>
          </w:p>
        </w:tc>
        <w:tc>
          <w:p w14:paraId="413B3CC1">
            <w:pPr>
              <w:pStyle w:val="24"/>
              <w:spacing w:after="0"/>
              <w:jc w:val="left"/>
            </w:pPr>
            <w:r>
              <w:rPr>
                <w:rFonts w:ascii="Aptos" w:hAnsi="Aptos"/>
                <w:color w:val="1F2937"/>
                <w:sz w:val="18"/>
              </w:rPr>
              <w:t xml:space="preserve">Agente </w:t>
            </w:r>
            <w:r>
              <w:rPr>
                <w:rFonts w:ascii="Aptos" w:hAnsi="Aptos"/>
                <w:b/>
                <w:color w:val="1F2937"/>
                <w:sz w:val="18"/>
              </w:rPr>
              <w:t>SABIONDA</w:t>
            </w:r>
            <w:r>
              <w:rPr>
                <w:rFonts w:ascii="Aptos" w:hAnsi="Aptos"/>
                <w:color w:val="1F2937"/>
                <w:sz w:val="18"/>
              </w:rPr>
              <w:t xml:space="preserve"> (</w:t>
            </w:r>
            <w:r>
              <w:rPr>
                <w:rStyle w:val="35"/>
                <w:rFonts w:ascii="Aptos" w:hAnsi="Aptos"/>
                <w:color w:val="1F2937"/>
                <w:sz w:val="18"/>
              </w:rPr>
              <w:t>agents/sabionda</w:t>
            </w:r>
            <w:r>
              <w:rPr>
                <w:rFonts w:ascii="Aptos" w:hAnsi="Aptos"/>
                <w:color w:val="1F2937"/>
                <w:sz w:val="18"/>
              </w:rPr>
              <w:t xml:space="preserve">: gestión agrovoltaica hidropónica con trazabilidad), resúmenes Mistral, </w:t>
            </w:r>
            <w:r>
              <w:rPr>
                <w:rFonts w:ascii="Aptos" w:hAnsi="Aptos"/>
                <w:i/>
                <w:color w:val="1F2937"/>
                <w:sz w:val="18"/>
              </w:rPr>
              <w:t>knowledge</w:t>
            </w:r>
            <w:r>
              <w:rPr>
                <w:rFonts w:ascii="Aptos" w:hAnsi="Aptos"/>
                <w:color w:val="1F2937"/>
                <w:sz w:val="18"/>
              </w:rPr>
              <w:t xml:space="preserve"> Joplin, LangGraph (</w:t>
            </w:r>
            <w:r>
              <w:rPr>
                <w:rStyle w:val="35"/>
                <w:rFonts w:ascii="Aptos" w:hAnsi="Aptos"/>
                <w:color w:val="1F2937"/>
                <w:sz w:val="18"/>
              </w:rPr>
              <w:t>castuo_graph/</w:t>
            </w:r>
            <w:r>
              <w:rPr>
                <w:rFonts w:ascii="Aptos" w:hAnsi="Aptos"/>
                <w:color w:val="1F2937"/>
                <w:sz w:val="18"/>
              </w:rPr>
              <w:t xml:space="preserve">, </w:t>
            </w:r>
            <w:r>
              <w:rPr>
                <w:rStyle w:val="35"/>
                <w:rFonts w:ascii="Aptos" w:hAnsi="Aptos"/>
                <w:color w:val="1F2937"/>
                <w:sz w:val="18"/>
              </w:rPr>
              <w:t>memory/</w:t>
            </w:r>
            <w:r>
              <w:rPr>
                <w:rFonts w:ascii="Aptos" w:hAnsi="Aptos"/>
                <w:color w:val="1F2937"/>
                <w:sz w:val="18"/>
              </w:rPr>
              <w:t>)</w:t>
            </w:r>
          </w:p>
        </w:tc>
        <w:tc>
          <w:p w14:paraId="6D61DA5C">
            <w:pPr>
              <w:pStyle w:val="24"/>
              <w:spacing w:after="0"/>
              <w:jc w:val="left"/>
            </w:pPr>
            <w:r>
              <w:rPr>
                <w:rFonts w:ascii="Aptos" w:hAnsi="Aptos"/>
                <w:color w:val="1F2937"/>
                <w:sz w:val="18"/>
              </w:rPr>
              <w:t>En desarrollo</w:t>
            </w:r>
          </w:p>
        </w:tc>
      </w:tr>
      <w:tr w14:paraId="2F12E6BF">
        <w:tblPrEx>
          <w:tblCellMar>
            <w:top w:w="0" w:type="dxa"/>
            <w:left w:w="108" w:type="dxa"/>
            <w:bottom w:w="0" w:type="dxa"/>
            <w:right w:w="108" w:type="dxa"/>
          </w:tblCellMar>
        </w:tblPrEx>
        <w:tc>
          <w:p w14:paraId="5BFC05D6">
            <w:pPr>
              <w:pStyle w:val="24"/>
              <w:spacing w:after="0"/>
              <w:jc w:val="left"/>
            </w:pPr>
            <w:r>
              <w:rPr>
                <w:rFonts w:ascii="Aptos" w:hAnsi="Aptos"/>
                <w:color w:val="1F2937"/>
                <w:sz w:val="18"/>
              </w:rPr>
              <w:t>Frontend / diseño</w:t>
            </w:r>
          </w:p>
        </w:tc>
        <w:tc>
          <w:p w14:paraId="0784135F">
            <w:pPr>
              <w:pStyle w:val="24"/>
              <w:spacing w:after="0"/>
              <w:jc w:val="left"/>
            </w:pPr>
            <w:r>
              <w:rPr>
                <w:rStyle w:val="35"/>
                <w:rFonts w:ascii="Aptos" w:hAnsi="Aptos"/>
                <w:color w:val="1F2937"/>
                <w:sz w:val="18"/>
              </w:rPr>
              <w:t>frontend/</w:t>
            </w:r>
            <w:r>
              <w:rPr>
                <w:rFonts w:ascii="Aptos" w:hAnsi="Aptos"/>
                <w:color w:val="1F2937"/>
                <w:sz w:val="18"/>
              </w:rPr>
              <w:t xml:space="preserve">, </w:t>
            </w:r>
            <w:r>
              <w:rPr>
                <w:rFonts w:ascii="Aptos" w:hAnsi="Aptos"/>
                <w:i/>
                <w:color w:val="1F2937"/>
                <w:sz w:val="18"/>
              </w:rPr>
              <w:t>design system</w:t>
            </w:r>
            <w:r>
              <w:rPr>
                <w:rFonts w:ascii="Aptos" w:hAnsi="Aptos"/>
                <w:color w:val="1F2937"/>
                <w:sz w:val="18"/>
              </w:rPr>
              <w:t xml:space="preserve"> SABIONDA 3D/4D (</w:t>
            </w:r>
            <w:r>
              <w:rPr>
                <w:rStyle w:val="35"/>
                <w:rFonts w:ascii="Aptos" w:hAnsi="Aptos"/>
                <w:color w:val="1F2937"/>
                <w:sz w:val="18"/>
              </w:rPr>
              <w:t>ds-bundle/</w:t>
            </w:r>
            <w:r>
              <w:rPr>
                <w:rFonts w:ascii="Aptos" w:hAnsi="Aptos"/>
                <w:color w:val="1F2937"/>
                <w:sz w:val="18"/>
              </w:rPr>
              <w:t xml:space="preserve">, </w:t>
            </w:r>
            <w:r>
              <w:rPr>
                <w:rStyle w:val="35"/>
                <w:rFonts w:ascii="Aptos" w:hAnsi="Aptos"/>
                <w:color w:val="1F2937"/>
                <w:sz w:val="18"/>
              </w:rPr>
              <w:t>.design-sync/</w:t>
            </w:r>
            <w:r>
              <w:rPr>
                <w:rFonts w:ascii="Aptos" w:hAnsi="Aptos"/>
                <w:color w:val="1F2937"/>
                <w:sz w:val="18"/>
              </w:rPr>
              <w:t xml:space="preserve">, </w:t>
            </w:r>
            <w:r>
              <w:rPr>
                <w:rStyle w:val="35"/>
                <w:rFonts w:ascii="Aptos" w:hAnsi="Aptos"/>
                <w:color w:val="1F2937"/>
                <w:sz w:val="18"/>
              </w:rPr>
              <w:t>wp-content/</w:t>
            </w:r>
            <w:r>
              <w:rPr>
                <w:rFonts w:ascii="Aptos" w:hAnsi="Aptos"/>
                <w:color w:val="1F2937"/>
                <w:sz w:val="18"/>
              </w:rPr>
              <w:t>)</w:t>
            </w:r>
          </w:p>
        </w:tc>
        <w:tc>
          <w:p w14:paraId="065BAFF5">
            <w:pPr>
              <w:pStyle w:val="24"/>
              <w:spacing w:after="0"/>
              <w:jc w:val="left"/>
            </w:pPr>
            <w:r>
              <w:rPr>
                <w:rFonts w:ascii="Aptos" w:hAnsi="Aptos"/>
                <w:color w:val="1F2937"/>
                <w:sz w:val="18"/>
              </w:rPr>
              <w:t>Operativo</w:t>
            </w:r>
          </w:p>
        </w:tc>
      </w:tr>
      <w:tr w14:paraId="1DBA9783">
        <w:tblPrEx>
          <w:tblCellMar>
            <w:top w:w="0" w:type="dxa"/>
            <w:left w:w="108" w:type="dxa"/>
            <w:bottom w:w="0" w:type="dxa"/>
            <w:right w:w="108" w:type="dxa"/>
          </w:tblCellMar>
        </w:tblPrEx>
        <w:tc>
          <w:p w14:paraId="54F580F9">
            <w:pPr>
              <w:pStyle w:val="24"/>
              <w:spacing w:after="0"/>
              <w:jc w:val="left"/>
            </w:pPr>
            <w:r>
              <w:rPr>
                <w:rFonts w:ascii="Aptos" w:hAnsi="Aptos"/>
                <w:color w:val="1F2937"/>
                <w:sz w:val="18"/>
              </w:rPr>
              <w:t>Seguridad</w:t>
            </w:r>
          </w:p>
        </w:tc>
        <w:tc>
          <w:p w14:paraId="28C7D39A">
            <w:pPr>
              <w:pStyle w:val="24"/>
              <w:spacing w:after="0"/>
              <w:jc w:val="left"/>
            </w:pPr>
            <w:r>
              <w:rPr>
                <w:rFonts w:ascii="Aptos" w:hAnsi="Aptos"/>
                <w:color w:val="1F2937"/>
                <w:sz w:val="18"/>
              </w:rPr>
              <w:t xml:space="preserve">Vault, JWT, MFA, RBAC, cifrado híbrido </w:t>
            </w:r>
            <w:r>
              <w:rPr>
                <w:rFonts w:ascii="Aptos" w:hAnsi="Aptos"/>
                <w:b/>
                <w:color w:val="1F2937"/>
                <w:sz w:val="18"/>
              </w:rPr>
              <w:t>X25519+AES-GCM</w:t>
            </w:r>
            <w:r>
              <w:rPr>
                <w:rFonts w:ascii="Aptos" w:hAnsi="Aptos"/>
                <w:color w:val="1F2937"/>
                <w:sz w:val="18"/>
              </w:rPr>
              <w:t xml:space="preserve">, </w:t>
            </w:r>
            <w:r>
              <w:rPr>
                <w:rFonts w:ascii="Aptos" w:hAnsi="Aptos"/>
                <w:b/>
                <w:color w:val="1F2937"/>
                <w:sz w:val="18"/>
              </w:rPr>
              <w:t>ECIES P-384</w:t>
            </w:r>
            <w:r>
              <w:rPr>
                <w:rFonts w:ascii="Aptos" w:hAnsi="Aptos"/>
                <w:color w:val="1F2937"/>
                <w:sz w:val="18"/>
              </w:rPr>
              <w:t xml:space="preserve">, </w:t>
            </w:r>
            <w:r>
              <w:rPr>
                <w:rFonts w:ascii="Aptos" w:hAnsi="Aptos"/>
                <w:i/>
                <w:color w:val="1F2937"/>
                <w:sz w:val="18"/>
              </w:rPr>
              <w:t>TLS hardening</w:t>
            </w:r>
            <w:r>
              <w:rPr>
                <w:rFonts w:ascii="Aptos" w:hAnsi="Aptos"/>
                <w:color w:val="1F2937"/>
                <w:sz w:val="18"/>
              </w:rPr>
              <w:t xml:space="preserve">, módulo </w:t>
            </w:r>
            <w:r>
              <w:rPr>
                <w:rFonts w:ascii="Aptos" w:hAnsi="Aptos"/>
                <w:b/>
                <w:color w:val="1F2937"/>
                <w:sz w:val="18"/>
              </w:rPr>
              <w:t>GDPR</w:t>
            </w:r>
            <w:r>
              <w:rPr>
                <w:rFonts w:ascii="Aptos" w:hAnsi="Aptos"/>
                <w:color w:val="1F2937"/>
                <w:sz w:val="18"/>
              </w:rPr>
              <w:t xml:space="preserve">, </w:t>
            </w:r>
            <w:r>
              <w:rPr>
                <w:rFonts w:ascii="Aptos" w:hAnsi="Aptos"/>
                <w:i/>
                <w:color w:val="1F2937"/>
                <w:sz w:val="18"/>
              </w:rPr>
              <w:t>rate limiting</w:t>
            </w:r>
            <w:r>
              <w:rPr>
                <w:rFonts w:ascii="Aptos" w:hAnsi="Aptos"/>
                <w:color w:val="1F2937"/>
                <w:sz w:val="18"/>
              </w:rPr>
              <w:t>, auditoría (</w:t>
            </w:r>
            <w:r>
              <w:rPr>
                <w:rStyle w:val="35"/>
                <w:rFonts w:ascii="Aptos" w:hAnsi="Aptos"/>
                <w:color w:val="1F2937"/>
                <w:sz w:val="18"/>
              </w:rPr>
              <w:t>infra/</w:t>
            </w:r>
            <w:r>
              <w:rPr>
                <w:rFonts w:ascii="Aptos" w:hAnsi="Aptos"/>
                <w:color w:val="1F2937"/>
                <w:sz w:val="18"/>
              </w:rPr>
              <w:t xml:space="preserve">, </w:t>
            </w:r>
            <w:r>
              <w:rPr>
                <w:rStyle w:val="35"/>
                <w:rFonts w:ascii="Aptos" w:hAnsi="Aptos"/>
                <w:color w:val="1F2937"/>
                <w:sz w:val="18"/>
              </w:rPr>
              <w:t>infrastructure/</w:t>
            </w:r>
            <w:r>
              <w:rPr>
                <w:rFonts w:ascii="Aptos" w:hAnsi="Aptos"/>
                <w:color w:val="1F2937"/>
                <w:sz w:val="18"/>
              </w:rPr>
              <w:t xml:space="preserve">, </w:t>
            </w:r>
            <w:r>
              <w:rPr>
                <w:rStyle w:val="35"/>
                <w:rFonts w:ascii="Aptos" w:hAnsi="Aptos"/>
                <w:color w:val="1F2937"/>
                <w:sz w:val="18"/>
              </w:rPr>
              <w:t>SECURITY.md</w:t>
            </w:r>
            <w:r>
              <w:rPr>
                <w:rFonts w:ascii="Aptos" w:hAnsi="Aptos"/>
                <w:color w:val="1F2937"/>
                <w:sz w:val="18"/>
              </w:rPr>
              <w:t>)</w:t>
            </w:r>
          </w:p>
        </w:tc>
        <w:tc>
          <w:p w14:paraId="291C23A8">
            <w:pPr>
              <w:pStyle w:val="24"/>
              <w:spacing w:after="0"/>
              <w:jc w:val="left"/>
            </w:pPr>
            <w:r>
              <w:rPr>
                <w:rFonts w:ascii="Aptos" w:hAnsi="Aptos"/>
                <w:color w:val="1F2937"/>
                <w:sz w:val="18"/>
              </w:rPr>
              <w:t>Operativo</w:t>
            </w:r>
          </w:p>
        </w:tc>
      </w:tr>
      <w:tr w14:paraId="7CFAD4D1">
        <w:tblPrEx>
          <w:tblCellMar>
            <w:top w:w="0" w:type="dxa"/>
            <w:left w:w="108" w:type="dxa"/>
            <w:bottom w:w="0" w:type="dxa"/>
            <w:right w:w="108" w:type="dxa"/>
          </w:tblCellMar>
        </w:tblPrEx>
        <w:tc>
          <w:p w14:paraId="36A0CD83">
            <w:pPr>
              <w:pStyle w:val="24"/>
              <w:spacing w:after="0"/>
              <w:jc w:val="left"/>
            </w:pPr>
            <w:r>
              <w:rPr>
                <w:rFonts w:ascii="Aptos" w:hAnsi="Aptos"/>
                <w:color w:val="1F2937"/>
                <w:sz w:val="18"/>
              </w:rPr>
              <w:t>Observabilidad</w:t>
            </w:r>
          </w:p>
        </w:tc>
        <w:tc>
          <w:p w14:paraId="0B09F3A6">
            <w:pPr>
              <w:pStyle w:val="24"/>
              <w:spacing w:after="0"/>
              <w:jc w:val="left"/>
            </w:pPr>
            <w:r>
              <w:rPr>
                <w:rFonts w:ascii="Aptos" w:hAnsi="Aptos"/>
                <w:color w:val="1F2937"/>
                <w:sz w:val="18"/>
              </w:rPr>
              <w:t>Prometheus, Grafana, Alertmanager (</w:t>
            </w:r>
            <w:r>
              <w:rPr>
                <w:rStyle w:val="35"/>
                <w:rFonts w:ascii="Aptos" w:hAnsi="Aptos"/>
                <w:color w:val="1F2937"/>
                <w:sz w:val="18"/>
              </w:rPr>
              <w:t>monitoring/</w:t>
            </w:r>
            <w:r>
              <w:rPr>
                <w:rFonts w:ascii="Aptos" w:hAnsi="Aptos"/>
                <w:color w:val="1F2937"/>
                <w:sz w:val="18"/>
              </w:rPr>
              <w:t xml:space="preserve">, </w:t>
            </w:r>
            <w:r>
              <w:rPr>
                <w:rStyle w:val="35"/>
                <w:rFonts w:ascii="Aptos" w:hAnsi="Aptos"/>
                <w:color w:val="1F2937"/>
                <w:sz w:val="18"/>
              </w:rPr>
              <w:t>grafana/</w:t>
            </w:r>
            <w:r>
              <w:rPr>
                <w:rFonts w:ascii="Aptos" w:hAnsi="Aptos"/>
                <w:color w:val="1F2937"/>
                <w:sz w:val="18"/>
              </w:rPr>
              <w:t>)</w:t>
            </w:r>
          </w:p>
        </w:tc>
        <w:tc>
          <w:p w14:paraId="5A97FF83">
            <w:pPr>
              <w:pStyle w:val="24"/>
              <w:spacing w:after="0"/>
              <w:jc w:val="left"/>
            </w:pPr>
            <w:r>
              <w:rPr>
                <w:rFonts w:ascii="Aptos" w:hAnsi="Aptos"/>
                <w:color w:val="1F2937"/>
                <w:sz w:val="18"/>
              </w:rPr>
              <w:t>Operativo</w:t>
            </w:r>
          </w:p>
        </w:tc>
      </w:tr>
      <w:tr w14:paraId="43B97A62">
        <w:tblPrEx>
          <w:tblCellMar>
            <w:top w:w="0" w:type="dxa"/>
            <w:left w:w="108" w:type="dxa"/>
            <w:bottom w:w="0" w:type="dxa"/>
            <w:right w:w="108" w:type="dxa"/>
          </w:tblCellMar>
        </w:tblPrEx>
        <w:tc>
          <w:p w14:paraId="62D4C97E">
            <w:pPr>
              <w:pStyle w:val="24"/>
              <w:spacing w:after="0"/>
              <w:jc w:val="left"/>
            </w:pPr>
            <w:r>
              <w:rPr>
                <w:rFonts w:ascii="Aptos" w:hAnsi="Aptos"/>
                <w:color w:val="1F2937"/>
                <w:sz w:val="18"/>
              </w:rPr>
              <w:t>Infra / DevOps</w:t>
            </w:r>
          </w:p>
        </w:tc>
        <w:tc>
          <w:p w14:paraId="6BE50976">
            <w:pPr>
              <w:pStyle w:val="24"/>
              <w:spacing w:after="0"/>
              <w:jc w:val="left"/>
            </w:pPr>
            <w:r>
              <w:rPr>
                <w:rFonts w:ascii="Aptos" w:hAnsi="Aptos"/>
                <w:color w:val="1F2937"/>
                <w:sz w:val="18"/>
              </w:rPr>
              <w:t xml:space="preserve">Docker (~13 </w:t>
            </w:r>
            <w:r>
              <w:rPr>
                <w:rFonts w:ascii="Aptos" w:hAnsi="Aptos"/>
                <w:i/>
                <w:color w:val="1F2937"/>
                <w:sz w:val="18"/>
              </w:rPr>
              <w:t>compose</w:t>
            </w:r>
            <w:r>
              <w:rPr>
                <w:rFonts w:ascii="Aptos" w:hAnsi="Aptos"/>
                <w:color w:val="1F2937"/>
                <w:sz w:val="18"/>
              </w:rPr>
              <w:t xml:space="preserve">), Kubernetes en </w:t>
            </w:r>
            <w:r>
              <w:rPr>
                <w:rFonts w:ascii="Aptos" w:hAnsi="Aptos"/>
                <w:b/>
                <w:color w:val="1F2937"/>
                <w:sz w:val="18"/>
              </w:rPr>
              <w:t>Hetzner</w:t>
            </w:r>
            <w:r>
              <w:rPr>
                <w:rFonts w:ascii="Aptos" w:hAnsi="Aptos"/>
                <w:color w:val="1F2937"/>
                <w:sz w:val="18"/>
              </w:rPr>
              <w:t xml:space="preserve"> (</w:t>
            </w:r>
            <w:r>
              <w:rPr>
                <w:rStyle w:val="35"/>
                <w:rFonts w:ascii="Aptos" w:hAnsi="Aptos"/>
                <w:color w:val="1F2937"/>
                <w:sz w:val="18"/>
              </w:rPr>
              <w:t>k8s/</w:t>
            </w:r>
            <w:r>
              <w:rPr>
                <w:rFonts w:ascii="Aptos" w:hAnsi="Aptos"/>
                <w:color w:val="1F2937"/>
                <w:sz w:val="18"/>
              </w:rPr>
              <w:t xml:space="preserve">, </w:t>
            </w:r>
            <w:r>
              <w:rPr>
                <w:rStyle w:val="35"/>
                <w:rFonts w:ascii="Aptos" w:hAnsi="Aptos"/>
                <w:color w:val="1F2937"/>
                <w:sz w:val="18"/>
              </w:rPr>
              <w:t>infrastructure/k8s</w:t>
            </w:r>
            <w:r>
              <w:rPr>
                <w:rFonts w:ascii="Aptos" w:hAnsi="Aptos"/>
                <w:color w:val="1F2937"/>
                <w:sz w:val="18"/>
              </w:rPr>
              <w:t xml:space="preserve">), Terraform; CI/CD con </w:t>
            </w:r>
            <w:r>
              <w:rPr>
                <w:rFonts w:ascii="Aptos" w:hAnsi="Aptos"/>
                <w:b/>
                <w:color w:val="1F2937"/>
                <w:sz w:val="18"/>
              </w:rPr>
              <w:t>GitHub Actions</w:t>
            </w:r>
            <w:r>
              <w:rPr>
                <w:rFonts w:ascii="Aptos" w:hAnsi="Aptos"/>
                <w:color w:val="1F2937"/>
                <w:sz w:val="18"/>
              </w:rPr>
              <w:t xml:space="preserve">, GHCR, promoción </w:t>
            </w:r>
            <w:r>
              <w:rPr>
                <w:rFonts w:ascii="Aptos" w:hAnsi="Aptos"/>
                <w:i/>
                <w:color w:val="1F2937"/>
                <w:sz w:val="18"/>
              </w:rPr>
              <w:t>staging→producción</w:t>
            </w:r>
            <w:r>
              <w:rPr>
                <w:rFonts w:ascii="Aptos" w:hAnsi="Aptos"/>
                <w:color w:val="1F2937"/>
                <w:sz w:val="18"/>
              </w:rPr>
              <w:t xml:space="preserve">, </w:t>
            </w:r>
            <w:r>
              <w:rPr>
                <w:rFonts w:ascii="Aptos" w:hAnsi="Aptos"/>
                <w:i/>
                <w:color w:val="1F2937"/>
                <w:sz w:val="18"/>
              </w:rPr>
              <w:t>rollback</w:t>
            </w:r>
            <w:r>
              <w:rPr>
                <w:rFonts w:ascii="Aptos" w:hAnsi="Aptos"/>
                <w:color w:val="1F2937"/>
                <w:sz w:val="18"/>
              </w:rPr>
              <w:t xml:space="preserve">, </w:t>
            </w:r>
            <w:r>
              <w:rPr>
                <w:rFonts w:ascii="Aptos" w:hAnsi="Aptos"/>
                <w:i/>
                <w:color w:val="1F2937"/>
                <w:sz w:val="18"/>
              </w:rPr>
              <w:t>health</w:t>
            </w:r>
            <w:r>
              <w:rPr>
                <w:rFonts w:ascii="Aptos" w:hAnsi="Aptos"/>
                <w:color w:val="1F2937"/>
                <w:sz w:val="18"/>
              </w:rPr>
              <w:t xml:space="preserve">; </w:t>
            </w:r>
            <w:r>
              <w:rPr>
                <w:rFonts w:ascii="Aptos" w:hAnsi="Aptos"/>
                <w:i/>
                <w:color w:val="1F2937"/>
                <w:sz w:val="18"/>
              </w:rPr>
              <w:t>hooks</w:t>
            </w:r>
            <w:r>
              <w:rPr>
                <w:rFonts w:ascii="Aptos" w:hAnsi="Aptos"/>
                <w:color w:val="1F2937"/>
                <w:sz w:val="18"/>
              </w:rPr>
              <w:t xml:space="preserve"> pre-commit, </w:t>
            </w:r>
            <w:r>
              <w:rPr>
                <w:rFonts w:ascii="Aptos" w:hAnsi="Aptos"/>
                <w:i/>
                <w:color w:val="1F2937"/>
                <w:sz w:val="18"/>
              </w:rPr>
              <w:t>secrets scan</w:t>
            </w:r>
            <w:r>
              <w:rPr>
                <w:rFonts w:ascii="Aptos" w:hAnsi="Aptos"/>
                <w:color w:val="1F2937"/>
                <w:sz w:val="18"/>
              </w:rPr>
              <w:t xml:space="preserve">, Dependabot, </w:t>
            </w:r>
            <w:r>
              <w:rPr>
                <w:rFonts w:ascii="Aptos" w:hAnsi="Aptos"/>
                <w:i/>
                <w:color w:val="1F2937"/>
                <w:sz w:val="18"/>
              </w:rPr>
              <w:t>supply-chain guard</w:t>
            </w:r>
            <w:r>
              <w:rPr>
                <w:rFonts w:ascii="Aptos" w:hAnsi="Aptos"/>
                <w:color w:val="1F2937"/>
                <w:sz w:val="18"/>
              </w:rPr>
              <w:t xml:space="preserve"> (</w:t>
            </w:r>
            <w:r>
              <w:rPr>
                <w:rStyle w:val="35"/>
                <w:rFonts w:ascii="Aptos" w:hAnsi="Aptos"/>
                <w:color w:val="1F2937"/>
                <w:sz w:val="18"/>
              </w:rPr>
              <w:t>.github/</w:t>
            </w:r>
            <w:r>
              <w:rPr>
                <w:rFonts w:ascii="Aptos" w:hAnsi="Aptos"/>
                <w:color w:val="1F2937"/>
                <w:sz w:val="18"/>
              </w:rPr>
              <w:t xml:space="preserve">, </w:t>
            </w:r>
            <w:r>
              <w:rPr>
                <w:rStyle w:val="35"/>
                <w:rFonts w:ascii="Aptos" w:hAnsi="Aptos"/>
                <w:color w:val="1F2937"/>
                <w:sz w:val="18"/>
              </w:rPr>
              <w:t>STACK.md</w:t>
            </w:r>
            <w:r>
              <w:rPr>
                <w:rFonts w:ascii="Aptos" w:hAnsi="Aptos"/>
                <w:color w:val="1F2937"/>
                <w:sz w:val="18"/>
              </w:rPr>
              <w:t xml:space="preserve"> como fuente única de stack)</w:t>
            </w:r>
          </w:p>
        </w:tc>
        <w:tc>
          <w:p w14:paraId="3CE3CD6C">
            <w:pPr>
              <w:pStyle w:val="24"/>
              <w:spacing w:after="0"/>
              <w:jc w:val="left"/>
            </w:pPr>
            <w:r>
              <w:rPr>
                <w:rFonts w:ascii="Aptos" w:hAnsi="Aptos"/>
                <w:color w:val="1F2937"/>
                <w:sz w:val="18"/>
              </w:rPr>
              <w:t>Operativo</w:t>
            </w:r>
          </w:p>
        </w:tc>
      </w:tr>
      <w:tr w14:paraId="44D5231E">
        <w:tblPrEx>
          <w:tblCellMar>
            <w:top w:w="0" w:type="dxa"/>
            <w:left w:w="108" w:type="dxa"/>
            <w:bottom w:w="0" w:type="dxa"/>
            <w:right w:w="108" w:type="dxa"/>
          </w:tblCellMar>
        </w:tblPrEx>
        <w:tc>
          <w:p w14:paraId="09F4EA18">
            <w:pPr>
              <w:pStyle w:val="24"/>
              <w:spacing w:after="0"/>
              <w:jc w:val="left"/>
            </w:pPr>
            <w:r>
              <w:rPr>
                <w:rFonts w:ascii="Aptos" w:hAnsi="Aptos"/>
                <w:color w:val="1F2937"/>
                <w:sz w:val="18"/>
              </w:rPr>
              <w:t>Calidad / pruebas</w:t>
            </w:r>
          </w:p>
        </w:tc>
        <w:tc>
          <w:p w14:paraId="3BB1CDB5">
            <w:pPr>
              <w:pStyle w:val="24"/>
              <w:spacing w:after="0"/>
              <w:jc w:val="left"/>
            </w:pPr>
            <w:r>
              <w:rPr>
                <w:rStyle w:val="35"/>
                <w:rFonts w:ascii="Aptos" w:hAnsi="Aptos"/>
                <w:color w:val="1F2937"/>
                <w:sz w:val="18"/>
              </w:rPr>
              <w:t>tests/</w:t>
            </w:r>
            <w:r>
              <w:rPr>
                <w:rFonts w:ascii="Aptos" w:hAnsi="Aptos"/>
                <w:color w:val="1F2937"/>
                <w:sz w:val="18"/>
              </w:rPr>
              <w:t xml:space="preserve"> (E2E, unitarias, </w:t>
            </w:r>
            <w:r>
              <w:rPr>
                <w:rStyle w:val="35"/>
                <w:rFonts w:ascii="Aptos" w:hAnsi="Aptos"/>
                <w:color w:val="1F2937"/>
                <w:sz w:val="18"/>
              </w:rPr>
              <w:t>test_sovereign_orchestrator</w:t>
            </w:r>
            <w:r>
              <w:rPr>
                <w:rFonts w:ascii="Aptos" w:hAnsi="Aptos"/>
                <w:color w:val="1F2937"/>
                <w:sz w:val="18"/>
              </w:rPr>
              <w:t xml:space="preserve">, </w:t>
            </w:r>
            <w:r>
              <w:rPr>
                <w:rStyle w:val="35"/>
                <w:rFonts w:ascii="Aptos" w:hAnsi="Aptos"/>
                <w:color w:val="1F2937"/>
                <w:sz w:val="18"/>
              </w:rPr>
              <w:t>hetzner_autoscaler</w:t>
            </w:r>
            <w:r>
              <w:rPr>
                <w:rFonts w:ascii="Aptos" w:hAnsi="Aptos"/>
                <w:color w:val="1F2937"/>
                <w:sz w:val="18"/>
              </w:rPr>
              <w:t xml:space="preserve">), </w:t>
            </w:r>
            <w:r>
              <w:rPr>
                <w:rStyle w:val="35"/>
                <w:rFonts w:ascii="Aptos" w:hAnsi="Aptos"/>
                <w:color w:val="1F2937"/>
                <w:sz w:val="18"/>
              </w:rPr>
              <w:t>pytest.ini</w:t>
            </w:r>
            <w:r>
              <w:rPr>
                <w:rFonts w:ascii="Aptos" w:hAnsi="Aptos"/>
                <w:color w:val="1F2937"/>
                <w:sz w:val="18"/>
              </w:rPr>
              <w:t>, cobertura, ESLint + Black/Ruff + Prettier</w:t>
            </w:r>
          </w:p>
        </w:tc>
        <w:tc>
          <w:p w14:paraId="612B34DE">
            <w:pPr>
              <w:pStyle w:val="24"/>
              <w:spacing w:after="0"/>
              <w:jc w:val="left"/>
            </w:pPr>
            <w:r>
              <w:rPr>
                <w:rFonts w:ascii="Aptos" w:hAnsi="Aptos"/>
                <w:color w:val="1F2937"/>
                <w:sz w:val="18"/>
              </w:rPr>
              <w:t>Operativo</w:t>
            </w:r>
          </w:p>
        </w:tc>
      </w:tr>
    </w:tbl>
    <w:p w14:paraId="33804E62">
      <w:pPr>
        <w:pStyle w:val="3"/>
      </w:pPr>
      <w:r>
        <w:rPr>
          <w:rFonts w:ascii="Aptos" w:hAnsi="Aptos"/>
          <w:b/>
          <w:color w:val="1F2937"/>
          <w:sz w:val="21"/>
        </w:rPr>
        <w:t>Por qué esto refuerza la operativa del proyecto.</w:t>
      </w:r>
      <w:r>
        <w:rPr>
          <w:rFonts w:ascii="Aptos" w:hAnsi="Aptos"/>
          <w:color w:val="1F2937"/>
          <w:sz w:val="21"/>
        </w:rPr>
        <w:t xml:space="preserve"> (1) </w:t>
      </w:r>
      <w:r>
        <w:rPr>
          <w:rFonts w:ascii="Aptos" w:hAnsi="Aptos"/>
          <w:b/>
          <w:color w:val="1F2937"/>
          <w:sz w:val="21"/>
        </w:rPr>
        <w:t>Soberanía real</w:t>
      </w:r>
      <w:r>
        <w:rPr>
          <w:rFonts w:ascii="Aptos" w:hAnsi="Aptos"/>
          <w:color w:val="1F2937"/>
          <w:sz w:val="21"/>
        </w:rPr>
        <w:t xml:space="preserve">: infraestructura europea (Hetzner), datos en la UE, módulo GDPR y cifrado híbrido — no una promesa, código desplegado en entorno de desarrollo/staging, cuando así consta. (2) </w:t>
      </w:r>
      <w:r>
        <w:rPr>
          <w:rFonts w:ascii="Aptos" w:hAnsi="Aptos"/>
          <w:b/>
          <w:color w:val="1F2937"/>
          <w:sz w:val="21"/>
        </w:rPr>
        <w:t>Continuidad y despliegue reproducible</w:t>
      </w:r>
      <w:r>
        <w:rPr>
          <w:rFonts w:ascii="Aptos" w:hAnsi="Aptos"/>
          <w:color w:val="1F2937"/>
          <w:sz w:val="21"/>
        </w:rPr>
        <w:t xml:space="preserve">: cadena </w:t>
      </w:r>
      <w:r>
        <w:rPr>
          <w:rFonts w:ascii="Aptos" w:hAnsi="Aptos"/>
          <w:i/>
          <w:color w:val="1F2937"/>
          <w:sz w:val="21"/>
        </w:rPr>
        <w:t>staging→producción</w:t>
      </w:r>
      <w:r>
        <w:rPr>
          <w:rFonts w:ascii="Aptos" w:hAnsi="Aptos"/>
          <w:color w:val="1F2937"/>
          <w:sz w:val="21"/>
        </w:rPr>
        <w:t xml:space="preserve"> con promoción, </w:t>
      </w:r>
      <w:r>
        <w:rPr>
          <w:rFonts w:ascii="Aptos" w:hAnsi="Aptos"/>
          <w:i/>
          <w:color w:val="1F2937"/>
          <w:sz w:val="21"/>
        </w:rPr>
        <w:t>rollback</w:t>
      </w:r>
      <w:r>
        <w:rPr>
          <w:rFonts w:ascii="Aptos" w:hAnsi="Aptos"/>
          <w:color w:val="1F2937"/>
          <w:sz w:val="21"/>
        </w:rPr>
        <w:t xml:space="preserve"> y </w:t>
      </w:r>
      <w:r>
        <w:rPr>
          <w:rFonts w:ascii="Aptos" w:hAnsi="Aptos"/>
          <w:i/>
          <w:color w:val="1F2937"/>
          <w:sz w:val="21"/>
        </w:rPr>
        <w:t>health checks</w:t>
      </w:r>
      <w:r>
        <w:rPr>
          <w:rFonts w:ascii="Aptos" w:hAnsi="Aptos"/>
          <w:color w:val="1F2937"/>
          <w:sz w:val="21"/>
        </w:rPr>
        <w:t xml:space="preserve"> automatizados; contenedores y Kubernetes; Terraform declarativo. (3) </w:t>
      </w:r>
      <w:r>
        <w:rPr>
          <w:rFonts w:ascii="Aptos" w:hAnsi="Aptos"/>
          <w:b/>
          <w:color w:val="1F2937"/>
          <w:sz w:val="21"/>
        </w:rPr>
        <w:t>Seguridad por diseño</w:t>
      </w:r>
      <w:r>
        <w:rPr>
          <w:rFonts w:ascii="Aptos" w:hAnsi="Aptos"/>
          <w:color w:val="1F2937"/>
          <w:sz w:val="21"/>
        </w:rPr>
        <w:t xml:space="preserve">: Vault, JWT+MFA+RBAC, </w:t>
      </w:r>
      <w:r>
        <w:rPr>
          <w:rFonts w:ascii="Aptos" w:hAnsi="Aptos"/>
          <w:i/>
          <w:color w:val="1F2937"/>
          <w:sz w:val="21"/>
        </w:rPr>
        <w:t>secrets scan</w:t>
      </w:r>
      <w:r>
        <w:rPr>
          <w:rFonts w:ascii="Aptos" w:hAnsi="Aptos"/>
          <w:color w:val="1F2937"/>
          <w:sz w:val="21"/>
        </w:rPr>
        <w:t xml:space="preserve"> y Dependabot en CI, </w:t>
      </w:r>
      <w:r>
        <w:rPr>
          <w:rStyle w:val="35"/>
          <w:rFonts w:ascii="Aptos" w:hAnsi="Aptos"/>
          <w:color w:val="1F2937"/>
          <w:sz w:val="21"/>
        </w:rPr>
        <w:t>SECURITY.md</w:t>
      </w:r>
      <w:r>
        <w:rPr>
          <w:rFonts w:ascii="Aptos" w:hAnsi="Aptos"/>
          <w:color w:val="1F2937"/>
          <w:sz w:val="21"/>
        </w:rPr>
        <w:t xml:space="preserve">. (4) </w:t>
      </w:r>
      <w:r>
        <w:rPr>
          <w:rFonts w:ascii="Aptos" w:hAnsi="Aptos"/>
          <w:b/>
          <w:color w:val="1F2937"/>
          <w:sz w:val="21"/>
        </w:rPr>
        <w:t>Trazabilidad ejecutable</w:t>
      </w:r>
      <w:r>
        <w:rPr>
          <w:rFonts w:ascii="Aptos" w:hAnsi="Aptos"/>
          <w:color w:val="1F2937"/>
          <w:sz w:val="21"/>
        </w:rPr>
        <w:t>: la capa GaiaChain/TRAZALIA y los servidores MCP existen como código (</w:t>
      </w:r>
      <w:r>
        <w:rPr>
          <w:rStyle w:val="35"/>
          <w:rFonts w:ascii="Aptos" w:hAnsi="Aptos"/>
          <w:color w:val="1F2937"/>
          <w:sz w:val="21"/>
        </w:rPr>
        <w:t>validar_lote</w:t>
      </w:r>
      <w:r>
        <w:rPr>
          <w:rFonts w:ascii="Aptos" w:hAnsi="Aptos"/>
          <w:color w:val="1F2937"/>
          <w:sz w:val="21"/>
        </w:rPr>
        <w:t xml:space="preserve">, </w:t>
      </w:r>
      <w:r>
        <w:rPr>
          <w:rStyle w:val="35"/>
          <w:rFonts w:ascii="Aptos" w:hAnsi="Aptos"/>
          <w:color w:val="1F2937"/>
          <w:sz w:val="21"/>
        </w:rPr>
        <w:t>blockchain_txs/iso22000</w:t>
      </w:r>
      <w:r>
        <w:rPr>
          <w:rFonts w:ascii="Aptos" w:hAnsi="Aptos"/>
          <w:color w:val="1F2937"/>
          <w:sz w:val="21"/>
        </w:rPr>
        <w:t xml:space="preserve">), lo que da soporte técnico al SEV y a la propuesta de valor de verificabilidad. (5) </w:t>
      </w:r>
      <w:r>
        <w:rPr>
          <w:rFonts w:ascii="Aptos" w:hAnsi="Aptos"/>
          <w:b/>
          <w:color w:val="1F2937"/>
          <w:sz w:val="21"/>
        </w:rPr>
        <w:t>IoT validado en entorno de laboratorio o integración, según el alcance documentado</w:t>
      </w:r>
      <w:r>
        <w:rPr>
          <w:rFonts w:ascii="Aptos" w:hAnsi="Aptos"/>
          <w:color w:val="1F2937"/>
          <w:sz w:val="21"/>
        </w:rPr>
        <w:t xml:space="preserve">: firmware LoRaWAN sobre TTN EU868, coherente con la operación </w:t>
      </w:r>
      <w:r>
        <w:rPr>
          <w:rFonts w:ascii="Aptos" w:hAnsi="Aptos"/>
          <w:i/>
          <w:color w:val="1F2937"/>
          <w:sz w:val="21"/>
        </w:rPr>
        <w:t>offline-first / edge</w:t>
      </w:r>
      <w:r>
        <w:rPr>
          <w:rFonts w:ascii="Aptos" w:hAnsi="Aptos"/>
          <w:color w:val="1F2937"/>
          <w:sz w:val="21"/>
        </w:rPr>
        <w:t xml:space="preserve"> declarada.</w:t>
      </w:r>
    </w:p>
    <w:p w14:paraId="40E6A69F">
      <w:pPr>
        <w:pStyle w:val="3"/>
      </w:pPr>
      <w:r>
        <w:rPr>
          <w:rFonts w:ascii="Aptos" w:hAnsi="Aptos"/>
          <w:b/>
          <w:color w:val="1F2937"/>
          <w:sz w:val="21"/>
        </w:rPr>
        <w:t>Perfil técnico v5.0 (agosto 2026).</w:t>
      </w:r>
      <w:r>
        <w:rPr>
          <w:rFonts w:ascii="Aptos" w:hAnsi="Aptos"/>
          <w:color w:val="1F2937"/>
          <w:sz w:val="21"/>
        </w:rPr>
        <w:t xml:space="preserve"> El repositorio </w:t>
      </w:r>
      <w:r>
        <w:rPr>
          <w:rStyle w:val="35"/>
          <w:rFonts w:ascii="Aptos" w:hAnsi="Aptos"/>
          <w:color w:val="1F2937"/>
          <w:sz w:val="21"/>
        </w:rPr>
        <w:t>Traky12/Castuo-system</w:t>
      </w:r>
      <w:r>
        <w:rPr>
          <w:rFonts w:ascii="Aptos" w:hAnsi="Aptos"/>
          <w:color w:val="1F2937"/>
          <w:sz w:val="21"/>
        </w:rPr>
        <w:t xml:space="preserve"> documenta una arquitectura consolidada de </w:t>
      </w:r>
      <w:r>
        <w:rPr>
          <w:rFonts w:ascii="Aptos" w:hAnsi="Aptos"/>
          <w:b/>
          <w:color w:val="1F2937"/>
          <w:sz w:val="21"/>
        </w:rPr>
        <w:t>más de 40 módulos funcionales</w:t>
      </w:r>
      <w:r>
        <w:rPr>
          <w:rFonts w:ascii="Aptos" w:hAnsi="Aptos"/>
          <w:color w:val="1F2937"/>
          <w:sz w:val="21"/>
        </w:rPr>
        <w:t xml:space="preserve"> con: backend SaaS multi-tenant FastAPI/PostgreSQL(+PostGIS) sobre infraestructura soberana UE (Hetzner) e IA soberana (Mistral AI); capa IoT/edge (MQTT, LoRaWAN, ESP32, gateway </w:t>
      </w:r>
      <w:r>
        <w:rPr>
          <w:rFonts w:ascii="Aptos" w:hAnsi="Aptos"/>
          <w:i/>
          <w:color w:val="1F2937"/>
          <w:sz w:val="21"/>
        </w:rPr>
        <w:t>offline-first</w:t>
      </w:r>
      <w:r>
        <w:rPr>
          <w:rFonts w:ascii="Aptos" w:hAnsi="Aptos"/>
          <w:color w:val="1F2937"/>
          <w:sz w:val="21"/>
        </w:rPr>
        <w:t xml:space="preserve">) sobre nodo propio </w:t>
      </w:r>
      <w:r>
        <w:rPr>
          <w:rFonts w:ascii="Aptos" w:hAnsi="Aptos"/>
          <w:b/>
          <w:color w:val="1F2937"/>
          <w:sz w:val="21"/>
        </w:rPr>
        <w:t>vNode</w:t>
      </w:r>
      <w:r>
        <w:rPr>
          <w:rFonts w:ascii="Aptos" w:hAnsi="Aptos"/>
          <w:color w:val="1F2937"/>
          <w:sz w:val="21"/>
        </w:rPr>
        <w:t xml:space="preserve">; agente </w:t>
      </w:r>
      <w:r>
        <w:rPr>
          <w:rFonts w:ascii="Aptos" w:hAnsi="Aptos"/>
          <w:b/>
          <w:color w:val="1F2937"/>
          <w:sz w:val="21"/>
        </w:rPr>
        <w:t>SABIONDA</w:t>
      </w:r>
      <w:r>
        <w:rPr>
          <w:rFonts w:ascii="Aptos" w:hAnsi="Aptos"/>
          <w:color w:val="1F2937"/>
          <w:sz w:val="21"/>
        </w:rPr>
        <w:t xml:space="preserve"> multiagente (RAG + LangGraph); trazabilidad </w:t>
      </w:r>
      <w:r>
        <w:rPr>
          <w:rFonts w:ascii="Aptos" w:hAnsi="Aptos"/>
          <w:b/>
          <w:color w:val="1F2937"/>
          <w:sz w:val="21"/>
        </w:rPr>
        <w:t>TRAZALIA</w:t>
      </w:r>
      <w:r>
        <w:rPr>
          <w:rFonts w:ascii="Aptos" w:hAnsi="Aptos"/>
          <w:color w:val="1F2937"/>
          <w:sz w:val="21"/>
        </w:rPr>
        <w:t xml:space="preserve"> en evolución a </w:t>
      </w:r>
      <w:r>
        <w:rPr>
          <w:rFonts w:ascii="Aptos" w:hAnsi="Aptos"/>
          <w:b/>
          <w:color w:val="1F2937"/>
          <w:sz w:val="21"/>
        </w:rPr>
        <w:t>GaiaChain Core</w:t>
      </w:r>
      <w:r>
        <w:rPr>
          <w:rFonts w:ascii="Aptos" w:hAnsi="Aptos"/>
          <w:color w:val="1F2937"/>
          <w:sz w:val="21"/>
        </w:rPr>
        <w:t xml:space="preserve">; </w:t>
      </w:r>
      <w:r>
        <w:rPr>
          <w:rFonts w:ascii="Aptos" w:hAnsi="Aptos"/>
          <w:b/>
          <w:color w:val="1F2937"/>
          <w:sz w:val="21"/>
        </w:rPr>
        <w:t>arquitectura de Evolución Nombrada (NE-01 a NE-06)</w:t>
      </w:r>
      <w:r>
        <w:rPr>
          <w:rFonts w:ascii="Aptos" w:hAnsi="Aptos"/>
          <w:color w:val="1F2937"/>
          <w:sz w:val="21"/>
        </w:rPr>
        <w:t xml:space="preserve"> que distingue explícitamente lo </w:t>
      </w:r>
      <w:r>
        <w:rPr>
          <w:rFonts w:ascii="Aptos" w:hAnsi="Aptos"/>
          <w:i/>
          <w:color w:val="1F2937"/>
          <w:sz w:val="21"/>
        </w:rPr>
        <w:t>implementado / conectado / verificado / promovido</w:t>
      </w:r>
      <w:r>
        <w:rPr>
          <w:rFonts w:ascii="Aptos" w:hAnsi="Aptos"/>
          <w:color w:val="1F2937"/>
          <w:sz w:val="21"/>
        </w:rPr>
        <w:t xml:space="preserve">; criptografía </w:t>
      </w:r>
      <w:r>
        <w:rPr>
          <w:rFonts w:ascii="Aptos" w:hAnsi="Aptos"/>
          <w:b/>
          <w:color w:val="1F2937"/>
          <w:sz w:val="21"/>
        </w:rPr>
        <w:t>post-cuántica</w:t>
      </w:r>
      <w:r>
        <w:rPr>
          <w:rFonts w:ascii="Aptos" w:hAnsi="Aptos"/>
          <w:color w:val="1F2937"/>
          <w:sz w:val="21"/>
        </w:rPr>
        <w:t xml:space="preserve"> (Dilithium3, Kyber768) y alineación RGPD, AI Act UE 2024/1689, </w:t>
      </w:r>
      <w:r>
        <w:rPr>
          <w:rFonts w:ascii="Aptos" w:hAnsi="Aptos"/>
          <w:b/>
          <w:color w:val="1F2937"/>
          <w:sz w:val="21"/>
        </w:rPr>
        <w:t>eIDAS2</w:t>
      </w:r>
      <w:r>
        <w:rPr>
          <w:rFonts w:ascii="Aptos" w:hAnsi="Aptos"/>
          <w:color w:val="1F2937"/>
          <w:sz w:val="21"/>
        </w:rPr>
        <w:t xml:space="preserve"> y **VERI*FACTU</w:t>
      </w:r>
      <w:r>
        <w:rPr>
          <w:rFonts w:ascii="Aptos" w:hAnsi="Aptos"/>
          <w:b/>
          <w:color w:val="1F2937"/>
          <w:sz w:val="21"/>
        </w:rPr>
        <w:t xml:space="preserve">. Bloque de evolución reciente </w:t>
      </w:r>
      <w:r>
        <w:rPr>
          <w:rFonts w:ascii="Aptos" w:hAnsi="Aptos"/>
          <w:color w:val="1F2937"/>
          <w:sz w:val="21"/>
        </w:rPr>
        <w:t>validado en CI real: 116 tests automatizados superados</w:t>
      </w:r>
      <w:r>
        <w:rPr>
          <w:rFonts w:ascii="Aptos" w:hAnsi="Aptos"/>
          <w:b/>
          <w:color w:val="1F2937"/>
          <w:sz w:val="21"/>
        </w:rPr>
        <w:t xml:space="preserve"> (31 de registro de repositorios, 23 de relaciones, 62 de generación de evidencia). Los prototipos UAV se corrigen de una estimación inicial TRL 2 a </w:t>
      </w:r>
      <w:r>
        <w:rPr>
          <w:rFonts w:ascii="Aptos" w:hAnsi="Aptos"/>
          <w:color w:val="1F2937"/>
          <w:sz w:val="21"/>
        </w:rPr>
        <w:t>TRL 4</w:t>
      </w:r>
      <w:r>
        <w:rPr>
          <w:rFonts w:ascii="Aptos" w:hAnsi="Aptos"/>
          <w:b/>
          <w:color w:val="1F2937"/>
          <w:sz w:val="21"/>
        </w:rPr>
        <w:t xml:space="preserve"> — corrección a la baja que refuerza la credibilidad. </w:t>
      </w:r>
      <w:r>
        <w:rPr>
          <w:rFonts w:ascii="Aptos" w:hAnsi="Aptos"/>
          <w:color w:val="1F2937"/>
          <w:sz w:val="21"/>
        </w:rPr>
        <w:t xml:space="preserve">Principio rector:** </w:t>
      </w:r>
      <w:r>
        <w:rPr>
          <w:rFonts w:ascii="Aptos" w:hAnsi="Aptos"/>
          <w:i/>
          <w:color w:val="1F2937"/>
          <w:sz w:val="21"/>
        </w:rPr>
        <w:t>“no declarar una capacidad por encima de su evidencia disponible”</w:t>
      </w:r>
      <w:r>
        <w:rPr>
          <w:rFonts w:ascii="Aptos" w:hAnsi="Aptos"/>
          <w:color w:val="1F2937"/>
          <w:sz w:val="21"/>
        </w:rPr>
        <w:t>; el plan no presenta proyecciones de ingresos no validadas como hechos.</w:t>
      </w:r>
    </w:p>
    <w:p w14:paraId="0AD705E5">
      <w:pPr>
        <w:pStyle w:val="5"/>
      </w:pPr>
      <w:bookmarkStart w:id="20" w:name="Xc047bd813eb6d037daaf07205b6a17470102ad7"/>
      <w:r>
        <w:rPr>
          <w:rFonts w:ascii="Aptos Display" w:hAnsi="Aptos Display"/>
          <w:b/>
          <w:color w:val="174A2E"/>
          <w:sz w:val="21"/>
        </w:rPr>
        <w:t>Valoración del activo tecnológico: 420.000 € (coste de reposición nuevo)</w:t>
      </w:r>
      <w:bookmarkEnd w:id="20"/>
    </w:p>
    <w:p w14:paraId="6C3BE170">
      <w:pPr>
        <w:pStyle w:val="23"/>
      </w:pPr>
      <w:r>
        <w:rPr>
          <w:rFonts w:ascii="Aptos" w:hAnsi="Aptos"/>
          <w:color w:val="1F2937"/>
          <w:sz w:val="21"/>
        </w:rPr>
        <w:t xml:space="preserve">Conforme al Documento maestro de agosto de 2026 y al anexo Excel de valoración, el activo tecnológico desarrollado por CASTÚO-SYSTEM™ (Grupo Castúo 360 S.L.) se valora en </w:t>
      </w:r>
      <w:r>
        <w:rPr>
          <w:rFonts w:ascii="Aptos" w:hAnsi="Aptos"/>
          <w:b/>
          <w:color w:val="1F2937"/>
          <w:sz w:val="21"/>
        </w:rPr>
        <w:t>420.000 €</w:t>
      </w:r>
      <w:r>
        <w:rPr>
          <w:rFonts w:ascii="Aptos" w:hAnsi="Aptos"/>
          <w:color w:val="1F2937"/>
          <w:sz w:val="21"/>
        </w:rPr>
        <w:t xml:space="preserve"> mediante </w:t>
      </w:r>
      <w:r>
        <w:rPr>
          <w:rFonts w:ascii="Aptos" w:hAnsi="Aptos"/>
          <w:b/>
          <w:color w:val="1F2937"/>
          <w:sz w:val="21"/>
        </w:rPr>
        <w:t>coste de reposición nuevo (RCN)</w:t>
      </w:r>
      <w:r>
        <w:rPr>
          <w:rFonts w:ascii="Aptos" w:hAnsi="Aptos"/>
          <w:color w:val="1F2937"/>
          <w:sz w:val="21"/>
        </w:rPr>
        <w:t xml:space="preserve">: </w:t>
      </w:r>
      <w:r>
        <w:rPr>
          <w:rFonts w:ascii="Aptos" w:hAnsi="Aptos"/>
          <w:b/>
          <w:color w:val="1F2937"/>
          <w:sz w:val="21"/>
        </w:rPr>
        <w:t>5.600 horas</w:t>
      </w:r>
      <w:r>
        <w:rPr>
          <w:rFonts w:ascii="Aptos" w:hAnsi="Aptos"/>
          <w:color w:val="1F2937"/>
          <w:sz w:val="21"/>
        </w:rPr>
        <w:t xml:space="preserve"> de ingeniería a una </w:t>
      </w:r>
      <w:r>
        <w:rPr>
          <w:rFonts w:ascii="Aptos" w:hAnsi="Aptos"/>
          <w:b/>
          <w:color w:val="1F2937"/>
          <w:sz w:val="21"/>
        </w:rPr>
        <w:t>tarifa de 75 €/hora</w:t>
      </w:r>
      <w:r>
        <w:rPr>
          <w:rFonts w:ascii="Aptos" w:hAnsi="Aptos"/>
          <w:color w:val="1F2937"/>
          <w:sz w:val="21"/>
        </w:rPr>
        <w:t>, supuesto de reposición técnica intermedio dentro del rango consideradoa frente a las tarifas de mercado (25–70 €/h generalista; 55–120 €/h cloud; 70–150 €/h IA/ML; 100–250 €/h ciberseguridad senior). Desglose por los diez módulos funcionales:</w:t>
      </w:r>
    </w:p>
    <w:tbl>
      <w:tblPr>
        <w:tblStyle w:val="28"/>
        <w:tblW w:w="9360" w:type="dxa"/>
        <w:jc w:val="center"/>
        <w:tblInd w:w="0" w:type="dxa"/>
        <w:tblLayout w:type="fixed"/>
        <w:tblCellMar>
          <w:top w:w="0" w:type="dxa"/>
          <w:left w:w="108" w:type="dxa"/>
          <w:bottom w:w="0" w:type="dxa"/>
          <w:right w:w="108" w:type="dxa"/>
        </w:tblCellMar>
      </w:tblPr>
      <w:tblGrid>
        <w:gridCol w:w="3120"/>
        <w:gridCol w:w="3120"/>
        <w:gridCol w:w="3120"/>
      </w:tblGrid>
      <w:tr w14:paraId="3AFBFD40">
        <w:tblPrEx>
          <w:tblCellMar>
            <w:top w:w="0" w:type="dxa"/>
            <w:left w:w="108" w:type="dxa"/>
            <w:bottom w:w="0" w:type="dxa"/>
            <w:right w:w="108" w:type="dxa"/>
          </w:tblCellMar>
        </w:tblPrEx>
        <w:tc>
          <w:tcPr>
            <w:tcW w:w="3120" w:type="dxa"/>
            <w:tcBorders>
              <w:bottom w:val="single" w:color="auto" w:sz="0" w:space="0"/>
            </w:tcBorders>
            <w:vAlign w:val="bottom"/>
          </w:tcPr>
          <w:p w14:paraId="14407E06">
            <w:pPr>
              <w:pStyle w:val="24"/>
              <w:spacing w:after="0"/>
              <w:jc w:val="left"/>
            </w:pPr>
            <w:r>
              <w:rPr>
                <w:rFonts w:ascii="Aptos" w:hAnsi="Aptos"/>
                <w:color w:val="1F2937"/>
                <w:sz w:val="18"/>
              </w:rPr>
              <w:t>Módulo</w:t>
            </w:r>
          </w:p>
        </w:tc>
        <w:tc>
          <w:tcPr>
            <w:tcW w:w="3120" w:type="dxa"/>
            <w:tcBorders>
              <w:bottom w:val="single" w:color="auto" w:sz="0" w:space="0"/>
            </w:tcBorders>
            <w:vAlign w:val="bottom"/>
          </w:tcPr>
          <w:p w14:paraId="6554F86B">
            <w:pPr>
              <w:pStyle w:val="24"/>
              <w:spacing w:after="0"/>
              <w:jc w:val="right"/>
            </w:pPr>
            <w:r>
              <w:rPr>
                <w:rFonts w:ascii="Aptos" w:hAnsi="Aptos"/>
                <w:color w:val="1F2937"/>
                <w:sz w:val="18"/>
              </w:rPr>
              <w:t>Horas</w:t>
            </w:r>
          </w:p>
        </w:tc>
        <w:tc>
          <w:tcPr>
            <w:tcW w:w="3120" w:type="dxa"/>
            <w:tcBorders>
              <w:bottom w:val="single" w:color="auto" w:sz="0" w:space="0"/>
            </w:tcBorders>
            <w:vAlign w:val="bottom"/>
          </w:tcPr>
          <w:p w14:paraId="2004E0AA">
            <w:pPr>
              <w:pStyle w:val="24"/>
              <w:spacing w:after="0"/>
              <w:jc w:val="right"/>
            </w:pPr>
            <w:r>
              <w:rPr>
                <w:rFonts w:ascii="Aptos" w:hAnsi="Aptos"/>
                <w:color w:val="1F2937"/>
                <w:sz w:val="18"/>
              </w:rPr>
              <w:t>Coste (75 €/h)</w:t>
            </w:r>
          </w:p>
        </w:tc>
      </w:tr>
      <w:tr w14:paraId="12A7B86A">
        <w:tblPrEx>
          <w:tblCellMar>
            <w:top w:w="0" w:type="dxa"/>
            <w:left w:w="108" w:type="dxa"/>
            <w:bottom w:w="0" w:type="dxa"/>
            <w:right w:w="108" w:type="dxa"/>
          </w:tblCellMar>
        </w:tblPrEx>
        <w:tc>
          <w:p w14:paraId="0CCF0709">
            <w:pPr>
              <w:pStyle w:val="24"/>
              <w:spacing w:after="0"/>
              <w:jc w:val="left"/>
            </w:pPr>
            <w:r>
              <w:rPr>
                <w:rFonts w:ascii="Aptos" w:hAnsi="Aptos"/>
                <w:color w:val="1F2937"/>
                <w:sz w:val="18"/>
              </w:rPr>
              <w:t>1. Backend / API SaaS multi-tenant</w:t>
            </w:r>
          </w:p>
        </w:tc>
        <w:tc>
          <w:p w14:paraId="4A40FD94">
            <w:pPr>
              <w:pStyle w:val="24"/>
              <w:spacing w:after="0"/>
              <w:jc w:val="right"/>
            </w:pPr>
            <w:r>
              <w:rPr>
                <w:rFonts w:ascii="Aptos" w:hAnsi="Aptos"/>
                <w:color w:val="1F2937"/>
                <w:sz w:val="18"/>
              </w:rPr>
              <w:t>1.015</w:t>
            </w:r>
          </w:p>
        </w:tc>
        <w:tc>
          <w:p w14:paraId="5772D804">
            <w:pPr>
              <w:pStyle w:val="24"/>
              <w:spacing w:after="0"/>
              <w:jc w:val="right"/>
            </w:pPr>
            <w:r>
              <w:rPr>
                <w:rFonts w:ascii="Aptos" w:hAnsi="Aptos"/>
                <w:color w:val="1F2937"/>
                <w:sz w:val="18"/>
              </w:rPr>
              <w:t>76.125 €</w:t>
            </w:r>
          </w:p>
        </w:tc>
      </w:tr>
      <w:tr w14:paraId="5E16FF61">
        <w:tblPrEx>
          <w:tblCellMar>
            <w:top w:w="0" w:type="dxa"/>
            <w:left w:w="108" w:type="dxa"/>
            <w:bottom w:w="0" w:type="dxa"/>
            <w:right w:w="108" w:type="dxa"/>
          </w:tblCellMar>
        </w:tblPrEx>
        <w:tc>
          <w:p w14:paraId="45A304A3">
            <w:pPr>
              <w:pStyle w:val="24"/>
              <w:spacing w:after="0"/>
              <w:jc w:val="left"/>
            </w:pPr>
            <w:r>
              <w:rPr>
                <w:rFonts w:ascii="Aptos" w:hAnsi="Aptos"/>
                <w:color w:val="1F2937"/>
                <w:sz w:val="18"/>
              </w:rPr>
              <w:t>2. IoT / Edge computing</w:t>
            </w:r>
          </w:p>
        </w:tc>
        <w:tc>
          <w:p w14:paraId="7E0F3F16">
            <w:pPr>
              <w:pStyle w:val="24"/>
              <w:spacing w:after="0"/>
              <w:jc w:val="right"/>
            </w:pPr>
            <w:r>
              <w:rPr>
                <w:rFonts w:ascii="Aptos" w:hAnsi="Aptos"/>
                <w:color w:val="1F2937"/>
                <w:sz w:val="18"/>
              </w:rPr>
              <w:t>665</w:t>
            </w:r>
          </w:p>
        </w:tc>
        <w:tc>
          <w:p w14:paraId="524B9BBF">
            <w:pPr>
              <w:pStyle w:val="24"/>
              <w:spacing w:after="0"/>
              <w:jc w:val="right"/>
            </w:pPr>
            <w:r>
              <w:rPr>
                <w:rFonts w:ascii="Aptos" w:hAnsi="Aptos"/>
                <w:color w:val="1F2937"/>
                <w:sz w:val="18"/>
              </w:rPr>
              <w:t>49.875 €</w:t>
            </w:r>
          </w:p>
        </w:tc>
      </w:tr>
      <w:tr w14:paraId="599E1119">
        <w:tblPrEx>
          <w:tblCellMar>
            <w:top w:w="0" w:type="dxa"/>
            <w:left w:w="108" w:type="dxa"/>
            <w:bottom w:w="0" w:type="dxa"/>
            <w:right w:w="108" w:type="dxa"/>
          </w:tblCellMar>
        </w:tblPrEx>
        <w:tc>
          <w:p w14:paraId="181168E6">
            <w:pPr>
              <w:pStyle w:val="24"/>
              <w:spacing w:after="0"/>
              <w:jc w:val="left"/>
            </w:pPr>
            <w:r>
              <w:rPr>
                <w:rFonts w:ascii="Aptos" w:hAnsi="Aptos"/>
                <w:color w:val="1F2937"/>
                <w:sz w:val="18"/>
              </w:rPr>
              <w:t>3. IA multiagente SABIONDA</w:t>
            </w:r>
          </w:p>
        </w:tc>
        <w:tc>
          <w:p w14:paraId="585A46E7">
            <w:pPr>
              <w:pStyle w:val="24"/>
              <w:spacing w:after="0"/>
              <w:jc w:val="right"/>
            </w:pPr>
            <w:r>
              <w:rPr>
                <w:rFonts w:ascii="Aptos" w:hAnsi="Aptos"/>
                <w:color w:val="1F2937"/>
                <w:sz w:val="18"/>
              </w:rPr>
              <w:t>700</w:t>
            </w:r>
          </w:p>
        </w:tc>
        <w:tc>
          <w:p w14:paraId="24366199">
            <w:pPr>
              <w:pStyle w:val="24"/>
              <w:spacing w:after="0"/>
              <w:jc w:val="right"/>
            </w:pPr>
            <w:r>
              <w:rPr>
                <w:rFonts w:ascii="Aptos" w:hAnsi="Aptos"/>
                <w:color w:val="1F2937"/>
                <w:sz w:val="18"/>
              </w:rPr>
              <w:t>52.500 €</w:t>
            </w:r>
          </w:p>
        </w:tc>
      </w:tr>
      <w:tr w14:paraId="797339AF">
        <w:tblPrEx>
          <w:tblCellMar>
            <w:top w:w="0" w:type="dxa"/>
            <w:left w:w="108" w:type="dxa"/>
            <w:bottom w:w="0" w:type="dxa"/>
            <w:right w:w="108" w:type="dxa"/>
          </w:tblCellMar>
        </w:tblPrEx>
        <w:tc>
          <w:p w14:paraId="02921E0C">
            <w:pPr>
              <w:pStyle w:val="24"/>
              <w:spacing w:after="0"/>
              <w:jc w:val="left"/>
            </w:pPr>
            <w:r>
              <w:rPr>
                <w:rFonts w:ascii="Aptos" w:hAnsi="Aptos"/>
                <w:color w:val="1F2937"/>
                <w:sz w:val="18"/>
              </w:rPr>
              <w:t>4. Trazabilidad blockchain (TRAZALIA / GaiaChain)</w:t>
            </w:r>
          </w:p>
        </w:tc>
        <w:tc>
          <w:p w14:paraId="3C70699A">
            <w:pPr>
              <w:pStyle w:val="24"/>
              <w:spacing w:after="0"/>
              <w:jc w:val="right"/>
            </w:pPr>
            <w:r>
              <w:rPr>
                <w:rFonts w:ascii="Aptos" w:hAnsi="Aptos"/>
                <w:color w:val="1F2937"/>
                <w:sz w:val="18"/>
              </w:rPr>
              <w:t>490</w:t>
            </w:r>
          </w:p>
        </w:tc>
        <w:tc>
          <w:p w14:paraId="3820AB53">
            <w:pPr>
              <w:pStyle w:val="24"/>
              <w:spacing w:after="0"/>
              <w:jc w:val="right"/>
            </w:pPr>
            <w:r>
              <w:rPr>
                <w:rFonts w:ascii="Aptos" w:hAnsi="Aptos"/>
                <w:color w:val="1F2937"/>
                <w:sz w:val="18"/>
              </w:rPr>
              <w:t>36.750 €</w:t>
            </w:r>
          </w:p>
        </w:tc>
      </w:tr>
      <w:tr w14:paraId="19F8FE1E">
        <w:tblPrEx>
          <w:tblCellMar>
            <w:top w:w="0" w:type="dxa"/>
            <w:left w:w="108" w:type="dxa"/>
            <w:bottom w:w="0" w:type="dxa"/>
            <w:right w:w="108" w:type="dxa"/>
          </w:tblCellMar>
        </w:tblPrEx>
        <w:tc>
          <w:p w14:paraId="1F9BCE1D">
            <w:pPr>
              <w:pStyle w:val="24"/>
              <w:spacing w:after="0"/>
              <w:jc w:val="left"/>
            </w:pPr>
            <w:r>
              <w:rPr>
                <w:rFonts w:ascii="Aptos" w:hAnsi="Aptos"/>
                <w:color w:val="1F2937"/>
                <w:sz w:val="18"/>
              </w:rPr>
              <w:t>5. Sistema de Evidencia y Gobernanza (NE-01→NE-04.1)</w:t>
            </w:r>
          </w:p>
        </w:tc>
        <w:tc>
          <w:p w14:paraId="18733898">
            <w:pPr>
              <w:pStyle w:val="24"/>
              <w:spacing w:after="0"/>
              <w:jc w:val="right"/>
            </w:pPr>
            <w:r>
              <w:rPr>
                <w:rFonts w:ascii="Aptos" w:hAnsi="Aptos"/>
                <w:color w:val="1F2937"/>
                <w:sz w:val="18"/>
              </w:rPr>
              <w:t>630</w:t>
            </w:r>
          </w:p>
        </w:tc>
        <w:tc>
          <w:p w14:paraId="112FF6BF">
            <w:pPr>
              <w:pStyle w:val="24"/>
              <w:spacing w:after="0"/>
              <w:jc w:val="right"/>
            </w:pPr>
            <w:r>
              <w:rPr>
                <w:rFonts w:ascii="Aptos" w:hAnsi="Aptos"/>
                <w:color w:val="1F2937"/>
                <w:sz w:val="18"/>
              </w:rPr>
              <w:t>47.250 €</w:t>
            </w:r>
          </w:p>
        </w:tc>
      </w:tr>
      <w:tr w14:paraId="6831F13E">
        <w:tblPrEx>
          <w:tblCellMar>
            <w:top w:w="0" w:type="dxa"/>
            <w:left w:w="108" w:type="dxa"/>
            <w:bottom w:w="0" w:type="dxa"/>
            <w:right w:w="108" w:type="dxa"/>
          </w:tblCellMar>
        </w:tblPrEx>
        <w:tc>
          <w:p w14:paraId="13364588">
            <w:pPr>
              <w:pStyle w:val="24"/>
              <w:spacing w:after="0"/>
              <w:jc w:val="left"/>
            </w:pPr>
            <w:r>
              <w:rPr>
                <w:rFonts w:ascii="Aptos" w:hAnsi="Aptos"/>
                <w:color w:val="1F2937"/>
                <w:sz w:val="18"/>
              </w:rPr>
              <w:t>6. Frontend, UX y sistema de diseño</w:t>
            </w:r>
          </w:p>
        </w:tc>
        <w:tc>
          <w:p w14:paraId="22E59A85">
            <w:pPr>
              <w:pStyle w:val="24"/>
              <w:spacing w:after="0"/>
              <w:jc w:val="right"/>
            </w:pPr>
            <w:r>
              <w:rPr>
                <w:rFonts w:ascii="Aptos" w:hAnsi="Aptos"/>
                <w:color w:val="1F2937"/>
                <w:sz w:val="18"/>
              </w:rPr>
              <w:t>455</w:t>
            </w:r>
          </w:p>
        </w:tc>
        <w:tc>
          <w:p w14:paraId="7864022B">
            <w:pPr>
              <w:pStyle w:val="24"/>
              <w:spacing w:after="0"/>
              <w:jc w:val="right"/>
            </w:pPr>
            <w:r>
              <w:rPr>
                <w:rFonts w:ascii="Aptos" w:hAnsi="Aptos"/>
                <w:color w:val="1F2937"/>
                <w:sz w:val="18"/>
              </w:rPr>
              <w:t>34.125 €</w:t>
            </w:r>
          </w:p>
        </w:tc>
      </w:tr>
      <w:tr w14:paraId="34BAACA1">
        <w:tblPrEx>
          <w:tblCellMar>
            <w:top w:w="0" w:type="dxa"/>
            <w:left w:w="108" w:type="dxa"/>
            <w:bottom w:w="0" w:type="dxa"/>
            <w:right w:w="108" w:type="dxa"/>
          </w:tblCellMar>
        </w:tblPrEx>
        <w:tc>
          <w:p w14:paraId="769A052E">
            <w:pPr>
              <w:pStyle w:val="24"/>
              <w:spacing w:after="0"/>
              <w:jc w:val="left"/>
            </w:pPr>
            <w:r>
              <w:rPr>
                <w:rFonts w:ascii="Aptos" w:hAnsi="Aptos"/>
                <w:color w:val="1F2937"/>
                <w:sz w:val="18"/>
              </w:rPr>
              <w:t>7. DevSecOps, CI/CD e infraestructura</w:t>
            </w:r>
          </w:p>
        </w:tc>
        <w:tc>
          <w:p w14:paraId="1F7E5B2F">
            <w:pPr>
              <w:pStyle w:val="24"/>
              <w:spacing w:after="0"/>
              <w:jc w:val="right"/>
            </w:pPr>
            <w:r>
              <w:rPr>
                <w:rFonts w:ascii="Aptos" w:hAnsi="Aptos"/>
                <w:color w:val="1F2937"/>
                <w:sz w:val="18"/>
              </w:rPr>
              <w:t>560</w:t>
            </w:r>
          </w:p>
        </w:tc>
        <w:tc>
          <w:p w14:paraId="37A3B173">
            <w:pPr>
              <w:pStyle w:val="24"/>
              <w:spacing w:after="0"/>
              <w:jc w:val="right"/>
            </w:pPr>
            <w:r>
              <w:rPr>
                <w:rFonts w:ascii="Aptos" w:hAnsi="Aptos"/>
                <w:color w:val="1F2937"/>
                <w:sz w:val="18"/>
              </w:rPr>
              <w:t>42.000 €</w:t>
            </w:r>
          </w:p>
        </w:tc>
      </w:tr>
      <w:tr w14:paraId="561505AF">
        <w:tblPrEx>
          <w:tblCellMar>
            <w:top w:w="0" w:type="dxa"/>
            <w:left w:w="108" w:type="dxa"/>
            <w:bottom w:w="0" w:type="dxa"/>
            <w:right w:w="108" w:type="dxa"/>
          </w:tblCellMar>
        </w:tblPrEx>
        <w:tc>
          <w:p w14:paraId="2E58998A">
            <w:pPr>
              <w:pStyle w:val="24"/>
              <w:spacing w:after="0"/>
              <w:jc w:val="left"/>
            </w:pPr>
            <w:r>
              <w:rPr>
                <w:rFonts w:ascii="Aptos" w:hAnsi="Aptos"/>
                <w:color w:val="1F2937"/>
                <w:sz w:val="18"/>
              </w:rPr>
              <w:t>8. Criptografía post-cuántica y Zero Trust</w:t>
            </w:r>
          </w:p>
        </w:tc>
        <w:tc>
          <w:p w14:paraId="340DF2AC">
            <w:pPr>
              <w:pStyle w:val="24"/>
              <w:spacing w:after="0"/>
              <w:jc w:val="right"/>
            </w:pPr>
            <w:r>
              <w:rPr>
                <w:rFonts w:ascii="Aptos" w:hAnsi="Aptos"/>
                <w:color w:val="1F2937"/>
                <w:sz w:val="18"/>
              </w:rPr>
              <w:t>280</w:t>
            </w:r>
          </w:p>
        </w:tc>
        <w:tc>
          <w:p w14:paraId="3E1C4991">
            <w:pPr>
              <w:pStyle w:val="24"/>
              <w:spacing w:after="0"/>
              <w:jc w:val="right"/>
            </w:pPr>
            <w:r>
              <w:rPr>
                <w:rFonts w:ascii="Aptos" w:hAnsi="Aptos"/>
                <w:color w:val="1F2937"/>
                <w:sz w:val="18"/>
              </w:rPr>
              <w:t>21.000 €</w:t>
            </w:r>
          </w:p>
        </w:tc>
      </w:tr>
      <w:tr w14:paraId="56D4B062">
        <w:tblPrEx>
          <w:tblCellMar>
            <w:top w:w="0" w:type="dxa"/>
            <w:left w:w="108" w:type="dxa"/>
            <w:bottom w:w="0" w:type="dxa"/>
            <w:right w:w="108" w:type="dxa"/>
          </w:tblCellMar>
        </w:tblPrEx>
        <w:tc>
          <w:p w14:paraId="1E985F79">
            <w:pPr>
              <w:pStyle w:val="24"/>
              <w:spacing w:after="0"/>
              <w:jc w:val="left"/>
            </w:pPr>
            <w:r>
              <w:rPr>
                <w:rFonts w:ascii="Aptos" w:hAnsi="Aptos"/>
                <w:color w:val="1F2937"/>
                <w:sz w:val="18"/>
              </w:rPr>
              <w:t>9. I+D hardware — prototipos UAV láser</w:t>
            </w:r>
          </w:p>
        </w:tc>
        <w:tc>
          <w:p w14:paraId="6F998484">
            <w:pPr>
              <w:pStyle w:val="24"/>
              <w:spacing w:after="0"/>
              <w:jc w:val="right"/>
            </w:pPr>
            <w:r>
              <w:rPr>
                <w:rFonts w:ascii="Aptos" w:hAnsi="Aptos"/>
                <w:color w:val="1F2937"/>
                <w:sz w:val="18"/>
              </w:rPr>
              <w:t>385</w:t>
            </w:r>
          </w:p>
        </w:tc>
        <w:tc>
          <w:p w14:paraId="2E9C4959">
            <w:pPr>
              <w:pStyle w:val="24"/>
              <w:spacing w:after="0"/>
              <w:jc w:val="right"/>
            </w:pPr>
            <w:r>
              <w:rPr>
                <w:rFonts w:ascii="Aptos" w:hAnsi="Aptos"/>
                <w:color w:val="1F2937"/>
                <w:sz w:val="18"/>
              </w:rPr>
              <w:t>28.875 €</w:t>
            </w:r>
          </w:p>
        </w:tc>
      </w:tr>
      <w:tr w14:paraId="487964C2">
        <w:tblPrEx>
          <w:tblCellMar>
            <w:top w:w="0" w:type="dxa"/>
            <w:left w:w="108" w:type="dxa"/>
            <w:bottom w:w="0" w:type="dxa"/>
            <w:right w:w="108" w:type="dxa"/>
          </w:tblCellMar>
        </w:tblPrEx>
        <w:tc>
          <w:p w14:paraId="0EA56E4B">
            <w:pPr>
              <w:pStyle w:val="24"/>
              <w:spacing w:after="0"/>
              <w:jc w:val="left"/>
            </w:pPr>
            <w:r>
              <w:rPr>
                <w:rFonts w:ascii="Aptos" w:hAnsi="Aptos"/>
                <w:color w:val="1F2937"/>
                <w:sz w:val="18"/>
              </w:rPr>
              <w:t>10. Documentación técnica, compliance e institucional</w:t>
            </w:r>
          </w:p>
        </w:tc>
        <w:tc>
          <w:p w14:paraId="7793417D">
            <w:pPr>
              <w:pStyle w:val="24"/>
              <w:spacing w:after="0"/>
              <w:jc w:val="right"/>
            </w:pPr>
            <w:r>
              <w:rPr>
                <w:rFonts w:ascii="Aptos" w:hAnsi="Aptos"/>
                <w:color w:val="1F2937"/>
                <w:sz w:val="18"/>
              </w:rPr>
              <w:t>420</w:t>
            </w:r>
          </w:p>
        </w:tc>
        <w:tc>
          <w:p w14:paraId="7850F8D3">
            <w:pPr>
              <w:pStyle w:val="24"/>
              <w:spacing w:after="0"/>
              <w:jc w:val="right"/>
            </w:pPr>
            <w:r>
              <w:rPr>
                <w:rFonts w:ascii="Aptos" w:hAnsi="Aptos"/>
                <w:color w:val="1F2937"/>
                <w:sz w:val="18"/>
              </w:rPr>
              <w:t>31.500 €</w:t>
            </w:r>
          </w:p>
        </w:tc>
      </w:tr>
      <w:tr w14:paraId="011AA095">
        <w:tblPrEx>
          <w:tblCellMar>
            <w:top w:w="0" w:type="dxa"/>
            <w:left w:w="108" w:type="dxa"/>
            <w:bottom w:w="0" w:type="dxa"/>
            <w:right w:w="108" w:type="dxa"/>
          </w:tblCellMar>
        </w:tblPrEx>
        <w:tc>
          <w:p w14:paraId="7026FFD4">
            <w:pPr>
              <w:pStyle w:val="24"/>
              <w:spacing w:after="0"/>
              <w:jc w:val="left"/>
            </w:pPr>
            <w:r>
              <w:rPr>
                <w:rFonts w:ascii="Aptos" w:hAnsi="Aptos"/>
                <w:b/>
                <w:color w:val="1F2937"/>
                <w:sz w:val="18"/>
              </w:rPr>
              <w:t>TOTAL</w:t>
            </w:r>
          </w:p>
        </w:tc>
        <w:tc>
          <w:p w14:paraId="5A3BCDD5">
            <w:pPr>
              <w:pStyle w:val="24"/>
              <w:spacing w:after="0"/>
              <w:jc w:val="right"/>
            </w:pPr>
            <w:r>
              <w:rPr>
                <w:rFonts w:ascii="Aptos" w:hAnsi="Aptos"/>
                <w:b/>
                <w:color w:val="1F2937"/>
                <w:sz w:val="18"/>
              </w:rPr>
              <w:t>5.600</w:t>
            </w:r>
          </w:p>
        </w:tc>
        <w:tc>
          <w:p w14:paraId="271FE355">
            <w:pPr>
              <w:pStyle w:val="24"/>
              <w:spacing w:after="0"/>
              <w:jc w:val="right"/>
            </w:pPr>
            <w:r>
              <w:rPr>
                <w:rFonts w:ascii="Aptos" w:hAnsi="Aptos"/>
                <w:b/>
                <w:color w:val="1F2937"/>
                <w:sz w:val="18"/>
              </w:rPr>
              <w:t>420.000 €</w:t>
            </w:r>
          </w:p>
        </w:tc>
      </w:tr>
    </w:tbl>
    <w:p w14:paraId="3B3CE5EA">
      <w:pPr>
        <w:pStyle w:val="3"/>
      </w:pPr>
      <w:r>
        <w:rPr>
          <w:rFonts w:ascii="Aptos" w:hAnsi="Aptos"/>
          <w:b/>
          <w:color w:val="1F2937"/>
          <w:sz w:val="21"/>
        </w:rPr>
        <w:t>Sensibilidad ilustrativa (coste de reposición; no es valoración de mercado).</w:t>
      </w:r>
    </w:p>
    <w:tbl>
      <w:tblPr>
        <w:tblStyle w:val="28"/>
        <w:tblW w:w="9360" w:type="dxa"/>
        <w:jc w:val="center"/>
        <w:tblInd w:w="0" w:type="dxa"/>
        <w:tblLayout w:type="fixed"/>
        <w:tblCellMar>
          <w:top w:w="0" w:type="dxa"/>
          <w:left w:w="108" w:type="dxa"/>
          <w:bottom w:w="0" w:type="dxa"/>
          <w:right w:w="108" w:type="dxa"/>
        </w:tblCellMar>
      </w:tblPr>
      <w:tblGrid>
        <w:gridCol w:w="2340"/>
        <w:gridCol w:w="2340"/>
        <w:gridCol w:w="2340"/>
        <w:gridCol w:w="2340"/>
      </w:tblGrid>
      <w:tr w14:paraId="00B68B22">
        <w:tblPrEx>
          <w:tblCellMar>
            <w:top w:w="0" w:type="dxa"/>
            <w:left w:w="108" w:type="dxa"/>
            <w:bottom w:w="0" w:type="dxa"/>
            <w:right w:w="108" w:type="dxa"/>
          </w:tblCellMar>
        </w:tblPrEx>
        <w:tc>
          <w:tcPr>
            <w:tcW w:w="2340" w:type="dxa"/>
            <w:tcBorders>
              <w:bottom w:val="single" w:color="auto" w:sz="0" w:space="0"/>
            </w:tcBorders>
            <w:vAlign w:val="bottom"/>
          </w:tcPr>
          <w:p w14:paraId="1F0E2337">
            <w:pPr>
              <w:pStyle w:val="24"/>
              <w:spacing w:after="0"/>
              <w:jc w:val="left"/>
            </w:pPr>
            <w:r>
              <w:rPr>
                <w:rFonts w:ascii="Aptos" w:hAnsi="Aptos"/>
                <w:color w:val="1F2937"/>
                <w:sz w:val="18"/>
              </w:rPr>
              <w:t>Escenario (ilustrativo)</w:t>
            </w:r>
          </w:p>
        </w:tc>
        <w:tc>
          <w:tcPr>
            <w:tcW w:w="2340" w:type="dxa"/>
            <w:tcBorders>
              <w:bottom w:val="single" w:color="auto" w:sz="0" w:space="0"/>
            </w:tcBorders>
            <w:vAlign w:val="bottom"/>
          </w:tcPr>
          <w:p w14:paraId="5AA8464B">
            <w:pPr>
              <w:pStyle w:val="24"/>
              <w:spacing w:after="0"/>
              <w:jc w:val="right"/>
            </w:pPr>
            <w:r>
              <w:rPr>
                <w:rFonts w:ascii="Aptos" w:hAnsi="Aptos"/>
                <w:color w:val="1F2937"/>
                <w:sz w:val="18"/>
              </w:rPr>
              <w:t>Horas</w:t>
            </w:r>
          </w:p>
        </w:tc>
        <w:tc>
          <w:tcPr>
            <w:tcW w:w="2340" w:type="dxa"/>
            <w:tcBorders>
              <w:bottom w:val="single" w:color="auto" w:sz="0" w:space="0"/>
            </w:tcBorders>
            <w:vAlign w:val="bottom"/>
          </w:tcPr>
          <w:p w14:paraId="0DDBA5FF">
            <w:pPr>
              <w:pStyle w:val="24"/>
              <w:spacing w:after="0"/>
              <w:jc w:val="right"/>
            </w:pPr>
            <w:r>
              <w:rPr>
                <w:rFonts w:ascii="Aptos" w:hAnsi="Aptos"/>
                <w:color w:val="1F2937"/>
                <w:sz w:val="18"/>
              </w:rPr>
              <w:t>Tarifa</w:t>
            </w:r>
          </w:p>
        </w:tc>
        <w:tc>
          <w:tcPr>
            <w:tcW w:w="2340" w:type="dxa"/>
            <w:tcBorders>
              <w:bottom w:val="single" w:color="auto" w:sz="0" w:space="0"/>
            </w:tcBorders>
            <w:vAlign w:val="bottom"/>
          </w:tcPr>
          <w:p w14:paraId="62BD3C17">
            <w:pPr>
              <w:pStyle w:val="24"/>
              <w:spacing w:after="0"/>
              <w:jc w:val="right"/>
            </w:pPr>
            <w:r>
              <w:rPr>
                <w:rFonts w:ascii="Aptos" w:hAnsi="Aptos"/>
                <w:color w:val="1F2937"/>
                <w:sz w:val="18"/>
              </w:rPr>
              <w:t>Valor</w:t>
            </w:r>
          </w:p>
        </w:tc>
      </w:tr>
      <w:tr w14:paraId="4CE1BD59">
        <w:tblPrEx>
          <w:tblCellMar>
            <w:top w:w="0" w:type="dxa"/>
            <w:left w:w="108" w:type="dxa"/>
            <w:bottom w:w="0" w:type="dxa"/>
            <w:right w:w="108" w:type="dxa"/>
          </w:tblCellMar>
        </w:tblPrEx>
        <w:tc>
          <w:p w14:paraId="758BD9F6">
            <w:pPr>
              <w:pStyle w:val="24"/>
              <w:spacing w:after="0"/>
              <w:jc w:val="left"/>
            </w:pPr>
            <w:r>
              <w:rPr>
                <w:rFonts w:ascii="Aptos" w:hAnsi="Aptos"/>
                <w:color w:val="1F2937"/>
                <w:sz w:val="18"/>
              </w:rPr>
              <w:t>Conservador</w:t>
            </w:r>
          </w:p>
        </w:tc>
        <w:tc>
          <w:p w14:paraId="60A5D751">
            <w:pPr>
              <w:pStyle w:val="24"/>
              <w:spacing w:after="0"/>
              <w:jc w:val="right"/>
            </w:pPr>
            <w:r>
              <w:rPr>
                <w:rFonts w:ascii="Aptos" w:hAnsi="Aptos"/>
                <w:color w:val="1F2937"/>
                <w:sz w:val="18"/>
              </w:rPr>
              <w:t>4.000</w:t>
            </w:r>
          </w:p>
        </w:tc>
        <w:tc>
          <w:p w14:paraId="4AC5305C">
            <w:pPr>
              <w:pStyle w:val="24"/>
              <w:spacing w:after="0"/>
              <w:jc w:val="right"/>
            </w:pPr>
            <w:r>
              <w:rPr>
                <w:rFonts w:ascii="Aptos" w:hAnsi="Aptos"/>
                <w:color w:val="1F2937"/>
                <w:sz w:val="18"/>
              </w:rPr>
              <w:t>60 €/h</w:t>
            </w:r>
          </w:p>
        </w:tc>
        <w:tc>
          <w:p w14:paraId="00DD2F1A">
            <w:pPr>
              <w:pStyle w:val="24"/>
              <w:spacing w:after="0"/>
              <w:jc w:val="right"/>
            </w:pPr>
            <w:r>
              <w:rPr>
                <w:rFonts w:ascii="Aptos" w:hAnsi="Aptos"/>
                <w:color w:val="1F2937"/>
                <w:sz w:val="18"/>
              </w:rPr>
              <w:t>240.000 €</w:t>
            </w:r>
          </w:p>
        </w:tc>
      </w:tr>
      <w:tr w14:paraId="1A1B9EBC">
        <w:tblPrEx>
          <w:tblCellMar>
            <w:top w:w="0" w:type="dxa"/>
            <w:left w:w="108" w:type="dxa"/>
            <w:bottom w:w="0" w:type="dxa"/>
            <w:right w:w="108" w:type="dxa"/>
          </w:tblCellMar>
        </w:tblPrEx>
        <w:tc>
          <w:p w14:paraId="27A4E1CB">
            <w:pPr>
              <w:pStyle w:val="24"/>
              <w:spacing w:after="0"/>
              <w:jc w:val="left"/>
            </w:pPr>
            <w:r>
              <w:rPr>
                <w:rFonts w:ascii="Aptos" w:hAnsi="Aptos"/>
                <w:b/>
                <w:color w:val="1F2937"/>
                <w:sz w:val="18"/>
              </w:rPr>
              <w:t>Central (adoptado)</w:t>
            </w:r>
          </w:p>
        </w:tc>
        <w:tc>
          <w:p w14:paraId="5C9F4101">
            <w:pPr>
              <w:pStyle w:val="24"/>
              <w:spacing w:after="0"/>
              <w:jc w:val="right"/>
            </w:pPr>
            <w:r>
              <w:rPr>
                <w:rFonts w:ascii="Aptos" w:hAnsi="Aptos"/>
                <w:b/>
                <w:color w:val="1F2937"/>
                <w:sz w:val="18"/>
              </w:rPr>
              <w:t>5.600</w:t>
            </w:r>
          </w:p>
        </w:tc>
        <w:tc>
          <w:p w14:paraId="6433268E">
            <w:pPr>
              <w:pStyle w:val="24"/>
              <w:spacing w:after="0"/>
              <w:jc w:val="right"/>
            </w:pPr>
            <w:r>
              <w:rPr>
                <w:rFonts w:ascii="Aptos" w:hAnsi="Aptos"/>
                <w:b/>
                <w:color w:val="1F2937"/>
                <w:sz w:val="18"/>
              </w:rPr>
              <w:t>75 €/h</w:t>
            </w:r>
          </w:p>
        </w:tc>
        <w:tc>
          <w:p w14:paraId="3848D5B2">
            <w:pPr>
              <w:pStyle w:val="24"/>
              <w:spacing w:after="0"/>
              <w:jc w:val="right"/>
            </w:pPr>
            <w:r>
              <w:rPr>
                <w:rFonts w:ascii="Aptos" w:hAnsi="Aptos"/>
                <w:b/>
                <w:color w:val="1F2937"/>
                <w:sz w:val="18"/>
              </w:rPr>
              <w:t>420.000 €</w:t>
            </w:r>
          </w:p>
        </w:tc>
      </w:tr>
      <w:tr w14:paraId="2131364D">
        <w:tblPrEx>
          <w:tblCellMar>
            <w:top w:w="0" w:type="dxa"/>
            <w:left w:w="108" w:type="dxa"/>
            <w:bottom w:w="0" w:type="dxa"/>
            <w:right w:w="108" w:type="dxa"/>
          </w:tblCellMar>
        </w:tblPrEx>
        <w:tc>
          <w:p w14:paraId="32433B06">
            <w:pPr>
              <w:pStyle w:val="24"/>
              <w:spacing w:after="0"/>
              <w:jc w:val="left"/>
            </w:pPr>
            <w:r>
              <w:rPr>
                <w:rFonts w:ascii="Aptos" w:hAnsi="Aptos"/>
                <w:color w:val="1F2937"/>
                <w:sz w:val="18"/>
              </w:rPr>
              <w:t>Alto</w:t>
            </w:r>
          </w:p>
        </w:tc>
        <w:tc>
          <w:p w14:paraId="1E6A78C2">
            <w:pPr>
              <w:pStyle w:val="24"/>
              <w:spacing w:after="0"/>
              <w:jc w:val="right"/>
            </w:pPr>
            <w:r>
              <w:rPr>
                <w:rFonts w:ascii="Aptos" w:hAnsi="Aptos"/>
                <w:color w:val="1F2937"/>
                <w:sz w:val="18"/>
              </w:rPr>
              <w:t>6.500</w:t>
            </w:r>
          </w:p>
        </w:tc>
        <w:tc>
          <w:p w14:paraId="6F7088C4">
            <w:pPr>
              <w:pStyle w:val="24"/>
              <w:spacing w:after="0"/>
              <w:jc w:val="right"/>
            </w:pPr>
            <w:r>
              <w:rPr>
                <w:rFonts w:ascii="Aptos" w:hAnsi="Aptos"/>
                <w:color w:val="1F2937"/>
                <w:sz w:val="18"/>
              </w:rPr>
              <w:t>75 €/h</w:t>
            </w:r>
          </w:p>
        </w:tc>
        <w:tc>
          <w:p w14:paraId="258FD23F">
            <w:pPr>
              <w:pStyle w:val="24"/>
              <w:spacing w:after="0"/>
              <w:jc w:val="right"/>
            </w:pPr>
            <w:r>
              <w:rPr>
                <w:rFonts w:ascii="Aptos" w:hAnsi="Aptos"/>
                <w:color w:val="1F2937"/>
                <w:sz w:val="18"/>
              </w:rPr>
              <w:t>487.500 €</w:t>
            </w:r>
          </w:p>
        </w:tc>
      </w:tr>
      <w:tr w14:paraId="7870D38E">
        <w:tblPrEx>
          <w:tblCellMar>
            <w:top w:w="0" w:type="dxa"/>
            <w:left w:w="108" w:type="dxa"/>
            <w:bottom w:w="0" w:type="dxa"/>
            <w:right w:w="108" w:type="dxa"/>
          </w:tblCellMar>
        </w:tblPrEx>
        <w:tc>
          <w:p w14:paraId="6FC5169D">
            <w:pPr>
              <w:pStyle w:val="24"/>
              <w:spacing w:after="0"/>
              <w:jc w:val="left"/>
            </w:pPr>
            <w:r>
              <w:rPr>
                <w:rFonts w:ascii="Aptos" w:hAnsi="Aptos"/>
                <w:color w:val="1F2937"/>
                <w:sz w:val="18"/>
              </w:rPr>
              <w:t>Muy alto</w:t>
            </w:r>
          </w:p>
        </w:tc>
        <w:tc>
          <w:p w14:paraId="6499301B">
            <w:pPr>
              <w:pStyle w:val="24"/>
              <w:spacing w:after="0"/>
              <w:jc w:val="right"/>
            </w:pPr>
            <w:r>
              <w:rPr>
                <w:rFonts w:ascii="Aptos" w:hAnsi="Aptos"/>
                <w:color w:val="1F2937"/>
                <w:sz w:val="18"/>
              </w:rPr>
              <w:t>7.500</w:t>
            </w:r>
          </w:p>
        </w:tc>
        <w:tc>
          <w:p w14:paraId="56EA0BE3">
            <w:pPr>
              <w:pStyle w:val="24"/>
              <w:spacing w:after="0"/>
              <w:jc w:val="right"/>
            </w:pPr>
            <w:r>
              <w:rPr>
                <w:rFonts w:ascii="Aptos" w:hAnsi="Aptos"/>
                <w:color w:val="1F2937"/>
                <w:sz w:val="18"/>
              </w:rPr>
              <w:t>80 €/h</w:t>
            </w:r>
          </w:p>
        </w:tc>
        <w:tc>
          <w:p w14:paraId="17162B69">
            <w:pPr>
              <w:pStyle w:val="24"/>
              <w:spacing w:after="0"/>
              <w:jc w:val="right"/>
            </w:pPr>
            <w:r>
              <w:rPr>
                <w:rFonts w:ascii="Aptos" w:hAnsi="Aptos"/>
                <w:color w:val="1F2937"/>
                <w:sz w:val="18"/>
              </w:rPr>
              <w:t>600.000 €</w:t>
            </w:r>
          </w:p>
        </w:tc>
      </w:tr>
    </w:tbl>
    <w:p w14:paraId="5E5A2D76">
      <w:pPr>
        <w:pStyle w:val="3"/>
      </w:pPr>
      <w:r>
        <w:rPr>
          <w:rFonts w:ascii="Aptos" w:hAnsi="Aptos"/>
          <w:color w:val="1F2937"/>
          <w:sz w:val="21"/>
        </w:rPr>
        <w:t xml:space="preserve">Se adopta el valor central de </w:t>
      </w:r>
      <w:r>
        <w:rPr>
          <w:rFonts w:ascii="Aptos" w:hAnsi="Aptos"/>
          <w:b/>
          <w:color w:val="1F2937"/>
          <w:sz w:val="21"/>
        </w:rPr>
        <w:t>420.000 €</w:t>
      </w:r>
      <w:r>
        <w:rPr>
          <w:rFonts w:ascii="Aptos" w:hAnsi="Aptos"/>
          <w:color w:val="1F2937"/>
          <w:sz w:val="21"/>
        </w:rPr>
        <w:t xml:space="preserve">. Es una </w:t>
      </w:r>
      <w:r>
        <w:rPr>
          <w:rFonts w:ascii="Aptos" w:hAnsi="Aptos"/>
          <w:b/>
          <w:color w:val="1F2937"/>
          <w:sz w:val="21"/>
        </w:rPr>
        <w:t>valoración técnica de coste de reposición estimado</w:t>
      </w:r>
      <w:r>
        <w:rPr>
          <w:rFonts w:ascii="Aptos" w:hAnsi="Aptos"/>
          <w:color w:val="1F2937"/>
          <w:sz w:val="21"/>
        </w:rPr>
        <w:t xml:space="preserve">, no el valor de la empresa, no dinero disponible ni financiación, y no se capitaliza como caja ni justifica ingresos por sí sola. combinaciones de horas y tarifa (p. ej. 8.000 h × 52,50 €/h) convergen en el mismo valor defendible de 420.000 €. </w:t>
      </w:r>
      <w:r>
        <w:rPr>
          <w:rFonts w:ascii="Aptos" w:hAnsi="Aptos"/>
          <w:b/>
          <w:color w:val="1F2937"/>
          <w:sz w:val="21"/>
        </w:rPr>
        <w:t>Qué NO incluye:</w:t>
      </w:r>
      <w:r>
        <w:rPr>
          <w:rFonts w:ascii="Aptos" w:hAnsi="Aptos"/>
          <w:color w:val="1F2937"/>
          <w:sz w:val="21"/>
        </w:rPr>
        <w:t xml:space="preserve"> valor de la marca (M4359038, en proceso de concesión), contratos con clientes ni proyecciones de ingresos; valora estrictamente el coste de ingeniería ya incorporado a la plataforma. </w:t>
      </w:r>
      <w:r>
        <w:rPr>
          <w:rFonts w:ascii="Aptos" w:hAnsi="Aptos"/>
          <w:b/>
          <w:color w:val="1F2937"/>
          <w:sz w:val="21"/>
        </w:rPr>
        <w:t>Cierre de gaps técnicos (Fase A):</w:t>
      </w:r>
      <w:r>
        <w:rPr>
          <w:rFonts w:ascii="Aptos" w:hAnsi="Aptos"/>
          <w:color w:val="1F2937"/>
          <w:sz w:val="21"/>
        </w:rPr>
        <w:t xml:space="preserve"> 900 h ≈ </w:t>
      </w:r>
      <w:r>
        <w:rPr>
          <w:rFonts w:ascii="Aptos" w:hAnsi="Aptos"/>
          <w:b/>
          <w:color w:val="1F2937"/>
          <w:sz w:val="21"/>
        </w:rPr>
        <w:t>47.250 €</w:t>
      </w:r>
      <w:r>
        <w:rPr>
          <w:rFonts w:ascii="Aptos" w:hAnsi="Aptos"/>
          <w:color w:val="1F2937"/>
          <w:sz w:val="21"/>
        </w:rPr>
        <w:t xml:space="preserve"> (verificación runtime de relaciones OBSERVED, credenciales externas de producción, contratos federados NE-04.2, promoción formal en el Governance Plane, MQTT TLS y autenticación OAuth/OIDC productivas, persistencia de telemetría).</w:t>
      </w:r>
    </w:p>
    <w:p w14:paraId="7E1A317B">
      <w:pPr>
        <w:pStyle w:val="3"/>
      </w:pPr>
      <w:r>
        <w:rPr>
          <w:rFonts w:ascii="Aptos" w:hAnsi="Aptos"/>
          <w:b/>
          <w:color w:val="1F2937"/>
          <w:sz w:val="21"/>
        </w:rPr>
        <w:t>Tratamiento y significado.</w:t>
      </w:r>
      <w:r>
        <w:rPr>
          <w:rFonts w:ascii="Aptos" w:hAnsi="Aptos"/>
          <w:color w:val="1F2937"/>
          <w:sz w:val="21"/>
        </w:rPr>
        <w:t xml:space="preserve"> Este valor </w:t>
      </w:r>
      <w:r>
        <w:rPr>
          <w:rFonts w:ascii="Aptos" w:hAnsi="Aptos"/>
          <w:b/>
          <w:color w:val="1F2937"/>
          <w:sz w:val="21"/>
        </w:rPr>
        <w:t>no se capitaliza</w:t>
      </w:r>
      <w:r>
        <w:rPr>
          <w:rFonts w:ascii="Aptos" w:hAnsi="Aptos"/>
          <w:color w:val="1F2937"/>
          <w:sz w:val="21"/>
        </w:rPr>
        <w:t xml:space="preserve"> en la cuenta de resultados de la Fase 1 (por prudencia contable, para no inflar amortizaciones), pero constituye: (a) una </w:t>
      </w:r>
      <w:r>
        <w:rPr>
          <w:rFonts w:ascii="Aptos" w:hAnsi="Aptos"/>
          <w:b/>
          <w:color w:val="1F2937"/>
          <w:sz w:val="21"/>
        </w:rPr>
        <w:t xml:space="preserve">posible aportación en especie / </w:t>
      </w:r>
      <w:r>
        <w:rPr>
          <w:rFonts w:ascii="Aptos" w:hAnsi="Aptos"/>
          <w:b/>
          <w:i/>
          <w:color w:val="1F2937"/>
          <w:sz w:val="21"/>
        </w:rPr>
        <w:t>know-how</w:t>
      </w:r>
      <w:r>
        <w:rPr>
          <w:rFonts w:ascii="Aptos" w:hAnsi="Aptos"/>
          <w:color w:val="1F2937"/>
          <w:sz w:val="21"/>
        </w:rPr>
        <w:t xml:space="preserve"> del promotor </w:t>
      </w:r>
      <w:r>
        <w:rPr>
          <w:rFonts w:ascii="Aptos" w:hAnsi="Aptos"/>
          <w:b/>
          <w:color w:val="1F2937"/>
          <w:sz w:val="21"/>
        </w:rPr>
        <w:t>sujeta a formalización jurídica</w:t>
      </w:r>
      <w:r>
        <w:rPr>
          <w:rFonts w:ascii="Aptos" w:hAnsi="Aptos"/>
          <w:color w:val="1F2937"/>
          <w:sz w:val="21"/>
        </w:rPr>
        <w:t xml:space="preserve"> (titularidad, valoración y documentación societaria/contable), que refuerza su compromiso con el proyecto pero </w:t>
      </w:r>
      <w:r>
        <w:rPr>
          <w:rFonts w:ascii="Aptos" w:hAnsi="Aptos"/>
          <w:b/>
          <w:color w:val="1F2937"/>
          <w:sz w:val="21"/>
        </w:rPr>
        <w:t>no es caja ni capital social hasta formalizarse</w:t>
      </w:r>
      <w:r>
        <w:rPr>
          <w:rFonts w:ascii="Aptos" w:hAnsi="Aptos"/>
          <w:color w:val="1F2937"/>
          <w:sz w:val="21"/>
        </w:rPr>
        <w:t xml:space="preserve">; (b) el fundamento técnico del </w:t>
      </w:r>
      <w:r>
        <w:rPr>
          <w:rFonts w:ascii="Aptos" w:hAnsi="Aptos"/>
          <w:b/>
          <w:color w:val="1F2937"/>
          <w:sz w:val="21"/>
        </w:rPr>
        <w:t>margen bruto &gt;70 %</w:t>
      </w:r>
      <w:r>
        <w:rPr>
          <w:rFonts w:ascii="Aptos" w:hAnsi="Aptos"/>
          <w:color w:val="1F2937"/>
          <w:sz w:val="21"/>
        </w:rPr>
        <w:t xml:space="preserve"> del SaaS (el producto ya está construido; el coste marginal por cliente es bajo); y (c) una </w:t>
      </w:r>
      <w:r>
        <w:rPr>
          <w:rFonts w:ascii="Aptos" w:hAnsi="Aptos"/>
          <w:b/>
          <w:color w:val="1F2937"/>
          <w:sz w:val="21"/>
        </w:rPr>
        <w:t>barrera de entrada</w:t>
      </w:r>
      <w:r>
        <w:rPr>
          <w:rFonts w:ascii="Aptos" w:hAnsi="Aptos"/>
          <w:color w:val="1F2937"/>
          <w:sz w:val="21"/>
        </w:rPr>
        <w:t xml:space="preserve"> — el cálculo ofrece una estimación interna del coste de reposición técnica; no constituye una valoración de mercado ni demuestra por sí solo una barrera de entrada de 2–4 años. En términos del método del proyecto, desplaza la dimensión </w:t>
      </w:r>
      <w:r>
        <w:rPr>
          <w:rFonts w:ascii="Aptos" w:hAnsi="Aptos"/>
          <w:b/>
          <w:color w:val="1F2937"/>
          <w:sz w:val="21"/>
        </w:rPr>
        <w:t>D (digital) del IGM de ~2–3 hacia 3–4</w:t>
      </w:r>
      <w:r>
        <w:rPr>
          <w:rFonts w:ascii="Aptos" w:hAnsi="Aptos"/>
          <w:color w:val="1F2937"/>
          <w:sz w:val="21"/>
        </w:rPr>
        <w:t xml:space="preserve"> (“validado en piloto/operación”).</w:t>
      </w:r>
    </w:p>
    <w:p w14:paraId="08DADD4E">
      <w:pPr>
        <w:pStyle w:val="3"/>
      </w:pPr>
      <w:r>
        <w:rPr>
          <w:rFonts w:ascii="Aptos" w:hAnsi="Aptos"/>
          <w:b/>
          <w:color w:val="1F2937"/>
          <w:sz w:val="21"/>
        </w:rPr>
        <w:t>Nota de honestidad (coherente con el SEV).</w:t>
      </w:r>
      <w:r>
        <w:rPr>
          <w:rFonts w:ascii="Aptos" w:hAnsi="Aptos"/>
          <w:color w:val="1F2937"/>
          <w:sz w:val="21"/>
        </w:rPr>
        <w:t xml:space="preserve"> El repositorio es privado; las afirmaciones anteriores se basan en su estructura y su historial de commits, aportados por el promotor. La verificación se ofrece mediante </w:t>
      </w:r>
      <w:r>
        <w:rPr>
          <w:rFonts w:ascii="Aptos" w:hAnsi="Aptos"/>
          <w:b/>
          <w:color w:val="1F2937"/>
          <w:sz w:val="21"/>
        </w:rPr>
        <w:t xml:space="preserve">acceso al repositorio y al entorno </w:t>
      </w:r>
      <w:r>
        <w:rPr>
          <w:rStyle w:val="35"/>
          <w:rFonts w:ascii="Aptos" w:hAnsi="Aptos"/>
          <w:b/>
          <w:color w:val="1F2937"/>
          <w:sz w:val="21"/>
        </w:rPr>
        <w:t>/evaluation-environment</w:t>
      </w:r>
      <w:r>
        <w:rPr>
          <w:rFonts w:ascii="Aptos" w:hAnsi="Aptos"/>
          <w:color w:val="1F2937"/>
          <w:sz w:val="21"/>
        </w:rPr>
        <w:t xml:space="preserve">, y las métricas exactas (LOC, cobertura de pruebas, resultados de CI) se publican con su evidencia en el SEV. El detalle técnico completo figura en el </w:t>
      </w:r>
      <w:r>
        <w:rPr>
          <w:rFonts w:ascii="Aptos" w:hAnsi="Aptos"/>
          <w:b/>
          <w:color w:val="1F2937"/>
          <w:sz w:val="21"/>
        </w:rPr>
        <w:t>Anexo C</w:t>
      </w:r>
      <w:r>
        <w:rPr>
          <w:rFonts w:ascii="Aptos" w:hAnsi="Aptos"/>
          <w:color w:val="1F2937"/>
          <w:sz w:val="21"/>
        </w:rPr>
        <w:t>.</w:t>
      </w:r>
    </w:p>
    <w:p w14:paraId="682D3B69">
      <w:pPr>
        <w:pStyle w:val="22"/>
      </w:pPr>
      <w:r>
        <w:rPr>
          <w:rFonts w:ascii="Aptos" w:hAnsi="Aptos"/>
          <w:b/>
          <w:color w:val="1F2937"/>
          <w:sz w:val="21"/>
        </w:rPr>
        <w:t>Evidencias asociadas (§3):</w:t>
      </w:r>
      <w:r>
        <w:rPr>
          <w:rFonts w:ascii="Aptos" w:hAnsi="Aptos"/>
          <w:color w:val="1F2937"/>
          <w:sz w:val="21"/>
        </w:rPr>
        <w:t xml:space="preserve"> repositorio </w:t>
      </w:r>
      <w:r>
        <w:rPr>
          <w:rStyle w:val="35"/>
          <w:rFonts w:ascii="Aptos" w:hAnsi="Aptos"/>
          <w:color w:val="1F2937"/>
          <w:sz w:val="21"/>
        </w:rPr>
        <w:t>Castuo-system</w:t>
      </w:r>
      <w:r>
        <w:rPr>
          <w:rFonts w:ascii="Aptos" w:hAnsi="Aptos"/>
          <w:color w:val="1F2937"/>
          <w:sz w:val="21"/>
        </w:rPr>
        <w:t>, SEV-F1-PIPELINE-001, SEV-F1-AI-GOVERNANCE-001, Anexo C · Nivel: registro automático/documento (§11).</w:t>
      </w:r>
    </w:p>
    <w:p w14:paraId="71F17605">
      <w:pPr>
        <w:pStyle w:val="4"/>
      </w:pPr>
      <w:bookmarkStart w:id="21" w:name="Xd209c9c2e50feb878fb95f02d5f592c43e1b0df"/>
      <w:r>
        <w:rPr>
          <w:rFonts w:ascii="Aptos Display" w:hAnsi="Aptos Display"/>
          <w:b/>
          <w:color w:val="174A2E"/>
          <w:sz w:val="21"/>
        </w:rPr>
        <w:t>3.9. Arquitectura alineada con el marco regulatorio europeo</w:t>
      </w:r>
      <w:bookmarkEnd w:id="21"/>
    </w:p>
    <w:p w14:paraId="02916BF9">
      <w:pPr>
        <w:pStyle w:val="23"/>
      </w:pPr>
      <w:r>
        <w:rPr>
          <w:rFonts w:ascii="Aptos" w:hAnsi="Aptos"/>
          <w:color w:val="1F2937"/>
          <w:sz w:val="21"/>
        </w:rPr>
        <w:t xml:space="preserve">CASTÚO-SYSTEM™ está concebido con el </w:t>
      </w:r>
      <w:r>
        <w:rPr>
          <w:rFonts w:ascii="Aptos" w:hAnsi="Aptos"/>
          <w:b/>
          <w:color w:val="1F2937"/>
          <w:sz w:val="21"/>
        </w:rPr>
        <w:t>cumplimiento como requisito no funcional</w:t>
      </w:r>
      <w:r>
        <w:rPr>
          <w:rFonts w:ascii="Aptos" w:hAnsi="Aptos"/>
          <w:color w:val="1F2937"/>
          <w:sz w:val="21"/>
        </w:rPr>
        <w:t xml:space="preserve"> desde el diseño, lo que lo posiciona ante clientes con requisitos legales estrictos (cooperativas, administraciones, exportadores).</w:t>
      </w:r>
    </w:p>
    <w:p w14:paraId="4AD33F62">
      <w:pPr>
        <w:pStyle w:val="34"/>
      </w:pPr>
      <w:r>
        <w:rPr>
          <w:rFonts w:ascii="Aptos" w:hAnsi="Aptos"/>
          <w:color w:val="1F2937"/>
          <w:sz w:val="21"/>
        </w:rPr>
      </w:r>
    </w:p>
    <w:p w14:paraId="296A0D27">
      <w:pPr>
        <w:pStyle w:val="32"/>
      </w:pPr>
      <w:r>
        <w:rPr>
          <w:rFonts w:ascii="Aptos" w:hAnsi="Aptos"/>
          <w:color w:val="1F2937"/>
          <w:sz w:val="21"/>
        </w:rPr>
        <w:t>Arquitectura alineada con el marco regulatorio europeo</w:t>
      </w:r>
    </w:p>
    <w:tbl>
      <w:tblPr>
        <w:tblStyle w:val="28"/>
        <w:tblW w:w="5000" w:type="pct"/>
        <w:jc w:val="center"/>
        <w:tblInd w:w="0" w:type="dxa"/>
        <w:tblLayout w:type="fixed"/>
        <w:tblCellMar>
          <w:top w:w="0" w:type="dxa"/>
          <w:left w:w="108" w:type="dxa"/>
          <w:bottom w:w="0" w:type="dxa"/>
          <w:right w:w="108" w:type="dxa"/>
        </w:tblCellMar>
      </w:tblPr>
      <w:tblGrid>
        <w:gridCol w:w="2952"/>
        <w:gridCol w:w="2952"/>
        <w:gridCol w:w="2952"/>
      </w:tblGrid>
      <w:tr w14:paraId="47AAB40B">
        <w:tblPrEx>
          <w:tblCellMar>
            <w:top w:w="0" w:type="dxa"/>
            <w:left w:w="108" w:type="dxa"/>
            <w:bottom w:w="0" w:type="dxa"/>
            <w:right w:w="108" w:type="dxa"/>
          </w:tblCellMar>
        </w:tblPrEx>
        <w:tc>
          <w:tcPr>
            <w:tcW w:w="3120" w:type="dxa"/>
            <w:tcBorders>
              <w:bottom w:val="single" w:color="auto" w:sz="0" w:space="0"/>
            </w:tcBorders>
            <w:vAlign w:val="bottom"/>
          </w:tcPr>
          <w:p w14:paraId="24C7594F">
            <w:pPr>
              <w:pStyle w:val="24"/>
              <w:spacing w:after="0"/>
              <w:jc w:val="left"/>
            </w:pPr>
            <w:r>
              <w:rPr>
                <w:rFonts w:ascii="Aptos" w:hAnsi="Aptos"/>
                <w:color w:val="1F2937"/>
                <w:sz w:val="18"/>
              </w:rPr>
              <w:t>Normativa</w:t>
            </w:r>
          </w:p>
        </w:tc>
        <w:tc>
          <w:tcPr>
            <w:tcW w:w="3120" w:type="dxa"/>
            <w:tcBorders>
              <w:bottom w:val="single" w:color="auto" w:sz="0" w:space="0"/>
            </w:tcBorders>
            <w:vAlign w:val="bottom"/>
          </w:tcPr>
          <w:p w14:paraId="7A743F5E">
            <w:pPr>
              <w:pStyle w:val="24"/>
              <w:spacing w:after="0"/>
              <w:jc w:val="left"/>
            </w:pPr>
            <w:r>
              <w:rPr>
                <w:rFonts w:ascii="Aptos" w:hAnsi="Aptos"/>
                <w:color w:val="1F2937"/>
                <w:sz w:val="18"/>
              </w:rPr>
              <w:t>Alineación en CASTÚO-SYSTEM™</w:t>
            </w:r>
          </w:p>
        </w:tc>
        <w:tc>
          <w:tcPr>
            <w:tcW w:w="3120" w:type="dxa"/>
            <w:tcBorders>
              <w:bottom w:val="single" w:color="auto" w:sz="0" w:space="0"/>
            </w:tcBorders>
            <w:vAlign w:val="bottom"/>
          </w:tcPr>
          <w:p w14:paraId="367D720C">
            <w:pPr>
              <w:pStyle w:val="24"/>
              <w:spacing w:after="0"/>
              <w:jc w:val="left"/>
            </w:pPr>
            <w:r>
              <w:rPr>
                <w:rFonts w:ascii="Aptos" w:hAnsi="Aptos"/>
                <w:color w:val="1F2937"/>
                <w:sz w:val="18"/>
              </w:rPr>
              <w:t>Evidencia</w:t>
            </w:r>
          </w:p>
        </w:tc>
      </w:tr>
      <w:tr w14:paraId="3D1C486A">
        <w:tblPrEx>
          <w:tblCellMar>
            <w:top w:w="0" w:type="dxa"/>
            <w:left w:w="108" w:type="dxa"/>
            <w:bottom w:w="0" w:type="dxa"/>
            <w:right w:w="108" w:type="dxa"/>
          </w:tblCellMar>
        </w:tblPrEx>
        <w:tc>
          <w:p w14:paraId="1E4C7561">
            <w:pPr>
              <w:pStyle w:val="24"/>
              <w:spacing w:after="0"/>
              <w:jc w:val="left"/>
            </w:pPr>
            <w:r>
              <w:rPr>
                <w:rFonts w:ascii="Aptos" w:hAnsi="Aptos"/>
                <w:color w:val="1F2937"/>
                <w:sz w:val="18"/>
              </w:rPr>
              <w:t>AI Act (UE 2024/1689)</w:t>
            </w:r>
          </w:p>
        </w:tc>
        <w:tc>
          <w:p w14:paraId="1EBE012E">
            <w:pPr>
              <w:pStyle w:val="24"/>
              <w:spacing w:after="0"/>
              <w:jc w:val="left"/>
            </w:pPr>
            <w:r>
              <w:rPr>
                <w:rFonts w:ascii="Aptos" w:hAnsi="Aptos"/>
                <w:color w:val="1F2937"/>
                <w:sz w:val="18"/>
              </w:rPr>
              <w:t>Clasificación preliminar riesgo mínimo/limitado; supervisión humana; registro de modelos</w:t>
            </w:r>
          </w:p>
        </w:tc>
        <w:tc>
          <w:p w14:paraId="340EBFE6">
            <w:pPr>
              <w:pStyle w:val="24"/>
              <w:spacing w:after="0"/>
              <w:jc w:val="left"/>
            </w:pPr>
            <w:r>
              <w:rPr>
                <w:rFonts w:ascii="Aptos" w:hAnsi="Aptos"/>
                <w:color w:val="1F2937"/>
                <w:sz w:val="18"/>
              </w:rPr>
              <w:t>SEV-F1-AI-GOVERNANCE-001</w:t>
            </w:r>
          </w:p>
        </w:tc>
      </w:tr>
      <w:tr w14:paraId="360EFD8F">
        <w:tblPrEx>
          <w:tblCellMar>
            <w:top w:w="0" w:type="dxa"/>
            <w:left w:w="108" w:type="dxa"/>
            <w:bottom w:w="0" w:type="dxa"/>
            <w:right w:w="108" w:type="dxa"/>
          </w:tblCellMar>
        </w:tblPrEx>
        <w:tc>
          <w:p w14:paraId="7B514A74">
            <w:pPr>
              <w:pStyle w:val="24"/>
              <w:spacing w:after="0"/>
              <w:jc w:val="left"/>
            </w:pPr>
            <w:r>
              <w:rPr>
                <w:rFonts w:ascii="Aptos" w:hAnsi="Aptos"/>
                <w:color w:val="1F2937"/>
                <w:sz w:val="18"/>
              </w:rPr>
              <w:t>NIS2</w:t>
            </w:r>
          </w:p>
        </w:tc>
        <w:tc>
          <w:p w14:paraId="253524D8">
            <w:pPr>
              <w:pStyle w:val="24"/>
              <w:spacing w:after="0"/>
              <w:jc w:val="left"/>
            </w:pPr>
            <w:r>
              <w:rPr>
                <w:rFonts w:ascii="Aptos" w:hAnsi="Aptos"/>
                <w:color w:val="1F2937"/>
                <w:sz w:val="18"/>
              </w:rPr>
              <w:t>Separación OT/IT (IEC 62443), Vault, JWT+MFA+RBAC, SBOM</w:t>
            </w:r>
          </w:p>
        </w:tc>
        <w:tc>
          <w:p w14:paraId="3BA56E9E">
            <w:pPr>
              <w:pStyle w:val="24"/>
              <w:spacing w:after="0"/>
              <w:jc w:val="left"/>
            </w:pPr>
            <w:r>
              <w:rPr>
                <w:rStyle w:val="35"/>
                <w:rFonts w:ascii="Aptos" w:hAnsi="Aptos"/>
                <w:color w:val="1F2937"/>
                <w:sz w:val="18"/>
              </w:rPr>
              <w:t>SECURITY.md</w:t>
            </w:r>
          </w:p>
        </w:tc>
      </w:tr>
      <w:tr w14:paraId="1B627E80">
        <w:tblPrEx>
          <w:tblCellMar>
            <w:top w:w="0" w:type="dxa"/>
            <w:left w:w="108" w:type="dxa"/>
            <w:bottom w:w="0" w:type="dxa"/>
            <w:right w:w="108" w:type="dxa"/>
          </w:tblCellMar>
        </w:tblPrEx>
        <w:tc>
          <w:p w14:paraId="2E84DF1A">
            <w:pPr>
              <w:pStyle w:val="24"/>
              <w:spacing w:after="0"/>
              <w:jc w:val="left"/>
            </w:pPr>
            <w:r>
              <w:rPr>
                <w:rFonts w:ascii="Aptos" w:hAnsi="Aptos"/>
                <w:color w:val="1F2937"/>
                <w:sz w:val="18"/>
              </w:rPr>
              <w:t>Data Act / eIDAS2</w:t>
            </w:r>
          </w:p>
        </w:tc>
        <w:tc>
          <w:p w14:paraId="7865D45C">
            <w:pPr>
              <w:pStyle w:val="24"/>
              <w:spacing w:after="0"/>
              <w:jc w:val="left"/>
            </w:pPr>
            <w:r>
              <w:rPr>
                <w:rFonts w:ascii="Aptos" w:hAnsi="Aptos"/>
                <w:color w:val="1F2937"/>
                <w:sz w:val="18"/>
              </w:rPr>
              <w:t>Datos en la UE (Hetzner), API abierta (NGSI-LD), identidad federada</w:t>
            </w:r>
          </w:p>
        </w:tc>
        <w:tc>
          <w:p w14:paraId="4B8B7490">
            <w:pPr>
              <w:pStyle w:val="24"/>
              <w:spacing w:after="0"/>
              <w:jc w:val="left"/>
            </w:pPr>
            <w:r>
              <w:rPr>
                <w:rStyle w:val="35"/>
                <w:rFonts w:ascii="Aptos" w:hAnsi="Aptos"/>
                <w:color w:val="1F2937"/>
                <w:sz w:val="18"/>
              </w:rPr>
              <w:t>STACK.md</w:t>
            </w:r>
          </w:p>
        </w:tc>
      </w:tr>
      <w:tr w14:paraId="08AB9134">
        <w:tblPrEx>
          <w:tblCellMar>
            <w:top w:w="0" w:type="dxa"/>
            <w:left w:w="108" w:type="dxa"/>
            <w:bottom w:w="0" w:type="dxa"/>
            <w:right w:w="108" w:type="dxa"/>
          </w:tblCellMar>
        </w:tblPrEx>
        <w:tc>
          <w:p w14:paraId="6CDD75A6">
            <w:pPr>
              <w:pStyle w:val="24"/>
              <w:spacing w:after="0"/>
              <w:jc w:val="left"/>
            </w:pPr>
            <w:r>
              <w:rPr>
                <w:rFonts w:ascii="Aptos" w:hAnsi="Aptos"/>
                <w:color w:val="1F2937"/>
                <w:sz w:val="18"/>
              </w:rPr>
              <w:t>RGPD / GDPR</w:t>
            </w:r>
          </w:p>
        </w:tc>
        <w:tc>
          <w:p w14:paraId="393E2727">
            <w:pPr>
              <w:pStyle w:val="24"/>
              <w:spacing w:after="0"/>
              <w:jc w:val="left"/>
            </w:pPr>
            <w:r>
              <w:rPr>
                <w:rFonts w:ascii="Aptos" w:hAnsi="Aptos"/>
                <w:color w:val="1F2937"/>
                <w:sz w:val="18"/>
              </w:rPr>
              <w:t>Módulo GDPR, cifrado, minimización, derecho al olvido</w:t>
            </w:r>
          </w:p>
        </w:tc>
        <w:tc>
          <w:p w14:paraId="3DB07F85">
            <w:pPr>
              <w:pStyle w:val="24"/>
              <w:spacing w:after="0"/>
              <w:jc w:val="left"/>
            </w:pPr>
            <w:r>
              <w:rPr>
                <w:rStyle w:val="35"/>
                <w:rFonts w:ascii="Aptos" w:hAnsi="Aptos"/>
                <w:color w:val="1F2937"/>
                <w:sz w:val="18"/>
              </w:rPr>
              <w:t>services/gdpr</w:t>
            </w:r>
          </w:p>
        </w:tc>
      </w:tr>
      <w:tr w14:paraId="3320B9B8">
        <w:tblPrEx>
          <w:tblCellMar>
            <w:top w:w="0" w:type="dxa"/>
            <w:left w:w="108" w:type="dxa"/>
            <w:bottom w:w="0" w:type="dxa"/>
            <w:right w:w="108" w:type="dxa"/>
          </w:tblCellMar>
        </w:tblPrEx>
        <w:tc>
          <w:p w14:paraId="55DD0523">
            <w:pPr>
              <w:pStyle w:val="24"/>
              <w:spacing w:after="0"/>
              <w:jc w:val="left"/>
            </w:pPr>
            <w:r>
              <w:rPr>
                <w:rFonts w:ascii="Aptos" w:hAnsi="Aptos"/>
                <w:color w:val="1F2937"/>
                <w:sz w:val="18"/>
              </w:rPr>
              <w:t>ENS (Alto) / ISO 27001</w:t>
            </w:r>
          </w:p>
        </w:tc>
        <w:tc>
          <w:p w14:paraId="20EA6290">
            <w:pPr>
              <w:pStyle w:val="24"/>
              <w:spacing w:after="0"/>
              <w:jc w:val="left"/>
            </w:pPr>
            <w:r>
              <w:rPr>
                <w:rFonts w:ascii="Aptos" w:hAnsi="Aptos"/>
                <w:color w:val="1F2937"/>
                <w:sz w:val="18"/>
              </w:rPr>
              <w:t>Arquitectura alineada; diseñada para facilitar la futura certificación</w:t>
            </w:r>
          </w:p>
        </w:tc>
        <w:tc>
          <w:p w14:paraId="18943A37">
            <w:pPr>
              <w:pStyle w:val="24"/>
              <w:spacing w:after="0"/>
              <w:jc w:val="left"/>
            </w:pPr>
            <w:r>
              <w:rPr>
                <w:rStyle w:val="35"/>
                <w:rFonts w:ascii="Aptos" w:hAnsi="Aptos"/>
                <w:color w:val="1F2937"/>
                <w:sz w:val="18"/>
              </w:rPr>
              <w:t>infra/security</w:t>
            </w:r>
          </w:p>
        </w:tc>
      </w:tr>
      <w:tr w14:paraId="461E1D46">
        <w:tblPrEx>
          <w:tblCellMar>
            <w:top w:w="0" w:type="dxa"/>
            <w:left w:w="108" w:type="dxa"/>
            <w:bottom w:w="0" w:type="dxa"/>
            <w:right w:w="108" w:type="dxa"/>
          </w:tblCellMar>
        </w:tblPrEx>
        <w:tc>
          <w:p w14:paraId="08CED3C8">
            <w:pPr>
              <w:pStyle w:val="24"/>
              <w:spacing w:after="0"/>
              <w:jc w:val="left"/>
            </w:pPr>
            <w:r>
              <w:rPr>
                <w:rFonts w:ascii="Aptos" w:hAnsi="Aptos"/>
                <w:color w:val="1F2937"/>
                <w:sz w:val="18"/>
              </w:rPr>
              <w:t>ISO 22000 / VERI*FACTU</w:t>
            </w:r>
          </w:p>
        </w:tc>
        <w:tc>
          <w:p w14:paraId="6EBEC66F">
            <w:pPr>
              <w:pStyle w:val="24"/>
              <w:spacing w:after="0"/>
              <w:jc w:val="left"/>
            </w:pPr>
            <w:r>
              <w:rPr>
                <w:rFonts w:ascii="Aptos" w:hAnsi="Aptos"/>
                <w:color w:val="1F2937"/>
                <w:sz w:val="18"/>
              </w:rPr>
              <w:t>Trazabilidad inmutable (GaiaChain), APPCC digital, facturación verificable</w:t>
            </w:r>
          </w:p>
        </w:tc>
        <w:tc>
          <w:p w14:paraId="7155C9BC">
            <w:pPr>
              <w:pStyle w:val="24"/>
              <w:spacing w:after="0"/>
              <w:jc w:val="left"/>
            </w:pPr>
            <w:r>
              <w:rPr>
                <w:rStyle w:val="35"/>
                <w:rFonts w:ascii="Aptos" w:hAnsi="Aptos"/>
                <w:color w:val="1F2937"/>
                <w:sz w:val="18"/>
              </w:rPr>
              <w:t>blockchain_txs/iso22000</w:t>
            </w:r>
          </w:p>
        </w:tc>
      </w:tr>
    </w:tbl>
    <w:p w14:paraId="1A03E7A8">
      <w:pPr>
        <w:pStyle w:val="3"/>
      </w:pPr>
      <w:r>
        <w:rPr>
          <w:rFonts w:ascii="Aptos" w:hAnsi="Aptos"/>
          <w:b/>
          <w:color w:val="1F2937"/>
          <w:sz w:val="21"/>
        </w:rPr>
        <w:t>Nota de honestidad.</w:t>
      </w:r>
      <w:r>
        <w:rPr>
          <w:rFonts w:ascii="Aptos" w:hAnsi="Aptos"/>
          <w:color w:val="1F2937"/>
          <w:sz w:val="21"/>
        </w:rPr>
        <w:t xml:space="preserve"> La arquitectura se ha </w:t>
      </w:r>
      <w:r>
        <w:rPr>
          <w:rFonts w:ascii="Aptos" w:hAnsi="Aptos"/>
          <w:b/>
          <w:color w:val="1F2937"/>
          <w:sz w:val="21"/>
        </w:rPr>
        <w:t>diseñado para facilitar</w:t>
      </w:r>
      <w:r>
        <w:rPr>
          <w:rFonts w:ascii="Aptos" w:hAnsi="Aptos"/>
          <w:color w:val="1F2937"/>
          <w:sz w:val="21"/>
        </w:rPr>
        <w:t xml:space="preserve"> el cumplimiento; la </w:t>
      </w:r>
      <w:r>
        <w:rPr>
          <w:rFonts w:ascii="Aptos" w:hAnsi="Aptos"/>
          <w:b/>
          <w:color w:val="1F2937"/>
          <w:sz w:val="21"/>
        </w:rPr>
        <w:t>validación formal</w:t>
      </w:r>
      <w:r>
        <w:rPr>
          <w:rFonts w:ascii="Aptos" w:hAnsi="Aptos"/>
          <w:color w:val="1F2937"/>
          <w:sz w:val="21"/>
        </w:rPr>
        <w:t xml:space="preserve"> (auditorías, certificaciones) es actividad de fases posteriores. No se afirma cumplimiento sin evidencia auditada.</w:t>
      </w:r>
    </w:p>
    <w:p w14:paraId="7855ABBE">
      <w:pPr>
        <w:pStyle w:val="2"/>
      </w:pPr>
      <w:bookmarkStart w:id="22" w:name="Xac758945c0f963bb5bace5a215da96798c5a4d7"/>
      <w:r>
        <w:rPr>
          <w:rFonts w:ascii="Aptos Display" w:hAnsi="Aptos Display"/>
          <w:b/>
          <w:color w:val="174A2E"/>
          <w:sz w:val="21"/>
        </w:rPr>
        <w:t>4. Modelo de negocio y estrategias de ingresos</w:t>
      </w:r>
      <w:bookmarkEnd w:id="22"/>
    </w:p>
    <w:p w14:paraId="66A778A2">
      <w:pPr>
        <w:pStyle w:val="23"/>
      </w:pPr>
      <w:r>
        <w:rPr>
          <w:rFonts w:ascii="Aptos" w:hAnsi="Aptos"/>
          <w:color w:val="1F2937"/>
          <w:sz w:val="21"/>
        </w:rPr>
        <w:t>El mecanismo es legible: una línea recurrente de software que sostiene la empresa desde el año 1, y tres líneas físicas que solo nacen cuando sus hitos las autorizan.</w:t>
      </w:r>
    </w:p>
    <w:p w14:paraId="1ED2F0DA">
      <w:pPr>
        <w:pStyle w:val="24"/>
        <w:numPr>
          <w:ilvl w:val="0"/>
          <w:numId w:val="1"/>
        </w:numPr>
      </w:pPr>
      <w:r>
        <w:rPr>
          <w:rFonts w:ascii="Aptos" w:hAnsi="Aptos"/>
          <w:b/>
          <w:color w:val="1F2937"/>
          <w:sz w:val="21"/>
        </w:rPr>
        <w:t>Vía 1 — Suscripción SaaS (recurrente, desde F1).</w:t>
      </w:r>
      <w:r>
        <w:rPr>
          <w:rFonts w:ascii="Aptos" w:hAnsi="Aptos"/>
          <w:color w:val="1F2937"/>
          <w:sz w:val="21"/>
        </w:rPr>
        <w:t xml:space="preserve"> 250–350 €/mes por cliente. En régimen (año 5): 10–40 clientes → 30–120 k€/año. Margen bruto &gt;70 %.</w:t>
      </w:r>
    </w:p>
    <w:p w14:paraId="23CFE9D3">
      <w:pPr>
        <w:pStyle w:val="24"/>
        <w:numPr>
          <w:ilvl w:val="0"/>
          <w:numId w:val="1"/>
        </w:numPr>
      </w:pPr>
      <w:r>
        <w:rPr>
          <w:rFonts w:ascii="Aptos" w:hAnsi="Aptos"/>
          <w:b/>
          <w:color w:val="1F2937"/>
          <w:sz w:val="21"/>
        </w:rPr>
        <w:t>Vía 2 — Venta e instalación de sensórica (puntual, desde F1).</w:t>
      </w:r>
      <w:r>
        <w:rPr>
          <w:rFonts w:ascii="Aptos" w:hAnsi="Aptos"/>
          <w:color w:val="1F2937"/>
          <w:sz w:val="21"/>
        </w:rPr>
        <w:t xml:space="preserve"> Pago único por kit e instalación.</w:t>
      </w:r>
    </w:p>
    <w:p w14:paraId="4310D067">
      <w:pPr>
        <w:pStyle w:val="24"/>
        <w:numPr>
          <w:ilvl w:val="0"/>
          <w:numId w:val="1"/>
        </w:numPr>
      </w:pPr>
      <w:r>
        <w:rPr>
          <w:rFonts w:ascii="Aptos" w:hAnsi="Aptos"/>
          <w:b/>
          <w:color w:val="1F2937"/>
          <w:sz w:val="21"/>
        </w:rPr>
        <w:t>Vía 3 — Consultoría y formación (por horas/proyecto, desde F1).</w:t>
      </w:r>
      <w:r>
        <w:rPr>
          <w:rFonts w:ascii="Aptos" w:hAnsi="Aptos"/>
          <w:color w:val="1F2937"/>
          <w:sz w:val="21"/>
        </w:rPr>
        <w:t xml:space="preserve"> Alisa la caja del arranque.</w:t>
      </w:r>
    </w:p>
    <w:p w14:paraId="58D2A345">
      <w:pPr>
        <w:pStyle w:val="24"/>
        <w:numPr>
          <w:ilvl w:val="0"/>
          <w:numId w:val="1"/>
        </w:numPr>
      </w:pPr>
      <w:r>
        <w:rPr>
          <w:rFonts w:ascii="Aptos" w:hAnsi="Aptos"/>
          <w:b/>
          <w:color w:val="1F2937"/>
          <w:sz w:val="21"/>
        </w:rPr>
        <w:t>Vía 4 — Venta directa de producto hortícola (estacional, desde F3).</w:t>
      </w:r>
      <w:r>
        <w:rPr>
          <w:rFonts w:ascii="Aptos" w:hAnsi="Aptos"/>
          <w:color w:val="1F2937"/>
          <w:sz w:val="21"/>
        </w:rPr>
        <w:t xml:space="preserve"> 120–180 t/año → 160–360 k€/año en régimen.</w:t>
      </w:r>
    </w:p>
    <w:p w14:paraId="742046F3">
      <w:pPr>
        <w:pStyle w:val="24"/>
        <w:numPr>
          <w:ilvl w:val="0"/>
          <w:numId w:val="1"/>
        </w:numPr>
      </w:pPr>
      <w:r>
        <w:rPr>
          <w:rFonts w:ascii="Aptos" w:hAnsi="Aptos"/>
          <w:b/>
          <w:color w:val="1F2937"/>
          <w:sz w:val="21"/>
        </w:rPr>
        <w:t>Vía 5 — Valorización energética (recurrente, desde F4).</w:t>
      </w:r>
      <w:r>
        <w:rPr>
          <w:rFonts w:ascii="Aptos" w:hAnsi="Aptos"/>
          <w:color w:val="1F2937"/>
          <w:sz w:val="21"/>
        </w:rPr>
        <w:t xml:space="preserve"> ≈1,95 GWh/año × 60–100 €/MWh → 130–200 k€/año. Ningún Gate depende de esta línea.</w:t>
      </w:r>
    </w:p>
    <w:p w14:paraId="3581A547">
      <w:pPr>
        <w:pStyle w:val="24"/>
        <w:numPr>
          <w:ilvl w:val="0"/>
          <w:numId w:val="1"/>
        </w:numPr>
      </w:pPr>
      <w:r>
        <w:rPr>
          <w:rFonts w:ascii="Aptos" w:hAnsi="Aptos"/>
          <w:b/>
          <w:color w:val="1F2937"/>
          <w:sz w:val="21"/>
        </w:rPr>
        <w:t>Vía 6 — Servicios de datos B2B (recurrente, solo si F5).</w:t>
      </w:r>
      <w:r>
        <w:rPr>
          <w:rFonts w:ascii="Aptos" w:hAnsi="Aptos"/>
          <w:color w:val="1F2937"/>
          <w:sz w:val="21"/>
        </w:rPr>
        <w:t xml:space="preserve"> 0–60 k€/año.</w:t>
      </w:r>
    </w:p>
    <w:p w14:paraId="13A41BF8">
      <w:pPr>
        <w:pStyle w:val="23"/>
      </w:pPr>
      <w:r>
        <w:rPr>
          <w:rFonts w:ascii="Aptos" w:hAnsi="Aptos"/>
          <w:b/>
          <w:color w:val="1F2937"/>
          <w:sz w:val="21"/>
        </w:rPr>
        <w:t>Total en régimen (año 4–5): 0,32–0,74 M€/año</w:t>
      </w:r>
      <w:r>
        <w:rPr>
          <w:rFonts w:ascii="Aptos" w:hAnsi="Aptos"/>
          <w:color w:val="1F2937"/>
          <w:sz w:val="21"/>
        </w:rPr>
        <w:t>, coincidente con las proyecciones del Plan Económico-Financiero.</w:t>
      </w:r>
    </w:p>
    <w:p w14:paraId="060C6446">
      <w:pPr>
        <w:pStyle w:val="4"/>
      </w:pPr>
      <w:bookmarkStart w:id="23" w:name="mecanismos-de-pago"/>
      <w:r>
        <w:rPr>
          <w:rFonts w:ascii="Aptos Display" w:hAnsi="Aptos Display"/>
          <w:b/>
          <w:color w:val="174A2E"/>
          <w:sz w:val="21"/>
        </w:rPr>
        <w:t>4.1. Mecanismos de pago</w:t>
      </w:r>
      <w:bookmarkEnd w:id="23"/>
    </w:p>
    <w:p w14:paraId="0167105A">
      <w:pPr>
        <w:pStyle w:val="23"/>
      </w:pPr>
      <w:r>
        <w:rPr>
          <w:rFonts w:ascii="Aptos" w:hAnsi="Aptos"/>
          <w:color w:val="1F2937"/>
          <w:sz w:val="21"/>
        </w:rPr>
        <w:t>SaaS: cuota mensual por domiciliación o pasarela, con opción anual. Sensórica: pago único contra hito de instalación. Consultoría/formación: por horas o proyecto. Hortaliza: contratos a 30–60 días; contratos previos a siembra fijan volumen y precio. Energía: liquidaciones del vehículo de autoconsumo.</w:t>
      </w:r>
    </w:p>
    <w:p w14:paraId="4B668239">
      <w:pPr>
        <w:pStyle w:val="4"/>
      </w:pPr>
      <w:bookmarkStart w:id="24" w:name="periodicidad-e-importancia"/>
      <w:r>
        <w:rPr>
          <w:rFonts w:ascii="Aptos Display" w:hAnsi="Aptos Display"/>
          <w:b/>
          <w:color w:val="174A2E"/>
          <w:sz w:val="21"/>
        </w:rPr>
        <w:t>4.2. Periodicidad e importancia</w:t>
      </w:r>
      <w:bookmarkEnd w:id="24"/>
    </w:p>
    <w:tbl>
      <w:tblPr>
        <w:tblStyle w:val="28"/>
        <w:tblW w:w="9360" w:type="dxa"/>
        <w:jc w:val="center"/>
        <w:tblInd w:w="0" w:type="dxa"/>
        <w:tblLayout w:type="fixed"/>
        <w:tblCellMar>
          <w:top w:w="0" w:type="dxa"/>
          <w:left w:w="108" w:type="dxa"/>
          <w:bottom w:w="0" w:type="dxa"/>
          <w:right w:w="108" w:type="dxa"/>
        </w:tblCellMar>
      </w:tblPr>
      <w:tblGrid>
        <w:gridCol w:w="2340"/>
        <w:gridCol w:w="2340"/>
        <w:gridCol w:w="2340"/>
        <w:gridCol w:w="2340"/>
      </w:tblGrid>
      <w:tr w14:paraId="2BCCA7B4">
        <w:tblPrEx>
          <w:tblCellMar>
            <w:top w:w="0" w:type="dxa"/>
            <w:left w:w="108" w:type="dxa"/>
            <w:bottom w:w="0" w:type="dxa"/>
            <w:right w:w="108" w:type="dxa"/>
          </w:tblCellMar>
        </w:tblPrEx>
        <w:tc>
          <w:tcPr>
            <w:tcW w:w="2340" w:type="dxa"/>
            <w:tcBorders>
              <w:bottom w:val="single" w:color="auto" w:sz="0" w:space="0"/>
            </w:tcBorders>
            <w:vAlign w:val="bottom"/>
          </w:tcPr>
          <w:p w14:paraId="5BF95CBF">
            <w:pPr>
              <w:pStyle w:val="24"/>
              <w:spacing w:after="0"/>
              <w:jc w:val="left"/>
            </w:pPr>
            <w:r>
              <w:rPr>
                <w:rFonts w:ascii="Aptos" w:hAnsi="Aptos"/>
                <w:color w:val="1F2937"/>
                <w:sz w:val="18"/>
              </w:rPr>
              <w:t>Vía</w:t>
            </w:r>
          </w:p>
        </w:tc>
        <w:tc>
          <w:tcPr>
            <w:tcW w:w="2340" w:type="dxa"/>
            <w:tcBorders>
              <w:bottom w:val="single" w:color="auto" w:sz="0" w:space="0"/>
            </w:tcBorders>
            <w:vAlign w:val="bottom"/>
          </w:tcPr>
          <w:p w14:paraId="2AFDA8A2">
            <w:pPr>
              <w:pStyle w:val="24"/>
              <w:spacing w:after="0"/>
              <w:jc w:val="left"/>
            </w:pPr>
            <w:r>
              <w:rPr>
                <w:rFonts w:ascii="Aptos" w:hAnsi="Aptos"/>
                <w:color w:val="1F2937"/>
                <w:sz w:val="18"/>
              </w:rPr>
              <w:t>Periodicidad</w:t>
            </w:r>
          </w:p>
        </w:tc>
        <w:tc>
          <w:tcPr>
            <w:tcW w:w="2340" w:type="dxa"/>
            <w:tcBorders>
              <w:bottom w:val="single" w:color="auto" w:sz="0" w:space="0"/>
            </w:tcBorders>
            <w:vAlign w:val="bottom"/>
          </w:tcPr>
          <w:p w14:paraId="59E5D956">
            <w:pPr>
              <w:pStyle w:val="24"/>
              <w:spacing w:after="0"/>
              <w:jc w:val="left"/>
            </w:pPr>
            <w:r>
              <w:rPr>
                <w:rFonts w:ascii="Aptos" w:hAnsi="Aptos"/>
                <w:color w:val="1F2937"/>
                <w:sz w:val="18"/>
              </w:rPr>
              <w:t>Peso aprox. en régimen</w:t>
            </w:r>
          </w:p>
        </w:tc>
        <w:tc>
          <w:tcPr>
            <w:tcW w:w="2340" w:type="dxa"/>
            <w:tcBorders>
              <w:bottom w:val="single" w:color="auto" w:sz="0" w:space="0"/>
            </w:tcBorders>
            <w:vAlign w:val="bottom"/>
          </w:tcPr>
          <w:p w14:paraId="119D83B9">
            <w:pPr>
              <w:pStyle w:val="24"/>
              <w:spacing w:after="0"/>
              <w:jc w:val="left"/>
            </w:pPr>
            <w:r>
              <w:rPr>
                <w:rFonts w:ascii="Aptos" w:hAnsi="Aptos"/>
                <w:color w:val="1F2937"/>
                <w:sz w:val="18"/>
              </w:rPr>
              <w:t>Estacionalidad</w:t>
            </w:r>
          </w:p>
        </w:tc>
      </w:tr>
      <w:tr w14:paraId="6C00ECE0">
        <w:tblPrEx>
          <w:tblCellMar>
            <w:top w:w="0" w:type="dxa"/>
            <w:left w:w="108" w:type="dxa"/>
            <w:bottom w:w="0" w:type="dxa"/>
            <w:right w:w="108" w:type="dxa"/>
          </w:tblCellMar>
        </w:tblPrEx>
        <w:tc>
          <w:p w14:paraId="3141C8A8">
            <w:pPr>
              <w:pStyle w:val="24"/>
              <w:spacing w:after="0"/>
              <w:jc w:val="left"/>
            </w:pPr>
            <w:r>
              <w:rPr>
                <w:rFonts w:ascii="Aptos" w:hAnsi="Aptos"/>
                <w:color w:val="1F2937"/>
                <w:sz w:val="18"/>
              </w:rPr>
              <w:t>SaaS</w:t>
            </w:r>
          </w:p>
        </w:tc>
        <w:tc>
          <w:p w14:paraId="15BF0F24">
            <w:pPr>
              <w:pStyle w:val="24"/>
              <w:spacing w:after="0"/>
              <w:jc w:val="left"/>
            </w:pPr>
            <w:r>
              <w:rPr>
                <w:rFonts w:ascii="Aptos" w:hAnsi="Aptos"/>
                <w:color w:val="1F2937"/>
                <w:sz w:val="18"/>
              </w:rPr>
              <w:t>Mensual, estable</w:t>
            </w:r>
          </w:p>
        </w:tc>
        <w:tc>
          <w:p w14:paraId="4FA9DCE3">
            <w:pPr>
              <w:pStyle w:val="24"/>
              <w:spacing w:after="0"/>
              <w:jc w:val="left"/>
            </w:pPr>
            <w:r>
              <w:rPr>
                <w:rFonts w:ascii="Aptos" w:hAnsi="Aptos"/>
                <w:color w:val="1F2937"/>
                <w:sz w:val="18"/>
              </w:rPr>
              <w:t>10–20 %</w:t>
            </w:r>
          </w:p>
        </w:tc>
        <w:tc>
          <w:p w14:paraId="15520DA2">
            <w:pPr>
              <w:pStyle w:val="24"/>
              <w:spacing w:after="0"/>
              <w:jc w:val="left"/>
            </w:pPr>
            <w:r>
              <w:rPr>
                <w:rFonts w:ascii="Aptos" w:hAnsi="Aptos"/>
                <w:color w:val="1F2937"/>
                <w:sz w:val="18"/>
              </w:rPr>
              <w:t>Ninguna</w:t>
            </w:r>
          </w:p>
        </w:tc>
      </w:tr>
      <w:tr w14:paraId="2781A6DC">
        <w:tblPrEx>
          <w:tblCellMar>
            <w:top w:w="0" w:type="dxa"/>
            <w:left w:w="108" w:type="dxa"/>
            <w:bottom w:w="0" w:type="dxa"/>
            <w:right w:w="108" w:type="dxa"/>
          </w:tblCellMar>
        </w:tblPrEx>
        <w:tc>
          <w:p w14:paraId="0797F34A">
            <w:pPr>
              <w:pStyle w:val="24"/>
              <w:spacing w:after="0"/>
              <w:jc w:val="left"/>
            </w:pPr>
            <w:r>
              <w:rPr>
                <w:rFonts w:ascii="Aptos" w:hAnsi="Aptos"/>
                <w:color w:val="1F2937"/>
                <w:sz w:val="18"/>
              </w:rPr>
              <w:t>Sensórica + consultoría</w:t>
            </w:r>
          </w:p>
        </w:tc>
        <w:tc>
          <w:p w14:paraId="698D8C32">
            <w:pPr>
              <w:pStyle w:val="24"/>
              <w:spacing w:after="0"/>
              <w:jc w:val="left"/>
            </w:pPr>
            <w:r>
              <w:rPr>
                <w:rFonts w:ascii="Aptos" w:hAnsi="Aptos"/>
                <w:color w:val="1F2937"/>
                <w:sz w:val="18"/>
              </w:rPr>
              <w:t>Puntual</w:t>
            </w:r>
          </w:p>
        </w:tc>
        <w:tc>
          <w:p w14:paraId="4A49C66A">
            <w:pPr>
              <w:pStyle w:val="24"/>
              <w:spacing w:after="0"/>
              <w:jc w:val="left"/>
            </w:pPr>
            <w:r>
              <w:rPr>
                <w:rFonts w:ascii="Aptos" w:hAnsi="Aptos"/>
                <w:color w:val="1F2937"/>
                <w:sz w:val="18"/>
              </w:rPr>
              <w:t>5–10 %</w:t>
            </w:r>
          </w:p>
        </w:tc>
        <w:tc>
          <w:p w14:paraId="67B12025">
            <w:pPr>
              <w:pStyle w:val="24"/>
              <w:spacing w:after="0"/>
              <w:jc w:val="left"/>
            </w:pPr>
            <w:r>
              <w:rPr>
                <w:rFonts w:ascii="Aptos" w:hAnsi="Aptos"/>
                <w:color w:val="1F2937"/>
                <w:sz w:val="18"/>
              </w:rPr>
              <w:t>Baja</w:t>
            </w:r>
          </w:p>
        </w:tc>
      </w:tr>
      <w:tr w14:paraId="70CF13E1">
        <w:tblPrEx>
          <w:tblCellMar>
            <w:top w:w="0" w:type="dxa"/>
            <w:left w:w="108" w:type="dxa"/>
            <w:bottom w:w="0" w:type="dxa"/>
            <w:right w:w="108" w:type="dxa"/>
          </w:tblCellMar>
        </w:tblPrEx>
        <w:tc>
          <w:p w14:paraId="70046A94">
            <w:pPr>
              <w:pStyle w:val="24"/>
              <w:spacing w:after="0"/>
              <w:jc w:val="left"/>
            </w:pPr>
            <w:r>
              <w:rPr>
                <w:rFonts w:ascii="Aptos" w:hAnsi="Aptos"/>
                <w:color w:val="1F2937"/>
                <w:sz w:val="18"/>
              </w:rPr>
              <w:t>Hortícola</w:t>
            </w:r>
          </w:p>
        </w:tc>
        <w:tc>
          <w:p w14:paraId="65E44991">
            <w:pPr>
              <w:pStyle w:val="24"/>
              <w:spacing w:after="0"/>
              <w:jc w:val="left"/>
            </w:pPr>
            <w:r>
              <w:rPr>
                <w:rFonts w:ascii="Aptos" w:hAnsi="Aptos"/>
                <w:color w:val="1F2937"/>
                <w:sz w:val="18"/>
              </w:rPr>
              <w:t>Por campañas</w:t>
            </w:r>
          </w:p>
        </w:tc>
        <w:tc>
          <w:p w14:paraId="7BD1506A">
            <w:pPr>
              <w:pStyle w:val="24"/>
              <w:spacing w:after="0"/>
              <w:jc w:val="left"/>
            </w:pPr>
            <w:r>
              <w:rPr>
                <w:rFonts w:ascii="Aptos" w:hAnsi="Aptos"/>
                <w:color w:val="1F2937"/>
                <w:sz w:val="18"/>
              </w:rPr>
              <w:t>45–55 %</w:t>
            </w:r>
          </w:p>
        </w:tc>
        <w:tc>
          <w:p w14:paraId="70C606EF">
            <w:pPr>
              <w:pStyle w:val="24"/>
              <w:spacing w:after="0"/>
              <w:jc w:val="left"/>
            </w:pPr>
            <w:r>
              <w:rPr>
                <w:rFonts w:ascii="Aptos" w:hAnsi="Aptos"/>
                <w:color w:val="1F2937"/>
                <w:sz w:val="18"/>
              </w:rPr>
              <w:t>Alta</w:t>
            </w:r>
          </w:p>
        </w:tc>
      </w:tr>
      <w:tr w14:paraId="58A27C14">
        <w:tblPrEx>
          <w:tblCellMar>
            <w:top w:w="0" w:type="dxa"/>
            <w:left w:w="108" w:type="dxa"/>
            <w:bottom w:w="0" w:type="dxa"/>
            <w:right w:w="108" w:type="dxa"/>
          </w:tblCellMar>
        </w:tblPrEx>
        <w:tc>
          <w:p w14:paraId="7273C8A2">
            <w:pPr>
              <w:pStyle w:val="24"/>
              <w:spacing w:after="0"/>
              <w:jc w:val="left"/>
            </w:pPr>
            <w:r>
              <w:rPr>
                <w:rFonts w:ascii="Aptos" w:hAnsi="Aptos"/>
                <w:color w:val="1F2937"/>
                <w:sz w:val="18"/>
              </w:rPr>
              <w:t>Energía</w:t>
            </w:r>
          </w:p>
        </w:tc>
        <w:tc>
          <w:p w14:paraId="291CB893">
            <w:pPr>
              <w:pStyle w:val="24"/>
              <w:spacing w:after="0"/>
              <w:jc w:val="left"/>
            </w:pPr>
            <w:r>
              <w:rPr>
                <w:rFonts w:ascii="Aptos" w:hAnsi="Aptos"/>
                <w:color w:val="1F2937"/>
                <w:sz w:val="18"/>
              </w:rPr>
              <w:t>Mensual, estable</w:t>
            </w:r>
          </w:p>
        </w:tc>
        <w:tc>
          <w:p w14:paraId="2E5DBC88">
            <w:pPr>
              <w:pStyle w:val="24"/>
              <w:spacing w:after="0"/>
              <w:jc w:val="left"/>
            </w:pPr>
            <w:r>
              <w:rPr>
                <w:rFonts w:ascii="Aptos" w:hAnsi="Aptos"/>
                <w:color w:val="1F2937"/>
                <w:sz w:val="18"/>
              </w:rPr>
              <w:t>25–30 %</w:t>
            </w:r>
          </w:p>
        </w:tc>
        <w:tc>
          <w:p w14:paraId="1F6B9D13">
            <w:pPr>
              <w:pStyle w:val="24"/>
              <w:spacing w:after="0"/>
              <w:jc w:val="left"/>
            </w:pPr>
            <w:r>
              <w:rPr>
                <w:rFonts w:ascii="Aptos" w:hAnsi="Aptos"/>
                <w:color w:val="1F2937"/>
                <w:sz w:val="18"/>
              </w:rPr>
              <w:t>Media</w:t>
            </w:r>
          </w:p>
        </w:tc>
      </w:tr>
      <w:tr w14:paraId="5713B395">
        <w:tblPrEx>
          <w:tblCellMar>
            <w:top w:w="0" w:type="dxa"/>
            <w:left w:w="108" w:type="dxa"/>
            <w:bottom w:w="0" w:type="dxa"/>
            <w:right w:w="108" w:type="dxa"/>
          </w:tblCellMar>
        </w:tblPrEx>
        <w:tc>
          <w:p w14:paraId="6571EB9C">
            <w:pPr>
              <w:pStyle w:val="24"/>
              <w:spacing w:after="0"/>
              <w:jc w:val="left"/>
            </w:pPr>
            <w:r>
              <w:rPr>
                <w:rFonts w:ascii="Aptos" w:hAnsi="Aptos"/>
                <w:color w:val="1F2937"/>
                <w:sz w:val="18"/>
              </w:rPr>
              <w:t>Datos B2B</w:t>
            </w:r>
          </w:p>
        </w:tc>
        <w:tc>
          <w:p w14:paraId="6FD515A5">
            <w:pPr>
              <w:pStyle w:val="24"/>
              <w:spacing w:after="0"/>
              <w:jc w:val="left"/>
            </w:pPr>
            <w:r>
              <w:rPr>
                <w:rFonts w:ascii="Aptos" w:hAnsi="Aptos"/>
                <w:color w:val="1F2937"/>
                <w:sz w:val="18"/>
              </w:rPr>
              <w:t>Mensual (si F5)</w:t>
            </w:r>
          </w:p>
        </w:tc>
        <w:tc>
          <w:p w14:paraId="602AA192">
            <w:pPr>
              <w:pStyle w:val="24"/>
              <w:spacing w:after="0"/>
              <w:jc w:val="left"/>
            </w:pPr>
            <w:r>
              <w:rPr>
                <w:rFonts w:ascii="Aptos" w:hAnsi="Aptos"/>
                <w:color w:val="1F2937"/>
                <w:sz w:val="18"/>
              </w:rPr>
              <w:t>0–8 %</w:t>
            </w:r>
          </w:p>
        </w:tc>
        <w:tc>
          <w:p w14:paraId="36FB1BAE">
            <w:pPr>
              <w:pStyle w:val="24"/>
              <w:spacing w:after="0"/>
              <w:jc w:val="left"/>
            </w:pPr>
            <w:r>
              <w:rPr>
                <w:rFonts w:ascii="Aptos" w:hAnsi="Aptos"/>
                <w:color w:val="1F2937"/>
                <w:sz w:val="18"/>
              </w:rPr>
              <w:t>Ninguna</w:t>
            </w:r>
          </w:p>
        </w:tc>
      </w:tr>
    </w:tbl>
    <w:p w14:paraId="70A96F60">
      <w:pPr>
        <w:pStyle w:val="3"/>
      </w:pPr>
      <w:r>
        <w:rPr>
          <w:rFonts w:ascii="Aptos" w:hAnsi="Aptos"/>
          <w:color w:val="1F2937"/>
          <w:sz w:val="21"/>
        </w:rPr>
        <w:t>La variable más dañina es el precio hortícola (−30 % → EBITDA ≈ −48 k€/año; mitigada con contratos previos a siembra) y la más suave los clientes SaaS (−50 % → ≈ −7 k€).</w:t>
      </w:r>
    </w:p>
    <w:p w14:paraId="5845A339">
      <w:pPr>
        <w:pStyle w:val="4"/>
      </w:pPr>
      <w:bookmarkStart w:id="25" w:name="bloque-financiero-corregido-tres-planos"/>
      <w:r>
        <w:rPr>
          <w:rFonts w:ascii="Aptos Display" w:hAnsi="Aptos Display"/>
          <w:b/>
          <w:color w:val="174A2E"/>
          <w:sz w:val="21"/>
        </w:rPr>
        <w:t>4.3. Bloque financiero corregido (tres planos)</w:t>
      </w:r>
      <w:bookmarkEnd w:id="25"/>
    </w:p>
    <w:p w14:paraId="2DA7AE2F">
      <w:pPr>
        <w:pStyle w:val="23"/>
      </w:pPr>
      <w:r>
        <w:rPr>
          <w:rFonts w:ascii="Aptos" w:hAnsi="Aptos"/>
          <w:b/>
          <w:color w:val="1F2937"/>
          <w:sz w:val="21"/>
        </w:rPr>
        <w:t>Principios de separación (lógica estricta).</w:t>
      </w:r>
      <w:r>
        <w:rPr>
          <w:rFonts w:ascii="Aptos" w:hAnsi="Aptos"/>
          <w:color w:val="1F2937"/>
          <w:sz w:val="21"/>
        </w:rPr>
        <w:t xml:space="preserve"> Inversión inicial real (Fase 1) ≠ inversiones futuras condicionadas (Plano C); </w:t>
      </w:r>
      <w:r>
        <w:rPr>
          <w:rFonts w:ascii="Aptos" w:hAnsi="Aptos"/>
          <w:b/>
          <w:color w:val="1F2937"/>
          <w:sz w:val="21"/>
        </w:rPr>
        <w:t>financiación disponible</w:t>
      </w:r>
      <w:r>
        <w:rPr>
          <w:rFonts w:ascii="Aptos" w:hAnsi="Aptos"/>
          <w:color w:val="1F2937"/>
          <w:sz w:val="21"/>
        </w:rPr>
        <w:t xml:space="preserve"> (caja real) ≠ </w:t>
      </w:r>
      <w:r>
        <w:rPr>
          <w:rFonts w:ascii="Aptos" w:hAnsi="Aptos"/>
          <w:b/>
          <w:color w:val="1F2937"/>
          <w:sz w:val="21"/>
        </w:rPr>
        <w:t>financiación solicitada / en tramitación</w:t>
      </w:r>
      <w:r>
        <w:rPr>
          <w:rFonts w:ascii="Aptos" w:hAnsi="Aptos"/>
          <w:color w:val="1F2937"/>
          <w:sz w:val="21"/>
        </w:rPr>
        <w:t xml:space="preserve"> (no computa como caja hasta el cobro); </w:t>
      </w:r>
      <w:r>
        <w:rPr>
          <w:rFonts w:ascii="Aptos" w:hAnsi="Aptos"/>
          <w:b/>
          <w:color w:val="1F2937"/>
          <w:sz w:val="21"/>
        </w:rPr>
        <w:t>estimación interna de coste de reposición nuevo (420.000 €)</w:t>
      </w:r>
      <w:r>
        <w:rPr>
          <w:rFonts w:ascii="Aptos" w:hAnsi="Aptos"/>
          <w:color w:val="1F2937"/>
          <w:sz w:val="21"/>
        </w:rPr>
        <w:t xml:space="preserve"> ≠ CAPEX de arranque (es </w:t>
      </w:r>
      <w:r>
        <w:rPr>
          <w:rFonts w:ascii="Aptos" w:hAnsi="Aptos"/>
          <w:b/>
          <w:color w:val="1F2937"/>
          <w:sz w:val="21"/>
        </w:rPr>
        <w:t>activo tecnológico existente</w:t>
      </w:r>
      <w:r>
        <w:rPr>
          <w:rFonts w:ascii="Aptos" w:hAnsi="Aptos"/>
          <w:color w:val="1F2937"/>
          <w:sz w:val="21"/>
        </w:rPr>
        <w:t xml:space="preserve">; posible aportación en especie </w:t>
      </w:r>
      <w:r>
        <w:rPr>
          <w:rFonts w:ascii="Aptos" w:hAnsi="Aptos"/>
          <w:b/>
          <w:color w:val="1F2937"/>
          <w:sz w:val="21"/>
        </w:rPr>
        <w:t>sujeta a formalización</w:t>
      </w:r>
      <w:r>
        <w:rPr>
          <w:rFonts w:ascii="Aptos" w:hAnsi="Aptos"/>
          <w:color w:val="1F2937"/>
          <w:sz w:val="21"/>
        </w:rPr>
        <w:t xml:space="preserve">, no caja ni capital social); </w:t>
      </w:r>
      <w:r>
        <w:rPr>
          <w:rFonts w:ascii="Aptos" w:hAnsi="Aptos"/>
          <w:b/>
          <w:color w:val="1F2937"/>
          <w:sz w:val="21"/>
        </w:rPr>
        <w:t>pasivos existentes</w:t>
      </w:r>
      <w:r>
        <w:rPr>
          <w:rFonts w:ascii="Aptos" w:hAnsi="Aptos"/>
          <w:color w:val="1F2937"/>
          <w:sz w:val="21"/>
        </w:rPr>
        <w:t xml:space="preserve"> —incluida la </w:t>
      </w:r>
      <w:r>
        <w:rPr>
          <w:rFonts w:ascii="Aptos" w:hAnsi="Aptos"/>
          <w:b/>
          <w:color w:val="1F2937"/>
          <w:sz w:val="21"/>
        </w:rPr>
        <w:t>deuda con la Seguridad Social</w:t>
      </w:r>
      <w:r>
        <w:rPr>
          <w:rFonts w:ascii="Aptos" w:hAnsi="Aptos"/>
          <w:color w:val="1F2937"/>
          <w:sz w:val="21"/>
        </w:rPr>
        <w:t xml:space="preserve">— explícitos como </w:t>
      </w:r>
      <w:r>
        <w:rPr>
          <w:rFonts w:ascii="Aptos" w:hAnsi="Aptos"/>
          <w:b/>
          <w:color w:val="1F2937"/>
          <w:sz w:val="21"/>
        </w:rPr>
        <w:t>riesgo de liquidez</w:t>
      </w:r>
      <w:r>
        <w:rPr>
          <w:rFonts w:ascii="Aptos" w:hAnsi="Aptos"/>
          <w:color w:val="1F2937"/>
          <w:sz w:val="21"/>
        </w:rPr>
        <w:t xml:space="preserve">; geotermia y almacenamiento ampliado </w:t>
      </w:r>
      <w:r>
        <w:rPr>
          <w:rFonts w:ascii="Aptos" w:hAnsi="Aptos"/>
          <w:b/>
          <w:color w:val="1F2937"/>
          <w:sz w:val="21"/>
        </w:rPr>
        <w:t>no</w:t>
      </w:r>
      <w:r>
        <w:rPr>
          <w:rFonts w:ascii="Aptos" w:hAnsi="Aptos"/>
          <w:color w:val="1F2937"/>
          <w:sz w:val="21"/>
        </w:rPr>
        <w:t xml:space="preserve"> figuran como gasto de arranque. El Plan Económico-Financiero oficial adjunto (12 hojas de la Diputación) cuadra con este bloque.</w:t>
      </w:r>
    </w:p>
    <w:p w14:paraId="40118E7D">
      <w:pPr>
        <w:pStyle w:val="5"/>
      </w:pPr>
      <w:bookmarkStart w:id="26" w:name="Xbce79d563a48e46700ae8831fe9d0bd275ea3bc"/>
      <w:r>
        <w:rPr>
          <w:rFonts w:ascii="Aptos Display" w:hAnsi="Aptos Display"/>
          <w:b/>
          <w:color w:val="174A2E"/>
          <w:sz w:val="21"/>
        </w:rPr>
        <w:t>4.3.1. Inversión inicial (Fase 1) — consolidación operativa</w:t>
      </w:r>
      <w:bookmarkEnd w:id="26"/>
    </w:p>
    <w:p w14:paraId="4963B64E">
      <w:pPr>
        <w:pStyle w:val="23"/>
      </w:pPr>
      <w:r>
        <w:rPr>
          <w:rFonts w:ascii="Aptos" w:hAnsi="Aptos"/>
          <w:color w:val="1F2937"/>
          <w:sz w:val="21"/>
        </w:rPr>
        <w:t xml:space="preserve">La Fase 1 se estructura mediante una </w:t>
      </w:r>
      <w:r>
        <w:rPr>
          <w:rFonts w:ascii="Aptos" w:hAnsi="Aptos"/>
          <w:b/>
          <w:color w:val="1F2937"/>
          <w:sz w:val="21"/>
        </w:rPr>
        <w:t>envolvente financiera de 165.000–195.000 €, con un escenario prudente de 165.000 €</w:t>
      </w:r>
      <w:r>
        <w:rPr>
          <w:rFonts w:ascii="Aptos" w:hAnsi="Aptos"/>
          <w:color w:val="1F2937"/>
          <w:sz w:val="21"/>
        </w:rPr>
        <w:t xml:space="preserve">. Comprende el endurecimiento del núcleo SaaS, seguridad y ciberseguridad, cumplimiento y preparación de auditorías, refuerzo de la capa GaiaChain/TRAZALIA, personal mínimo de operación y comercialización, retribución del promotor, gastos legales y administrativos, herramientas y licencias, y un margen prudente de tesorería y contingencia. </w:t>
      </w:r>
      <w:r>
        <w:rPr>
          <w:rFonts w:ascii="Aptos" w:hAnsi="Aptos"/>
          <w:b/>
          <w:color w:val="1F2937"/>
          <w:sz w:val="21"/>
        </w:rPr>
        <w:t>No incluye</w:t>
      </w:r>
      <w:r>
        <w:rPr>
          <w:rFonts w:ascii="Aptos" w:hAnsi="Aptos"/>
          <w:color w:val="1F2937"/>
          <w:sz w:val="21"/>
        </w:rPr>
        <w:t xml:space="preserve"> geotermia, almacenamiento ampliado de infraestructura, invernadero, agrovoltaica ni otras inversiones físicas del Plano C. </w:t>
      </w:r>
      <w:r>
        <w:rPr>
          <w:rFonts w:ascii="Aptos" w:hAnsi="Aptos"/>
          <w:b/>
          <w:color w:val="1F2937"/>
          <w:sz w:val="21"/>
        </w:rPr>
        <w:t>El escenario central de 180.000 €; el techo es de 195.000 € no constituye gasto comprometido:</w:t>
      </w:r>
      <w:r>
        <w:rPr>
          <w:rFonts w:ascii="Aptos" w:hAnsi="Aptos"/>
          <w:color w:val="1F2937"/>
          <w:sz w:val="21"/>
        </w:rPr>
        <w:t xml:space="preserve"> es la capacidad máxima prevista para absorber contingencias o requisitos justificados.</w:t>
      </w:r>
    </w:p>
    <w:p w14:paraId="7E34EF2F">
      <w:pPr>
        <w:pStyle w:val="3"/>
      </w:pPr>
      <w:r>
        <w:rPr>
          <w:rFonts w:ascii="Aptos" w:hAnsi="Aptos"/>
          <w:b/>
          <w:color w:val="1F2937"/>
          <w:sz w:val="21"/>
        </w:rPr>
        <w:t>Distribución de planificación por bloques</w:t>
      </w:r>
      <w:r>
        <w:rPr>
          <w:rFonts w:ascii="Aptos" w:hAnsi="Aptos"/>
          <w:color w:val="1F2937"/>
          <w:sz w:val="21"/>
        </w:rPr>
        <w:t xml:space="preserve"> (escenario, no gasto comprometido; detalle y controles en el Excel oficial, hoja «Inversión Inicial» del Excel oficial):</w:t>
      </w:r>
    </w:p>
    <w:tbl>
      <w:tblPr>
        <w:tblStyle w:val="28"/>
        <w:tblW w:w="5000" w:type="pct"/>
        <w:jc w:val="center"/>
        <w:tblInd w:w="0" w:type="dxa"/>
        <w:tblLayout w:type="fixed"/>
        <w:tblCellMar>
          <w:top w:w="0" w:type="dxa"/>
          <w:left w:w="108" w:type="dxa"/>
          <w:bottom w:w="0" w:type="dxa"/>
          <w:right w:w="108" w:type="dxa"/>
        </w:tblCellMar>
      </w:tblPr>
      <w:tblGrid>
        <w:gridCol w:w="2214"/>
        <w:gridCol w:w="2214"/>
        <w:gridCol w:w="2214"/>
        <w:gridCol w:w="2214"/>
      </w:tblGrid>
      <w:tr w14:paraId="470B8EA8">
        <w:tblPrEx>
          <w:tblCellMar>
            <w:top w:w="0" w:type="dxa"/>
            <w:left w:w="108" w:type="dxa"/>
            <w:bottom w:w="0" w:type="dxa"/>
            <w:right w:w="108" w:type="dxa"/>
          </w:tblCellMar>
        </w:tblPrEx>
        <w:tc>
          <w:tcPr>
            <w:tcW w:w="2340" w:type="dxa"/>
            <w:tcBorders>
              <w:bottom w:val="single" w:color="auto" w:sz="0" w:space="0"/>
            </w:tcBorders>
            <w:vAlign w:val="bottom"/>
          </w:tcPr>
          <w:p w14:paraId="1DCC54C7">
            <w:pPr>
              <w:pStyle w:val="24"/>
              <w:spacing w:after="0"/>
              <w:jc w:val="left"/>
            </w:pPr>
            <w:r>
              <w:rPr>
                <w:rFonts w:ascii="Aptos" w:hAnsi="Aptos"/>
                <w:color w:val="1F2937"/>
                <w:sz w:val="18"/>
              </w:rPr>
              <w:t>Bloque (persona → función → coste)</w:t>
            </w:r>
          </w:p>
        </w:tc>
        <w:tc>
          <w:tcPr>
            <w:tcW w:w="2340" w:type="dxa"/>
            <w:tcBorders>
              <w:bottom w:val="single" w:color="auto" w:sz="0" w:space="0"/>
            </w:tcBorders>
            <w:vAlign w:val="bottom"/>
          </w:tcPr>
          <w:p w14:paraId="53718161">
            <w:pPr>
              <w:pStyle w:val="24"/>
              <w:spacing w:after="0"/>
              <w:jc w:val="right"/>
            </w:pPr>
            <w:r>
              <w:rPr>
                <w:rFonts w:ascii="Aptos" w:hAnsi="Aptos"/>
                <w:color w:val="1F2937"/>
                <w:sz w:val="18"/>
              </w:rPr>
              <w:t>Prudente</w:t>
            </w:r>
          </w:p>
        </w:tc>
        <w:tc>
          <w:tcPr>
            <w:tcW w:w="2340" w:type="dxa"/>
            <w:tcBorders>
              <w:bottom w:val="single" w:color="auto" w:sz="0" w:space="0"/>
            </w:tcBorders>
            <w:vAlign w:val="bottom"/>
          </w:tcPr>
          <w:p w14:paraId="605E3EAF">
            <w:pPr>
              <w:pStyle w:val="24"/>
              <w:spacing w:after="0"/>
              <w:jc w:val="right"/>
            </w:pPr>
            <w:r>
              <w:rPr>
                <w:rFonts w:ascii="Aptos" w:hAnsi="Aptos"/>
                <w:color w:val="1F2937"/>
                <w:sz w:val="18"/>
              </w:rPr>
              <w:t>Central</w:t>
            </w:r>
          </w:p>
        </w:tc>
        <w:tc>
          <w:tcPr>
            <w:tcW w:w="2340" w:type="dxa"/>
            <w:tcBorders>
              <w:bottom w:val="single" w:color="auto" w:sz="0" w:space="0"/>
            </w:tcBorders>
            <w:vAlign w:val="bottom"/>
          </w:tcPr>
          <w:p w14:paraId="328990A8">
            <w:pPr>
              <w:pStyle w:val="24"/>
              <w:spacing w:after="0"/>
              <w:jc w:val="right"/>
            </w:pPr>
            <w:r>
              <w:rPr>
                <w:rFonts w:ascii="Aptos" w:hAnsi="Aptos"/>
                <w:color w:val="1F2937"/>
                <w:sz w:val="18"/>
              </w:rPr>
              <w:t>Techo</w:t>
            </w:r>
          </w:p>
        </w:tc>
      </w:tr>
      <w:tr w14:paraId="0391805B">
        <w:tblPrEx>
          <w:tblCellMar>
            <w:top w:w="0" w:type="dxa"/>
            <w:left w:w="108" w:type="dxa"/>
            <w:bottom w:w="0" w:type="dxa"/>
            <w:right w:w="108" w:type="dxa"/>
          </w:tblCellMar>
        </w:tblPrEx>
        <w:tc>
          <w:p w14:paraId="74C5FCC6">
            <w:pPr>
              <w:pStyle w:val="24"/>
              <w:spacing w:after="0"/>
              <w:jc w:val="left"/>
            </w:pPr>
            <w:r>
              <w:rPr>
                <w:rFonts w:ascii="Aptos" w:hAnsi="Aptos"/>
                <w:color w:val="1F2937"/>
                <w:sz w:val="18"/>
              </w:rPr>
              <w:t>Técnico/a de software (28.000 € + SS 30 %)</w:t>
            </w:r>
          </w:p>
        </w:tc>
        <w:tc>
          <w:p>
            <w:r>
              <w:t>32.000 €</w:t>
            </w:r>
          </w:p>
        </w:tc>
        <w:tc>
          <w:p>
            <w:r>
              <w:t>15.166,67 €</w:t>
            </w:r>
          </w:p>
        </w:tc>
        <w:tc>
          <w:p>
            <w:r>
              <w:t>40.000 €</w:t>
            </w:r>
          </w:p>
        </w:tc>
      </w:tr>
      <w:tr w14:paraId="5A770777">
        <w:tblPrEx>
          <w:tblCellMar>
            <w:top w:w="0" w:type="dxa"/>
            <w:left w:w="108" w:type="dxa"/>
            <w:bottom w:w="0" w:type="dxa"/>
            <w:right w:w="108" w:type="dxa"/>
          </w:tblCellMar>
        </w:tblPrEx>
        <w:tc>
          <w:p w14:paraId="68D5BE0B">
            <w:pPr>
              <w:pStyle w:val="24"/>
              <w:spacing w:after="0"/>
              <w:jc w:val="left"/>
            </w:pPr>
            <w:r>
              <w:rPr>
                <w:rFonts w:ascii="Aptos" w:hAnsi="Aptos"/>
                <w:color w:val="1F2937"/>
                <w:sz w:val="18"/>
              </w:rPr>
              <w:t>Técnico/a de campo·comercial 0,4 FTE (12.000 € + SS)</w:t>
            </w:r>
          </w:p>
        </w:tc>
        <w:tc>
          <w:p>
            <w:r>
              <w:t>13.000 €</w:t>
            </w:r>
          </w:p>
        </w:tc>
        <w:tc>
          <w:p>
            <w:r>
              <w:t>2.600 €</w:t>
            </w:r>
          </w:p>
        </w:tc>
        <w:tc>
          <w:p>
            <w:r>
              <w:t>18.000 €</w:t>
            </w:r>
          </w:p>
        </w:tc>
      </w:tr>
      <w:tr w14:paraId="3732C0B6">
        <w:tblPrEx>
          <w:tblCellMar>
            <w:top w:w="0" w:type="dxa"/>
            <w:left w:w="108" w:type="dxa"/>
            <w:bottom w:w="0" w:type="dxa"/>
            <w:right w:w="108" w:type="dxa"/>
          </w:tblCellMar>
        </w:tblPrEx>
        <w:tc>
          <w:p w14:paraId="6D5A3CA0">
            <w:pPr>
              <w:pStyle w:val="24"/>
              <w:spacing w:after="0"/>
              <w:jc w:val="left"/>
            </w:pPr>
            <w:r>
              <w:rPr>
                <w:rFonts w:ascii="Aptos" w:hAnsi="Aptos"/>
                <w:color w:val="1F2937"/>
                <w:sz w:val="18"/>
              </w:rPr>
              <w:t>Retribución del promotor (30.000 €) + RETA/autónomo</w:t>
            </w:r>
          </w:p>
        </w:tc>
        <w:tc>
          <w:p>
            <w:r>
              <w:t>30.000 €</w:t>
            </w:r>
          </w:p>
        </w:tc>
        <w:tc>
          <w:p>
            <w:r>
              <w:t>34.800 €</w:t>
            </w:r>
          </w:p>
        </w:tc>
        <w:tc>
          <w:p>
            <w:r>
              <w:t>38.000 €</w:t>
            </w:r>
          </w:p>
        </w:tc>
      </w:tr>
      <w:tr w14:paraId="52A0435E">
        <w:tblPrEx>
          <w:tblCellMar>
            <w:top w:w="0" w:type="dxa"/>
            <w:left w:w="108" w:type="dxa"/>
            <w:bottom w:w="0" w:type="dxa"/>
            <w:right w:w="108" w:type="dxa"/>
          </w:tblCellMar>
        </w:tblPrEx>
        <w:tc>
          <w:p w14:paraId="2FCDB3BA">
            <w:pPr>
              <w:pStyle w:val="24"/>
              <w:spacing w:after="0"/>
              <w:jc w:val="left"/>
            </w:pPr>
            <w:r>
              <w:rPr>
                <w:rFonts w:ascii="Aptos" w:hAnsi="Aptos"/>
                <w:color w:val="1F2937"/>
                <w:sz w:val="18"/>
              </w:rPr>
              <w:t>Equipos informáticos (por persona)</w:t>
            </w:r>
          </w:p>
        </w:tc>
        <w:tc>
          <w:p>
            <w:r>
              <w:t>3.500 €</w:t>
            </w:r>
          </w:p>
        </w:tc>
        <w:tc>
          <w:p>
            <w:r>
              <w:t>4.500 €</w:t>
            </w:r>
          </w:p>
        </w:tc>
        <w:tc>
          <w:p>
            <w:r>
              <w:t>6.000 €</w:t>
            </w:r>
          </w:p>
        </w:tc>
      </w:tr>
      <w:tr w14:paraId="483FE0DB">
        <w:tblPrEx>
          <w:tblCellMar>
            <w:top w:w="0" w:type="dxa"/>
            <w:left w:w="108" w:type="dxa"/>
            <w:bottom w:w="0" w:type="dxa"/>
            <w:right w:w="108" w:type="dxa"/>
          </w:tblCellMar>
        </w:tblPrEx>
        <w:tc>
          <w:p w14:paraId="47C75AB7">
            <w:pPr>
              <w:pStyle w:val="24"/>
              <w:spacing w:after="0"/>
              <w:jc w:val="left"/>
            </w:pPr>
            <w:r>
              <w:rPr>
                <w:rFonts w:ascii="Aptos" w:hAnsi="Aptos"/>
                <w:color w:val="1F2937"/>
                <w:sz w:val="18"/>
              </w:rPr>
              <w:t>GaiaChain / TRAZALIA (refuerzo técnico)</w:t>
            </w:r>
          </w:p>
        </w:tc>
        <w:tc>
          <w:p>
            <w:r>
              <w:t>10.000 €</w:t>
            </w:r>
          </w:p>
        </w:tc>
        <w:tc>
          <w:p>
            <w:r>
              <w:t>12.000 €</w:t>
            </w:r>
          </w:p>
        </w:tc>
        <w:tc>
          <w:p>
            <w:r>
              <w:t>14.000 €</w:t>
            </w:r>
          </w:p>
        </w:tc>
      </w:tr>
      <w:tr w14:paraId="435994CB">
        <w:tblPrEx>
          <w:tblCellMar>
            <w:top w:w="0" w:type="dxa"/>
            <w:left w:w="108" w:type="dxa"/>
            <w:bottom w:w="0" w:type="dxa"/>
            <w:right w:w="108" w:type="dxa"/>
          </w:tblCellMar>
        </w:tblPrEx>
        <w:tc>
          <w:p w14:paraId="1746B1D9">
            <w:pPr>
              <w:pStyle w:val="24"/>
              <w:spacing w:after="0"/>
              <w:jc w:val="left"/>
            </w:pPr>
            <w:r>
              <w:rPr>
                <w:rFonts w:ascii="Aptos" w:hAnsi="Aptos"/>
                <w:color w:val="1F2937"/>
                <w:sz w:val="18"/>
              </w:rPr>
              <w:t>Compliance + Auditoría + Legal/PI + Ensayos F1 (TRT/terracota) — condicionado</w:t>
            </w:r>
          </w:p>
        </w:tc>
        <w:tc>
          <w:p>
            <w:r>
              <w:t>26.000 €</w:t>
            </w:r>
          </w:p>
        </w:tc>
        <w:tc>
          <w:p>
            <w:r>
              <w:t>33.000 €</w:t>
            </w:r>
          </w:p>
        </w:tc>
        <w:tc>
          <w:p>
            <w:r>
              <w:t>38.000 €</w:t>
            </w:r>
          </w:p>
        </w:tc>
      </w:tr>
      <w:tr w14:paraId="0E1032C4">
        <w:tblPrEx>
          <w:tblCellMar>
            <w:top w:w="0" w:type="dxa"/>
            <w:left w:w="108" w:type="dxa"/>
            <w:bottom w:w="0" w:type="dxa"/>
            <w:right w:w="108" w:type="dxa"/>
          </w:tblCellMar>
        </w:tblPrEx>
        <w:tc>
          <w:p w14:paraId="73BB346E">
            <w:pPr>
              <w:pStyle w:val="24"/>
              <w:spacing w:after="0"/>
              <w:jc w:val="left"/>
            </w:pPr>
            <w:r>
              <w:rPr>
                <w:rFonts w:ascii="Aptos" w:hAnsi="Aptos"/>
                <w:color w:val="1F2937"/>
                <w:sz w:val="18"/>
              </w:rPr>
              <w:t>Marca / nombre comercial (M4359038, en proceso)</w:t>
            </w:r>
          </w:p>
        </w:tc>
        <w:tc>
          <w:p>
            <w:r>
              <w:t>211 €</w:t>
            </w:r>
          </w:p>
        </w:tc>
        <w:tc>
          <w:p>
            <w:r>
              <w:t>211 €</w:t>
            </w:r>
          </w:p>
        </w:tc>
        <w:tc>
          <w:p>
            <w:r>
              <w:t>211 €</w:t>
            </w:r>
          </w:p>
        </w:tc>
      </w:tr>
      <w:tr w14:paraId="61995B0A">
        <w:tblPrEx>
          <w:tblCellMar>
            <w:top w:w="0" w:type="dxa"/>
            <w:left w:w="108" w:type="dxa"/>
            <w:bottom w:w="0" w:type="dxa"/>
            <w:right w:w="108" w:type="dxa"/>
          </w:tblCellMar>
        </w:tblPrEx>
        <w:tc>
          <w:p w14:paraId="2B564EE0">
            <w:pPr>
              <w:pStyle w:val="24"/>
              <w:spacing w:after="0"/>
              <w:jc w:val="left"/>
            </w:pPr>
            <w:r>
              <w:rPr>
                <w:rFonts w:ascii="Aptos" w:hAnsi="Aptos"/>
                <w:color w:val="1F2937"/>
                <w:sz w:val="18"/>
              </w:rPr>
              <w:t>OPEX recurrente año 1 (SaaS/cloud/IA/ciber/gestoría/seguros/movilidad)</w:t>
            </w:r>
          </w:p>
        </w:tc>
        <w:tc>
          <w:p>
            <w:r>
              <w:t>5.000 €</w:t>
            </w:r>
          </w:p>
        </w:tc>
        <w:tc>
          <w:p>
            <w:r>
              <w:t>5.943 €</w:t>
            </w:r>
          </w:p>
        </w:tc>
        <w:tc>
          <w:p>
            <w:r>
              <w:t>7.000 €</w:t>
            </w:r>
          </w:p>
        </w:tc>
      </w:tr>
      <w:tr w14:paraId="5F237575">
        <w:tblPrEx>
          <w:tblCellMar>
            <w:top w:w="0" w:type="dxa"/>
            <w:left w:w="108" w:type="dxa"/>
            <w:bottom w:w="0" w:type="dxa"/>
            <w:right w:w="108" w:type="dxa"/>
          </w:tblCellMar>
        </w:tblPrEx>
        <w:tc>
          <w:p w14:paraId="1E31D556">
            <w:pPr>
              <w:pStyle w:val="24"/>
              <w:spacing w:after="0"/>
              <w:jc w:val="left"/>
            </w:pPr>
            <w:r>
              <w:rPr>
                <w:rFonts w:ascii="Aptos" w:hAnsi="Aptos"/>
                <w:color w:val="1F2937"/>
                <w:sz w:val="18"/>
              </w:rPr>
              <w:t>Gastos financieros (interés préstamo, carencia de capital)</w:t>
            </w:r>
          </w:p>
        </w:tc>
        <w:tc>
          <w:p>
            <w:r>
              <w:t>5.500 €</w:t>
            </w:r>
          </w:p>
        </w:tc>
        <w:tc>
          <w:p>
            <w:r>
              <w:t>12.600 €</w:t>
            </w:r>
          </w:p>
        </w:tc>
        <w:tc>
          <w:p>
            <w:r>
              <w:t>7.500 €</w:t>
            </w:r>
          </w:p>
        </w:tc>
      </w:tr>
      <w:tr w14:paraId="3AF72964">
        <w:tblPrEx>
          <w:tblCellMar>
            <w:top w:w="0" w:type="dxa"/>
            <w:left w:w="108" w:type="dxa"/>
            <w:bottom w:w="0" w:type="dxa"/>
            <w:right w:w="108" w:type="dxa"/>
          </w:tblCellMar>
        </w:tblPrEx>
        <w:tc>
          <w:p w14:paraId="4AFB3ACB">
            <w:pPr>
              <w:pStyle w:val="24"/>
              <w:spacing w:after="0"/>
              <w:jc w:val="left"/>
            </w:pPr>
            <w:r>
              <w:rPr>
                <w:rFonts w:ascii="Aptos" w:hAnsi="Aptos"/>
                <w:color w:val="1F2937"/>
                <w:sz w:val="18"/>
              </w:rPr>
              <w:t>Tesorería y contingencia</w:t>
            </w:r>
          </w:p>
        </w:tc>
        <w:tc>
          <w:p>
            <w:r>
              <w:t>39.789 €</w:t>
            </w:r>
          </w:p>
        </w:tc>
        <w:tc>
          <w:p>
            <w:r>
              <w:t>59.179,33 €</w:t>
            </w:r>
          </w:p>
        </w:tc>
        <w:tc>
          <w:p>
            <w:r>
              <w:t>26.289 €</w:t>
            </w:r>
          </w:p>
        </w:tc>
      </w:tr>
      <w:tr w14:paraId="5FD9F4B9">
        <w:tblPrEx>
          <w:tblCellMar>
            <w:top w:w="0" w:type="dxa"/>
            <w:left w:w="108" w:type="dxa"/>
            <w:bottom w:w="0" w:type="dxa"/>
            <w:right w:w="108" w:type="dxa"/>
          </w:tblCellMar>
        </w:tblPrEx>
        <w:tc>
          <w:p w14:paraId="698BD021">
            <w:pPr>
              <w:pStyle w:val="24"/>
              <w:spacing w:after="0"/>
              <w:jc w:val="left"/>
            </w:pPr>
            <w:r>
              <w:rPr>
                <w:rFonts w:ascii="Aptos" w:hAnsi="Aptos"/>
                <w:b/>
                <w:color w:val="1F2937"/>
                <w:sz w:val="18"/>
              </w:rPr>
              <w:t>TOTAL Fase 1</w:t>
            </w:r>
          </w:p>
        </w:tc>
        <w:tc>
          <w:p>
            <w:r>
              <w:t>165.000 €</w:t>
            </w:r>
          </w:p>
        </w:tc>
        <w:tc>
          <w:p>
            <w:r>
              <w:t>180.000 €</w:t>
            </w:r>
          </w:p>
        </w:tc>
        <w:tc>
          <w:p>
            <w:r>
              <w:t>195.000 €</w:t>
            </w:r>
          </w:p>
        </w:tc>
      </w:tr>
    </w:tbl>
    <w:p w14:paraId="2A45EF9F">
      <w:pPr>
        <w:pStyle w:val="3"/>
      </w:pPr>
      <w:r>
        <w:rPr>
          <w:rFonts w:ascii="Aptos" w:hAnsi="Aptos"/>
          <w:b/>
          <w:color w:val="1F2937"/>
          <w:sz w:val="21"/>
        </w:rPr>
        <w:t>Estructura humana pura = 52.566,67 €</w:t>
      </w:r>
      <w:r>
        <w:rPr>
          <w:rFonts w:ascii="Aptos" w:hAnsi="Aptos"/>
          <w:color w:val="1F2937"/>
          <w:sz w:val="21"/>
        </w:rPr>
        <w:t xml:space="preserve"> (dos empleados + retribución del promotor). Salarios = hipótesis de planificación, a sustituir por contratos/nóminas. El endurecimiento del SaaS es </w:t>
      </w:r>
      <w:r>
        <w:rPr>
          <w:rFonts w:ascii="Aptos" w:hAnsi="Aptos"/>
          <w:b/>
          <w:color w:val="1F2937"/>
          <w:sz w:val="21"/>
        </w:rPr>
        <w:t>trabajo del técnico</w:t>
      </w:r>
      <w:r>
        <w:rPr>
          <w:rFonts w:ascii="Aptos" w:hAnsi="Aptos"/>
          <w:color w:val="1F2937"/>
          <w:sz w:val="21"/>
        </w:rPr>
        <w:t xml:space="preserve"> (no CAPEX aparte): se evita la doble contabilización desarrollo-como-CAPEX y desarrollo-como-salario.</w:t>
      </w:r>
    </w:p>
    <w:p w14:paraId="305D6973">
      <w:pPr>
        <w:pStyle w:val="3"/>
      </w:pPr>
      <w:r>
        <w:rPr>
          <w:rFonts w:ascii="Aptos" w:hAnsi="Aptos"/>
          <w:b/>
          <w:color w:val="1F2937"/>
          <w:sz w:val="21"/>
        </w:rPr>
        <w:t>Justificación del cambio.</w:t>
      </w:r>
      <w:r>
        <w:rPr>
          <w:rFonts w:ascii="Aptos" w:hAnsi="Aptos"/>
          <w:color w:val="1F2937"/>
          <w:sz w:val="21"/>
        </w:rPr>
        <w:t xml:space="preserve"> La actualización responde a una </w:t>
      </w:r>
      <w:r>
        <w:rPr>
          <w:rFonts w:ascii="Aptos" w:hAnsi="Aptos"/>
          <w:b/>
          <w:color w:val="1F2937"/>
          <w:sz w:val="21"/>
        </w:rPr>
        <w:t>maduración del enfoque financiero</w:t>
      </w:r>
      <w:r>
        <w:rPr>
          <w:rFonts w:ascii="Aptos" w:hAnsi="Aptos"/>
          <w:color w:val="1F2937"/>
          <w:sz w:val="21"/>
        </w:rPr>
        <w:t xml:space="preserve">: del desarrollo inicial del activo tecnológico se pasa a una </w:t>
      </w:r>
      <w:r>
        <w:rPr>
          <w:rFonts w:ascii="Aptos" w:hAnsi="Aptos"/>
          <w:b/>
          <w:color w:val="1F2937"/>
          <w:sz w:val="21"/>
        </w:rPr>
        <w:t>fase completa de consolidación empresarial</w:t>
      </w:r>
      <w:r>
        <w:rPr>
          <w:rFonts w:ascii="Aptos" w:hAnsi="Aptos"/>
          <w:color w:val="1F2937"/>
          <w:sz w:val="21"/>
        </w:rPr>
        <w:t xml:space="preserve"> (producto, seguridad, trazabilidad, cumplimiento, auditoría, personal mínimo, comercialización y continuidad). El incremento de la envolvente respecto de estimaciones anteriores </w:t>
      </w:r>
      <w:r>
        <w:rPr>
          <w:rFonts w:ascii="Aptos" w:hAnsi="Aptos"/>
          <w:b/>
          <w:color w:val="1F2937"/>
          <w:sz w:val="21"/>
        </w:rPr>
        <w:t>no responde a una ampliación especulativa del alcance</w:t>
      </w:r>
      <w:r>
        <w:rPr>
          <w:rFonts w:ascii="Aptos" w:hAnsi="Aptos"/>
          <w:color w:val="1F2937"/>
          <w:sz w:val="21"/>
        </w:rPr>
        <w:t xml:space="preserve">, sino a la incorporación explícita de costes necesarios para pasar de un activo tecnológico desarrollado a una </w:t>
      </w:r>
      <w:r>
        <w:rPr>
          <w:rFonts w:ascii="Aptos" w:hAnsi="Aptos"/>
          <w:b/>
          <w:color w:val="1F2937"/>
          <w:sz w:val="21"/>
        </w:rPr>
        <w:t>empresa operativa</w:t>
      </w:r>
      <w:r>
        <w:rPr>
          <w:rFonts w:ascii="Aptos" w:hAnsi="Aptos"/>
          <w:color w:val="1F2937"/>
          <w:sz w:val="21"/>
        </w:rPr>
        <w:t>: seguridad, trazabilidad, cumplimiento, verificación independiente, personal, comercialización y contingencia.</w:t>
      </w:r>
    </w:p>
    <w:p w14:paraId="410EFD27">
      <w:pPr>
        <w:pStyle w:val="5"/>
      </w:pPr>
      <w:bookmarkStart w:id="27" w:name="X1385790d9e07f392feb51974a4d723cb0e9fad9"/>
      <w:r>
        <w:rPr>
          <w:rFonts w:ascii="Aptos Display" w:hAnsi="Aptos Display"/>
          <w:b/>
          <w:color w:val="174A2E"/>
          <w:sz w:val="21"/>
        </w:rPr>
        <w:t>4.3.2. Financiación — disponible / solicitada / en tramitación</w:t>
      </w:r>
      <w:bookmarkEnd w:id="27"/>
    </w:p>
    <w:p w14:paraId="77A3A993">
      <w:pPr>
        <w:pStyle w:val="23"/>
      </w:pPr>
      <w:r>
        <w:rPr>
          <w:rFonts w:ascii="Aptos" w:hAnsi="Aptos"/>
          <w:b/>
          <w:color w:val="1F2937"/>
          <w:sz w:val="21"/>
        </w:rPr>
        <w:t>Ninguna ayuda no cobrada se computa como caja.</w:t>
      </w:r>
    </w:p>
    <w:tbl>
      <w:tblPr>
        <w:tblStyle w:val="28"/>
        <w:tblW w:w="5000" w:type="pct"/>
        <w:jc w:val="center"/>
        <w:tblInd w:w="0" w:type="dxa"/>
        <w:tblLayout w:type="fixed"/>
        <w:tblCellMar>
          <w:top w:w="0" w:type="dxa"/>
          <w:left w:w="108" w:type="dxa"/>
          <w:bottom w:w="0" w:type="dxa"/>
          <w:right w:w="108" w:type="dxa"/>
        </w:tblCellMar>
      </w:tblPr>
      <w:tblGrid>
        <w:gridCol w:w="2214"/>
        <w:gridCol w:w="2214"/>
        <w:gridCol w:w="2214"/>
        <w:gridCol w:w="2214"/>
      </w:tblGrid>
      <w:tr w14:paraId="0C57013D">
        <w:tblPrEx>
          <w:tblCellMar>
            <w:top w:w="0" w:type="dxa"/>
            <w:left w:w="108" w:type="dxa"/>
            <w:bottom w:w="0" w:type="dxa"/>
            <w:right w:w="108" w:type="dxa"/>
          </w:tblCellMar>
        </w:tblPrEx>
        <w:tc>
          <w:tcPr>
            <w:tcW w:w="2340" w:type="dxa"/>
            <w:tcBorders>
              <w:bottom w:val="single" w:color="auto" w:sz="0" w:space="0"/>
            </w:tcBorders>
            <w:vAlign w:val="bottom"/>
          </w:tcPr>
          <w:p w14:paraId="48A3395B">
            <w:pPr>
              <w:pStyle w:val="24"/>
              <w:spacing w:after="0"/>
              <w:jc w:val="left"/>
            </w:pPr>
            <w:r>
              <w:rPr>
                <w:rFonts w:ascii="Aptos" w:hAnsi="Aptos"/>
                <w:color w:val="1F2937"/>
                <w:sz w:val="18"/>
              </w:rPr>
              <w:t>Fuente</w:t>
            </w:r>
          </w:p>
        </w:tc>
        <w:tc>
          <w:tcPr>
            <w:tcW w:w="2340" w:type="dxa"/>
            <w:tcBorders>
              <w:bottom w:val="single" w:color="auto" w:sz="0" w:space="0"/>
            </w:tcBorders>
            <w:vAlign w:val="bottom"/>
          </w:tcPr>
          <w:p w14:paraId="6049390D">
            <w:pPr>
              <w:pStyle w:val="24"/>
              <w:spacing w:after="0"/>
              <w:jc w:val="left"/>
            </w:pPr>
            <w:r>
              <w:rPr>
                <w:rFonts w:ascii="Aptos" w:hAnsi="Aptos"/>
                <w:color w:val="1F2937"/>
                <w:sz w:val="18"/>
              </w:rPr>
              <w:t>Naturaleza</w:t>
            </w:r>
          </w:p>
        </w:tc>
        <w:tc>
          <w:tcPr>
            <w:tcW w:w="2340" w:type="dxa"/>
            <w:tcBorders>
              <w:bottom w:val="single" w:color="auto" w:sz="0" w:space="0"/>
            </w:tcBorders>
            <w:vAlign w:val="bottom"/>
          </w:tcPr>
          <w:p w14:paraId="5678ACAC">
            <w:pPr>
              <w:pStyle w:val="24"/>
              <w:spacing w:after="0"/>
              <w:jc w:val="left"/>
            </w:pPr>
            <w:r>
              <w:rPr>
                <w:rFonts w:ascii="Aptos" w:hAnsi="Aptos"/>
                <w:color w:val="1F2937"/>
                <w:sz w:val="18"/>
              </w:rPr>
              <w:t>Estado</w:t>
            </w:r>
          </w:p>
        </w:tc>
        <w:tc>
          <w:tcPr>
            <w:tcW w:w="2340" w:type="dxa"/>
            <w:tcBorders>
              <w:bottom w:val="single" w:color="auto" w:sz="0" w:space="0"/>
            </w:tcBorders>
            <w:vAlign w:val="bottom"/>
          </w:tcPr>
          <w:p w14:paraId="0230E823">
            <w:pPr>
              <w:pStyle w:val="24"/>
              <w:spacing w:after="0"/>
              <w:jc w:val="right"/>
            </w:pPr>
            <w:r>
              <w:rPr>
                <w:rFonts w:ascii="Aptos" w:hAnsi="Aptos"/>
                <w:color w:val="1F2937"/>
                <w:sz w:val="18"/>
              </w:rPr>
              <w:t>Importe</w:t>
            </w:r>
          </w:p>
        </w:tc>
      </w:tr>
      <w:tr w14:paraId="78380732">
        <w:tblPrEx>
          <w:tblCellMar>
            <w:top w:w="0" w:type="dxa"/>
            <w:left w:w="108" w:type="dxa"/>
            <w:bottom w:w="0" w:type="dxa"/>
            <w:right w:w="108" w:type="dxa"/>
          </w:tblCellMar>
        </w:tblPrEx>
        <w:tc>
          <w:p w14:paraId="608287D7">
            <w:pPr>
              <w:pStyle w:val="24"/>
              <w:spacing w:after="0"/>
              <w:jc w:val="left"/>
            </w:pPr>
            <w:r>
              <w:rPr>
                <w:rFonts w:ascii="Aptos" w:hAnsi="Aptos"/>
                <w:color w:val="1F2937"/>
                <w:sz w:val="18"/>
              </w:rPr>
              <w:t>Aportación dineraria del promotor</w:t>
            </w:r>
          </w:p>
        </w:tc>
        <w:tc>
          <w:p w14:paraId="1CC59B30">
            <w:pPr>
              <w:pStyle w:val="24"/>
              <w:spacing w:after="0"/>
              <w:jc w:val="left"/>
            </w:pPr>
            <w:r>
              <w:rPr>
                <w:rFonts w:ascii="Aptos" w:hAnsi="Aptos"/>
                <w:color w:val="1F2937"/>
                <w:sz w:val="18"/>
              </w:rPr>
              <w:t>Recursos propios (caja real)</w:t>
            </w:r>
          </w:p>
        </w:tc>
        <w:tc>
          <w:p w14:paraId="040D5BCF">
            <w:pPr>
              <w:pStyle w:val="24"/>
              <w:spacing w:after="0"/>
              <w:jc w:val="left"/>
            </w:pPr>
            <w:r>
              <w:rPr>
                <w:rFonts w:ascii="Aptos" w:hAnsi="Aptos"/>
                <w:color w:val="1F2937"/>
                <w:sz w:val="18"/>
              </w:rPr>
              <w:t>Disponible</w:t>
            </w:r>
          </w:p>
        </w:tc>
        <w:tc>
          <w:p w14:paraId="774FEF1F">
            <w:pPr>
              <w:pStyle w:val="24"/>
              <w:spacing w:after="0"/>
              <w:jc w:val="right"/>
            </w:pPr>
            <w:r>
              <w:rPr>
                <w:rFonts w:ascii="Aptos" w:hAnsi="Aptos"/>
                <w:color w:val="1F2937"/>
                <w:sz w:val="18"/>
              </w:rPr>
              <w:t>A consignar</w:t>
            </w:r>
          </w:p>
        </w:tc>
      </w:tr>
      <w:tr w14:paraId="329E8337">
        <w:tblPrEx>
          <w:tblCellMar>
            <w:top w:w="0" w:type="dxa"/>
            <w:left w:w="108" w:type="dxa"/>
            <w:bottom w:w="0" w:type="dxa"/>
            <w:right w:w="108" w:type="dxa"/>
          </w:tblCellMar>
        </w:tblPrEx>
        <w:tc>
          <w:p w14:paraId="269DB318">
            <w:pPr>
              <w:pStyle w:val="24"/>
              <w:spacing w:after="0"/>
              <w:jc w:val="left"/>
            </w:pPr>
            <w:r>
              <w:rPr>
                <w:rFonts w:ascii="Aptos" w:hAnsi="Aptos"/>
                <w:color w:val="1F2937"/>
                <w:sz w:val="18"/>
              </w:rPr>
              <w:t>Préstamo / microcrédito de emprendimiento</w:t>
            </w:r>
          </w:p>
        </w:tc>
        <w:tc>
          <w:p w14:paraId="46480A78">
            <w:pPr>
              <w:pStyle w:val="24"/>
              <w:spacing w:after="0"/>
              <w:jc w:val="left"/>
            </w:pPr>
            <w:r>
              <w:rPr>
                <w:rFonts w:ascii="Aptos" w:hAnsi="Aptos"/>
                <w:color w:val="1F2937"/>
                <w:sz w:val="18"/>
              </w:rPr>
              <w:t>Deuda</w:t>
            </w:r>
          </w:p>
        </w:tc>
        <w:tc>
          <w:p w14:paraId="342C9432">
            <w:pPr>
              <w:pStyle w:val="24"/>
              <w:spacing w:after="0"/>
              <w:jc w:val="left"/>
            </w:pPr>
            <w:r>
              <w:rPr>
                <w:rFonts w:ascii="Aptos" w:hAnsi="Aptos"/>
                <w:color w:val="1F2937"/>
                <w:sz w:val="18"/>
              </w:rPr>
              <w:t>Solicitado</w:t>
            </w:r>
          </w:p>
        </w:tc>
        <w:tc>
          <w:p w14:paraId="1ABED039">
            <w:pPr>
              <w:pStyle w:val="24"/>
              <w:spacing w:after="0"/>
              <w:jc w:val="right"/>
            </w:pPr>
            <w:r>
              <w:rPr>
                <w:rFonts w:ascii="Aptos" w:hAnsi="Aptos"/>
                <w:color w:val="1F2937"/>
                <w:sz w:val="18"/>
              </w:rPr>
              <w:t>A consignar</w:t>
            </w:r>
          </w:p>
        </w:tc>
      </w:tr>
      <w:tr w14:paraId="33C8322B">
        <w:tblPrEx>
          <w:tblCellMar>
            <w:top w:w="0" w:type="dxa"/>
            <w:left w:w="108" w:type="dxa"/>
            <w:bottom w:w="0" w:type="dxa"/>
            <w:right w:w="108" w:type="dxa"/>
          </w:tblCellMar>
        </w:tblPrEx>
        <w:tc>
          <w:p w14:paraId="748912E8">
            <w:pPr>
              <w:pStyle w:val="24"/>
              <w:spacing w:after="0"/>
              <w:jc w:val="left"/>
            </w:pPr>
            <w:r>
              <w:rPr>
                <w:rFonts w:ascii="Aptos" w:hAnsi="Aptos"/>
                <w:color w:val="1F2937"/>
                <w:sz w:val="18"/>
              </w:rPr>
              <w:t>Ayuda al retorno</w:t>
            </w:r>
          </w:p>
        </w:tc>
        <w:tc>
          <w:p w14:paraId="519B663C">
            <w:pPr>
              <w:pStyle w:val="24"/>
              <w:spacing w:after="0"/>
              <w:jc w:val="left"/>
            </w:pPr>
            <w:r>
              <w:rPr>
                <w:rFonts w:ascii="Aptos" w:hAnsi="Aptos"/>
                <w:color w:val="1F2937"/>
                <w:sz w:val="18"/>
              </w:rPr>
              <w:t>Subvención</w:t>
            </w:r>
          </w:p>
        </w:tc>
        <w:tc>
          <w:p w14:paraId="326C73FF">
            <w:pPr>
              <w:pStyle w:val="24"/>
              <w:spacing w:after="0"/>
              <w:jc w:val="left"/>
            </w:pPr>
            <w:r>
              <w:rPr>
                <w:rFonts w:ascii="Aptos" w:hAnsi="Aptos"/>
                <w:color w:val="1F2937"/>
                <w:sz w:val="18"/>
              </w:rPr>
              <w:t>Solicitada (no cobrada)</w:t>
            </w:r>
          </w:p>
        </w:tc>
        <w:tc>
          <w:p w14:paraId="20A58441">
            <w:pPr>
              <w:pStyle w:val="24"/>
              <w:spacing w:after="0"/>
              <w:jc w:val="right"/>
            </w:pPr>
            <w:r>
              <w:rPr>
                <w:rFonts w:ascii="Aptos" w:hAnsi="Aptos"/>
                <w:color w:val="1F2937"/>
                <w:sz w:val="18"/>
              </w:rPr>
              <w:t>A consignar</w:t>
            </w:r>
          </w:p>
        </w:tc>
      </w:tr>
      <w:tr w14:paraId="4F506845">
        <w:tblPrEx>
          <w:tblCellMar>
            <w:top w:w="0" w:type="dxa"/>
            <w:left w:w="108" w:type="dxa"/>
            <w:bottom w:w="0" w:type="dxa"/>
            <w:right w:w="108" w:type="dxa"/>
          </w:tblCellMar>
        </w:tblPrEx>
        <w:tc>
          <w:p w14:paraId="3D748DD1">
            <w:pPr>
              <w:pStyle w:val="24"/>
              <w:spacing w:after="0"/>
              <w:jc w:val="left"/>
            </w:pPr>
            <w:r>
              <w:rPr>
                <w:rFonts w:ascii="Aptos" w:hAnsi="Aptos"/>
                <w:color w:val="1F2937"/>
                <w:sz w:val="18"/>
              </w:rPr>
              <w:t>Fundación ONCE / Con Valores</w:t>
            </w:r>
          </w:p>
        </w:tc>
        <w:tc>
          <w:p w14:paraId="70AFE15C">
            <w:pPr>
              <w:pStyle w:val="24"/>
              <w:spacing w:after="0"/>
              <w:jc w:val="left"/>
            </w:pPr>
            <w:r>
              <w:rPr>
                <w:rFonts w:ascii="Aptos" w:hAnsi="Aptos"/>
                <w:color w:val="1F2937"/>
                <w:sz w:val="18"/>
              </w:rPr>
              <w:t>Subvención / apoyo</w:t>
            </w:r>
          </w:p>
        </w:tc>
        <w:tc>
          <w:p w14:paraId="53D6A9EE">
            <w:pPr>
              <w:pStyle w:val="24"/>
              <w:spacing w:after="0"/>
              <w:jc w:val="left"/>
            </w:pPr>
            <w:r>
              <w:rPr>
                <w:rFonts w:ascii="Aptos" w:hAnsi="Aptos"/>
                <w:color w:val="1F2937"/>
                <w:sz w:val="18"/>
              </w:rPr>
              <w:t>En tramitación (no cobrada)</w:t>
            </w:r>
          </w:p>
        </w:tc>
        <w:tc>
          <w:p w14:paraId="54E87C08">
            <w:pPr>
              <w:pStyle w:val="24"/>
              <w:spacing w:after="0"/>
              <w:jc w:val="right"/>
            </w:pPr>
            <w:r>
              <w:rPr>
                <w:rFonts w:ascii="Aptos" w:hAnsi="Aptos"/>
                <w:color w:val="1F2937"/>
                <w:sz w:val="18"/>
              </w:rPr>
              <w:t>A consignar</w:t>
            </w:r>
          </w:p>
        </w:tc>
      </w:tr>
      <w:tr w14:paraId="3EEFBC51">
        <w:tblPrEx>
          <w:tblCellMar>
            <w:top w:w="0" w:type="dxa"/>
            <w:left w:w="108" w:type="dxa"/>
            <w:bottom w:w="0" w:type="dxa"/>
            <w:right w:w="108" w:type="dxa"/>
          </w:tblCellMar>
        </w:tblPrEx>
        <w:tc>
          <w:p w14:paraId="5CA4EFB2">
            <w:pPr>
              <w:pStyle w:val="24"/>
              <w:spacing w:after="0"/>
              <w:jc w:val="left"/>
            </w:pPr>
            <w:r>
              <w:rPr>
                <w:rFonts w:ascii="Aptos" w:hAnsi="Aptos"/>
                <w:color w:val="1F2937"/>
                <w:sz w:val="18"/>
              </w:rPr>
              <w:t>Subvenciones emprendimiento rural / digitalización</w:t>
            </w:r>
          </w:p>
        </w:tc>
        <w:tc>
          <w:p w14:paraId="1028DB9D">
            <w:pPr>
              <w:pStyle w:val="24"/>
              <w:spacing w:after="0"/>
              <w:jc w:val="left"/>
            </w:pPr>
            <w:r>
              <w:rPr>
                <w:rFonts w:ascii="Aptos" w:hAnsi="Aptos"/>
                <w:color w:val="1F2937"/>
                <w:sz w:val="18"/>
              </w:rPr>
              <w:t>Subvención</w:t>
            </w:r>
          </w:p>
        </w:tc>
        <w:tc>
          <w:p w14:paraId="2D673618">
            <w:pPr>
              <w:pStyle w:val="24"/>
              <w:spacing w:after="0"/>
              <w:jc w:val="left"/>
            </w:pPr>
            <w:r>
              <w:rPr>
                <w:rFonts w:ascii="Aptos" w:hAnsi="Aptos"/>
                <w:color w:val="1F2937"/>
                <w:sz w:val="18"/>
              </w:rPr>
              <w:t>A solicitar</w:t>
            </w:r>
          </w:p>
        </w:tc>
        <w:tc>
          <w:p w14:paraId="49E8843B">
            <w:pPr>
              <w:pStyle w:val="24"/>
              <w:spacing w:after="0"/>
              <w:jc w:val="right"/>
            </w:pPr>
            <w:r>
              <w:rPr>
                <w:rFonts w:ascii="Aptos" w:hAnsi="Aptos"/>
                <w:color w:val="1F2937"/>
                <w:sz w:val="18"/>
              </w:rPr>
              <w:t>A consignar</w:t>
            </w:r>
          </w:p>
        </w:tc>
      </w:tr>
      <w:tr w14:paraId="76BECDD6">
        <w:tblPrEx>
          <w:tblCellMar>
            <w:top w:w="0" w:type="dxa"/>
            <w:left w:w="108" w:type="dxa"/>
            <w:bottom w:w="0" w:type="dxa"/>
            <w:right w:w="108" w:type="dxa"/>
          </w:tblCellMar>
        </w:tblPrEx>
        <w:tc>
          <w:p w14:paraId="36270B53">
            <w:pPr>
              <w:pStyle w:val="24"/>
              <w:spacing w:after="0"/>
              <w:jc w:val="left"/>
            </w:pPr>
            <w:r>
              <w:rPr>
                <w:rFonts w:ascii="Aptos" w:hAnsi="Aptos"/>
                <w:color w:val="1F2937"/>
                <w:sz w:val="18"/>
              </w:rPr>
              <w:t>Premio PIE PLUS (15.000 / 10.000 / 5.000 €)</w:t>
            </w:r>
          </w:p>
        </w:tc>
        <w:tc>
          <w:p w14:paraId="7F449FD8">
            <w:pPr>
              <w:pStyle w:val="24"/>
              <w:spacing w:after="0"/>
              <w:jc w:val="left"/>
            </w:pPr>
            <w:r>
              <w:rPr>
                <w:rFonts w:ascii="Aptos" w:hAnsi="Aptos"/>
                <w:color w:val="1F2937"/>
                <w:sz w:val="18"/>
              </w:rPr>
              <w:t>Reconocimiento</w:t>
            </w:r>
          </w:p>
        </w:tc>
        <w:tc>
          <w:p w14:paraId="4C5E2AC6">
            <w:pPr>
              <w:pStyle w:val="24"/>
              <w:spacing w:after="0"/>
              <w:jc w:val="left"/>
            </w:pPr>
            <w:r>
              <w:rPr>
                <w:rFonts w:ascii="Aptos" w:hAnsi="Aptos"/>
                <w:color w:val="1F2937"/>
                <w:sz w:val="18"/>
              </w:rPr>
              <w:t>Candidatura</w:t>
            </w:r>
          </w:p>
        </w:tc>
        <w:tc>
          <w:p w14:paraId="7A39E486">
            <w:pPr>
              <w:pStyle w:val="24"/>
              <w:spacing w:after="0"/>
              <w:jc w:val="right"/>
            </w:pPr>
            <w:r>
              <w:rPr>
                <w:rFonts w:ascii="Aptos" w:hAnsi="Aptos"/>
                <w:color w:val="1F2937"/>
                <w:sz w:val="18"/>
              </w:rPr>
              <w:t>Catalizador, no fuente</w:t>
            </w:r>
          </w:p>
        </w:tc>
      </w:tr>
    </w:tbl>
    <w:p w14:paraId="0BB9E5BE">
      <w:pPr>
        <w:pStyle w:val="5"/>
      </w:pPr>
      <w:bookmarkStart w:id="28" w:name="pasivos-existentes-riesgo-de-liquidez"/>
      <w:r>
        <w:rPr>
          <w:rFonts w:ascii="Aptos Display" w:hAnsi="Aptos Display"/>
          <w:b/>
          <w:color w:val="174A2E"/>
          <w:sz w:val="21"/>
        </w:rPr>
        <w:t>4.3.3. Pasivos existentes — riesgo de liquidez</w:t>
      </w:r>
      <w:bookmarkEnd w:id="28"/>
    </w:p>
    <w:tbl>
      <w:tblPr>
        <w:tblStyle w:val="28"/>
        <w:tblW w:w="5000" w:type="pct"/>
        <w:jc w:val="center"/>
        <w:tblInd w:w="0" w:type="dxa"/>
        <w:tblLayout w:type="fixed"/>
        <w:tblCellMar>
          <w:top w:w="0" w:type="dxa"/>
          <w:left w:w="108" w:type="dxa"/>
          <w:bottom w:w="0" w:type="dxa"/>
          <w:right w:w="108" w:type="dxa"/>
        </w:tblCellMar>
      </w:tblPr>
      <w:tblGrid>
        <w:gridCol w:w="2214"/>
        <w:gridCol w:w="2214"/>
        <w:gridCol w:w="2214"/>
        <w:gridCol w:w="2214"/>
      </w:tblGrid>
      <w:tr w14:paraId="5621D3E2">
        <w:tblPrEx>
          <w:tblCellMar>
            <w:top w:w="0" w:type="dxa"/>
            <w:left w:w="108" w:type="dxa"/>
            <w:bottom w:w="0" w:type="dxa"/>
            <w:right w:w="108" w:type="dxa"/>
          </w:tblCellMar>
        </w:tblPrEx>
        <w:tc>
          <w:tcPr>
            <w:tcW w:w="2340" w:type="dxa"/>
            <w:tcBorders>
              <w:bottom w:val="single" w:color="auto" w:sz="0" w:space="0"/>
            </w:tcBorders>
            <w:vAlign w:val="bottom"/>
          </w:tcPr>
          <w:p w14:paraId="1099D67A">
            <w:pPr>
              <w:pStyle w:val="24"/>
              <w:spacing w:after="0"/>
              <w:jc w:val="left"/>
            </w:pPr>
            <w:r>
              <w:rPr>
                <w:rFonts w:ascii="Aptos" w:hAnsi="Aptos"/>
                <w:color w:val="1F2937"/>
                <w:sz w:val="18"/>
              </w:rPr>
              <w:t>Pasivo</w:t>
            </w:r>
          </w:p>
        </w:tc>
        <w:tc>
          <w:tcPr>
            <w:tcW w:w="2340" w:type="dxa"/>
            <w:tcBorders>
              <w:bottom w:val="single" w:color="auto" w:sz="0" w:space="0"/>
            </w:tcBorders>
            <w:vAlign w:val="bottom"/>
          </w:tcPr>
          <w:p w14:paraId="71CCC076">
            <w:pPr>
              <w:pStyle w:val="24"/>
              <w:spacing w:after="0"/>
              <w:jc w:val="left"/>
            </w:pPr>
            <w:r>
              <w:rPr>
                <w:rFonts w:ascii="Aptos" w:hAnsi="Aptos"/>
                <w:color w:val="1F2937"/>
                <w:sz w:val="18"/>
              </w:rPr>
              <w:t>Estado</w:t>
            </w:r>
          </w:p>
        </w:tc>
        <w:tc>
          <w:tcPr>
            <w:tcW w:w="2340" w:type="dxa"/>
            <w:tcBorders>
              <w:bottom w:val="single" w:color="auto" w:sz="0" w:space="0"/>
            </w:tcBorders>
            <w:vAlign w:val="bottom"/>
          </w:tcPr>
          <w:p w14:paraId="011FEDE0">
            <w:pPr>
              <w:pStyle w:val="24"/>
              <w:spacing w:after="0"/>
              <w:jc w:val="right"/>
            </w:pPr>
            <w:r>
              <w:rPr>
                <w:rFonts w:ascii="Aptos" w:hAnsi="Aptos"/>
                <w:color w:val="1F2937"/>
                <w:sz w:val="18"/>
              </w:rPr>
              <w:t>Importe</w:t>
            </w:r>
          </w:p>
        </w:tc>
        <w:tc>
          <w:tcPr>
            <w:tcW w:w="2340" w:type="dxa"/>
            <w:tcBorders>
              <w:bottom w:val="single" w:color="auto" w:sz="0" w:space="0"/>
            </w:tcBorders>
            <w:vAlign w:val="bottom"/>
          </w:tcPr>
          <w:p w14:paraId="31BB6D70">
            <w:pPr>
              <w:pStyle w:val="24"/>
              <w:spacing w:after="0"/>
              <w:jc w:val="left"/>
            </w:pPr>
            <w:r>
              <w:rPr>
                <w:rFonts w:ascii="Aptos" w:hAnsi="Aptos"/>
                <w:color w:val="1F2937"/>
                <w:sz w:val="18"/>
              </w:rPr>
              <w:t>Gestión</w:t>
            </w:r>
          </w:p>
        </w:tc>
      </w:tr>
      <w:tr w14:paraId="6CB886F3">
        <w:tblPrEx>
          <w:tblCellMar>
            <w:top w:w="0" w:type="dxa"/>
            <w:left w:w="108" w:type="dxa"/>
            <w:bottom w:w="0" w:type="dxa"/>
            <w:right w:w="108" w:type="dxa"/>
          </w:tblCellMar>
        </w:tblPrEx>
        <w:tc>
          <w:p w14:paraId="0A0C017F">
            <w:pPr>
              <w:pStyle w:val="24"/>
              <w:spacing w:after="0"/>
              <w:jc w:val="left"/>
            </w:pPr>
            <w:r>
              <w:rPr>
                <w:rFonts w:ascii="Aptos" w:hAnsi="Aptos"/>
                <w:color w:val="1F2937"/>
                <w:sz w:val="18"/>
              </w:rPr>
              <w:t>Deuda con la Seguridad Social</w:t>
            </w:r>
          </w:p>
        </w:tc>
        <w:tc>
          <w:p w14:paraId="402F0E13">
            <w:pPr>
              <w:pStyle w:val="24"/>
              <w:spacing w:after="0"/>
              <w:jc w:val="left"/>
            </w:pPr>
            <w:r>
              <w:rPr>
                <w:rFonts w:ascii="Aptos" w:hAnsi="Aptos"/>
                <w:color w:val="1F2937"/>
                <w:sz w:val="18"/>
              </w:rPr>
              <w:t>Existente</w:t>
            </w:r>
          </w:p>
        </w:tc>
        <w:tc>
          <w:p w14:paraId="3A5066B2">
            <w:pPr>
              <w:pStyle w:val="24"/>
              <w:spacing w:after="0"/>
              <w:jc w:val="right"/>
            </w:pPr>
            <w:r>
              <w:rPr>
                <w:rFonts w:ascii="Aptos" w:hAnsi="Aptos"/>
                <w:color w:val="1F2937"/>
                <w:sz w:val="18"/>
              </w:rPr>
              <w:t>A consignar</w:t>
            </w:r>
          </w:p>
        </w:tc>
        <w:tc>
          <w:p w14:paraId="4CC99656">
            <w:pPr>
              <w:pStyle w:val="24"/>
              <w:spacing w:after="0"/>
              <w:jc w:val="left"/>
            </w:pPr>
            <w:r>
              <w:rPr>
                <w:rFonts w:ascii="Aptos" w:hAnsi="Aptos"/>
                <w:color w:val="1F2937"/>
                <w:sz w:val="18"/>
              </w:rPr>
              <w:t>Regularización / aplazamiento formal; prioridad de tesorería</w:t>
            </w:r>
          </w:p>
        </w:tc>
      </w:tr>
      <w:tr w14:paraId="4A51F898">
        <w:tblPrEx>
          <w:tblCellMar>
            <w:top w:w="0" w:type="dxa"/>
            <w:left w:w="108" w:type="dxa"/>
            <w:bottom w:w="0" w:type="dxa"/>
            <w:right w:w="108" w:type="dxa"/>
          </w:tblCellMar>
        </w:tblPrEx>
        <w:tc>
          <w:p w14:paraId="4987FDC3">
            <w:pPr>
              <w:pStyle w:val="24"/>
              <w:spacing w:after="0"/>
              <w:jc w:val="left"/>
            </w:pPr>
            <w:r>
              <w:rPr>
                <w:rFonts w:ascii="Aptos" w:hAnsi="Aptos"/>
                <w:color w:val="1F2937"/>
                <w:sz w:val="18"/>
              </w:rPr>
              <w:t>Otros pasivos existentes</w:t>
            </w:r>
          </w:p>
        </w:tc>
        <w:tc>
          <w:p w14:paraId="0CA2C7BB">
            <w:pPr>
              <w:pStyle w:val="24"/>
              <w:spacing w:after="0"/>
              <w:jc w:val="left"/>
            </w:pPr>
            <w:r>
              <w:rPr>
                <w:rFonts w:ascii="Aptos" w:hAnsi="Aptos"/>
                <w:color w:val="1F2937"/>
                <w:sz w:val="18"/>
              </w:rPr>
              <w:t>Existente</w:t>
            </w:r>
          </w:p>
        </w:tc>
        <w:tc>
          <w:p w14:paraId="03318A71">
            <w:pPr>
              <w:pStyle w:val="24"/>
              <w:spacing w:after="0"/>
              <w:jc w:val="right"/>
            </w:pPr>
            <w:r>
              <w:rPr>
                <w:rFonts w:ascii="Aptos" w:hAnsi="Aptos"/>
                <w:color w:val="1F2937"/>
                <w:sz w:val="18"/>
              </w:rPr>
              <w:t>A consignar</w:t>
            </w:r>
          </w:p>
        </w:tc>
        <w:tc>
          <w:p w14:paraId="3F31EB45">
            <w:pPr>
              <w:pStyle w:val="24"/>
              <w:spacing w:after="0"/>
              <w:jc w:val="left"/>
            </w:pPr>
            <w:r>
              <w:rPr>
                <w:rFonts w:ascii="Aptos" w:hAnsi="Aptos"/>
                <w:color w:val="1F2937"/>
                <w:sz w:val="18"/>
              </w:rPr>
              <w:t>Seguimiento en el cuadro de tesorería</w:t>
            </w:r>
          </w:p>
        </w:tc>
      </w:tr>
    </w:tbl>
    <w:p w14:paraId="2C18C8C5">
      <w:pPr>
        <w:pStyle w:val="3"/>
      </w:pPr>
      <w:r>
        <w:rPr>
          <w:rFonts w:ascii="Aptos" w:hAnsi="Aptos"/>
          <w:color w:val="1F2937"/>
          <w:sz w:val="21"/>
        </w:rPr>
        <w:t>La deuda con la Seguridad Social condiciona el orden de prelación de la caja de la Fase 1 y debe regularizarse (o aplazarse) antes de comprometer inversiones de evolución.</w:t>
      </w:r>
    </w:p>
    <w:p w14:paraId="259CD7F5">
      <w:pPr>
        <w:pStyle w:val="5"/>
      </w:pPr>
      <w:bookmarkStart w:id="29" w:name="modelo-de-ingresos-tres-escenarios"/>
      <w:r>
        <w:rPr>
          <w:rFonts w:ascii="Aptos Display" w:hAnsi="Aptos Display"/>
          <w:b/>
          <w:color w:val="174A2E"/>
          <w:sz w:val="21"/>
        </w:rPr>
        <w:t>4.3.4. Modelo de ingresos (tres escenarios)</w:t>
      </w:r>
      <w:bookmarkEnd w:id="29"/>
    </w:p>
    <w:p w14:paraId="78132720">
      <w:pPr>
        <w:pStyle w:val="23"/>
      </w:pPr>
      <w:r>
        <w:rPr>
          <w:rFonts w:ascii="Aptos" w:hAnsi="Aptos"/>
          <w:color w:val="1F2937"/>
          <w:sz w:val="21"/>
        </w:rPr>
        <w:t xml:space="preserve">Ingresos inmediatos de </w:t>
      </w:r>
      <w:r>
        <w:rPr>
          <w:rFonts w:ascii="Aptos" w:hAnsi="Aptos"/>
          <w:b/>
          <w:color w:val="1F2937"/>
          <w:sz w:val="21"/>
        </w:rPr>
        <w:t>SaaS y servicios</w:t>
      </w:r>
      <w:r>
        <w:rPr>
          <w:rFonts w:ascii="Aptos" w:hAnsi="Aptos"/>
          <w:color w:val="1F2937"/>
          <w:sz w:val="21"/>
        </w:rPr>
        <w:t xml:space="preserve"> (hipótesis a validar, no hechos):</w:t>
      </w:r>
    </w:p>
    <w:tbl>
      <w:tblPr>
        <w:tblStyle w:val="28"/>
        <w:tblW w:w="9360" w:type="dxa"/>
        <w:jc w:val="center"/>
        <w:tblInd w:w="0" w:type="dxa"/>
        <w:tblLayout w:type="fixed"/>
        <w:tblCellMar>
          <w:top w:w="0" w:type="dxa"/>
          <w:left w:w="108" w:type="dxa"/>
          <w:bottom w:w="0" w:type="dxa"/>
          <w:right w:w="108" w:type="dxa"/>
        </w:tblCellMar>
      </w:tblPr>
      <w:tblGrid>
        <w:gridCol w:w="2340"/>
        <w:gridCol w:w="2340"/>
        <w:gridCol w:w="2340"/>
        <w:gridCol w:w="2340"/>
      </w:tblGrid>
      <w:tr w14:paraId="55D89961">
        <w:tblPrEx>
          <w:tblCellMar>
            <w:top w:w="0" w:type="dxa"/>
            <w:left w:w="108" w:type="dxa"/>
            <w:bottom w:w="0" w:type="dxa"/>
            <w:right w:w="108" w:type="dxa"/>
          </w:tblCellMar>
        </w:tblPrEx>
        <w:tc>
          <w:tcPr>
            <w:tcW w:w="2340" w:type="dxa"/>
            <w:tcBorders>
              <w:bottom w:val="single" w:color="auto" w:sz="0" w:space="0"/>
            </w:tcBorders>
            <w:vAlign w:val="bottom"/>
          </w:tcPr>
          <w:p w14:paraId="4843AB22">
            <w:pPr>
              <w:pStyle w:val="24"/>
              <w:spacing w:after="0"/>
              <w:jc w:val="left"/>
            </w:pPr>
            <w:r>
              <w:rPr>
                <w:rFonts w:ascii="Aptos" w:hAnsi="Aptos"/>
                <w:color w:val="1F2937"/>
                <w:sz w:val="18"/>
              </w:rPr>
              <w:t>Escenario (Año 1)</w:t>
            </w:r>
          </w:p>
        </w:tc>
        <w:tc>
          <w:tcPr>
            <w:tcW w:w="2340" w:type="dxa"/>
            <w:tcBorders>
              <w:bottom w:val="single" w:color="auto" w:sz="0" w:space="0"/>
            </w:tcBorders>
            <w:vAlign w:val="bottom"/>
          </w:tcPr>
          <w:p w14:paraId="74FC989B">
            <w:pPr>
              <w:pStyle w:val="24"/>
              <w:spacing w:after="0"/>
              <w:jc w:val="right"/>
            </w:pPr>
            <w:r>
              <w:rPr>
                <w:rFonts w:ascii="Aptos" w:hAnsi="Aptos"/>
                <w:color w:val="1F2937"/>
                <w:sz w:val="18"/>
              </w:rPr>
              <w:t>SaaS</w:t>
            </w:r>
          </w:p>
        </w:tc>
        <w:tc>
          <w:tcPr>
            <w:tcW w:w="2340" w:type="dxa"/>
            <w:tcBorders>
              <w:bottom w:val="single" w:color="auto" w:sz="0" w:space="0"/>
            </w:tcBorders>
            <w:vAlign w:val="bottom"/>
          </w:tcPr>
          <w:p w14:paraId="627E0497">
            <w:pPr>
              <w:pStyle w:val="24"/>
              <w:spacing w:after="0"/>
              <w:jc w:val="right"/>
            </w:pPr>
            <w:r>
              <w:rPr>
                <w:rFonts w:ascii="Aptos" w:hAnsi="Aptos"/>
                <w:color w:val="1F2937"/>
                <w:sz w:val="18"/>
              </w:rPr>
              <w:t>Servicios</w:t>
            </w:r>
          </w:p>
        </w:tc>
        <w:tc>
          <w:tcPr>
            <w:tcW w:w="2340" w:type="dxa"/>
            <w:tcBorders>
              <w:bottom w:val="single" w:color="auto" w:sz="0" w:space="0"/>
            </w:tcBorders>
            <w:vAlign w:val="bottom"/>
          </w:tcPr>
          <w:p w14:paraId="70D673DD">
            <w:pPr>
              <w:pStyle w:val="24"/>
              <w:spacing w:after="0"/>
              <w:jc w:val="right"/>
            </w:pPr>
            <w:r>
              <w:rPr>
                <w:rFonts w:ascii="Aptos" w:hAnsi="Aptos"/>
                <w:color w:val="1F2937"/>
                <w:sz w:val="18"/>
              </w:rPr>
              <w:t>Total orientativo</w:t>
            </w:r>
          </w:p>
        </w:tc>
      </w:tr>
      <w:tr w14:paraId="2FEE0EDC">
        <w:tblPrEx>
          <w:tblCellMar>
            <w:top w:w="0" w:type="dxa"/>
            <w:left w:w="108" w:type="dxa"/>
            <w:bottom w:w="0" w:type="dxa"/>
            <w:right w:w="108" w:type="dxa"/>
          </w:tblCellMar>
        </w:tblPrEx>
        <w:tc>
          <w:p w14:paraId="69E250A6">
            <w:pPr>
              <w:pStyle w:val="24"/>
              <w:spacing w:after="0"/>
              <w:jc w:val="left"/>
            </w:pPr>
            <w:r>
              <w:rPr>
                <w:rFonts w:ascii="Aptos" w:hAnsi="Aptos"/>
                <w:color w:val="1F2937"/>
                <w:sz w:val="18"/>
              </w:rPr>
              <w:t>Base conservador</w:t>
            </w:r>
          </w:p>
        </w:tc>
        <w:tc>
          <w:p w14:paraId="36725569">
            <w:pPr>
              <w:pStyle w:val="24"/>
              <w:spacing w:after="0"/>
              <w:jc w:val="right"/>
            </w:pPr>
            <w:r>
              <w:rPr>
                <w:rFonts w:ascii="Aptos" w:hAnsi="Aptos"/>
                <w:color w:val="1F2937"/>
                <w:sz w:val="18"/>
              </w:rPr>
              <w:t>20.000–35.000 €</w:t>
            </w:r>
          </w:p>
        </w:tc>
        <w:tc>
          <w:p w14:paraId="233F37DD">
            <w:pPr>
              <w:pStyle w:val="24"/>
              <w:spacing w:after="0"/>
              <w:jc w:val="right"/>
            </w:pPr>
            <w:r>
              <w:rPr>
                <w:rFonts w:ascii="Aptos" w:hAnsi="Aptos"/>
                <w:color w:val="1F2937"/>
                <w:sz w:val="18"/>
              </w:rPr>
              <w:t>10.000–20.000 €</w:t>
            </w:r>
          </w:p>
        </w:tc>
        <w:tc>
          <w:p w14:paraId="7670C263">
            <w:pPr>
              <w:pStyle w:val="24"/>
              <w:spacing w:after="0"/>
              <w:jc w:val="right"/>
            </w:pPr>
            <w:r>
              <w:rPr>
                <w:rFonts w:ascii="Aptos" w:hAnsi="Aptos"/>
                <w:color w:val="1F2937"/>
                <w:sz w:val="18"/>
              </w:rPr>
              <w:t>30.000–55.000 €</w:t>
            </w:r>
          </w:p>
        </w:tc>
      </w:tr>
      <w:tr w14:paraId="44C47EFC">
        <w:tblPrEx>
          <w:tblCellMar>
            <w:top w:w="0" w:type="dxa"/>
            <w:left w:w="108" w:type="dxa"/>
            <w:bottom w:w="0" w:type="dxa"/>
            <w:right w:w="108" w:type="dxa"/>
          </w:tblCellMar>
        </w:tblPrEx>
        <w:tc>
          <w:p w14:paraId="1FD76806">
            <w:pPr>
              <w:pStyle w:val="24"/>
              <w:spacing w:after="0"/>
              <w:jc w:val="left"/>
            </w:pPr>
            <w:r>
              <w:rPr>
                <w:rFonts w:ascii="Aptos" w:hAnsi="Aptos"/>
                <w:color w:val="1F2937"/>
                <w:sz w:val="18"/>
              </w:rPr>
              <w:t>Objetivo</w:t>
            </w:r>
          </w:p>
        </w:tc>
        <w:tc>
          <w:p w14:paraId="174C3AB8">
            <w:pPr>
              <w:pStyle w:val="24"/>
              <w:spacing w:after="0"/>
              <w:jc w:val="right"/>
            </w:pPr>
            <w:r>
              <w:rPr>
                <w:rFonts w:ascii="Aptos" w:hAnsi="Aptos"/>
                <w:color w:val="1F2937"/>
                <w:sz w:val="18"/>
              </w:rPr>
              <w:t>50.000–70.000 €</w:t>
            </w:r>
          </w:p>
        </w:tc>
        <w:tc>
          <w:p w14:paraId="441099C3">
            <w:pPr>
              <w:pStyle w:val="24"/>
              <w:spacing w:after="0"/>
              <w:jc w:val="right"/>
            </w:pPr>
            <w:r>
              <w:rPr>
                <w:rFonts w:ascii="Aptos" w:hAnsi="Aptos"/>
                <w:color w:val="1F2937"/>
                <w:sz w:val="18"/>
              </w:rPr>
              <w:t>40.000–50.000 €</w:t>
            </w:r>
          </w:p>
        </w:tc>
        <w:tc>
          <w:p w14:paraId="5F2B7F65">
            <w:pPr>
              <w:pStyle w:val="24"/>
              <w:spacing w:after="0"/>
              <w:jc w:val="right"/>
            </w:pPr>
            <w:r>
              <w:rPr>
                <w:rFonts w:ascii="Aptos" w:hAnsi="Aptos"/>
                <w:color w:val="1F2937"/>
                <w:sz w:val="18"/>
              </w:rPr>
              <w:t>90.000–120.000 €</w:t>
            </w:r>
          </w:p>
        </w:tc>
      </w:tr>
      <w:tr w14:paraId="613CAEB2">
        <w:tblPrEx>
          <w:tblCellMar>
            <w:top w:w="0" w:type="dxa"/>
            <w:left w:w="108" w:type="dxa"/>
            <w:bottom w:w="0" w:type="dxa"/>
            <w:right w:w="108" w:type="dxa"/>
          </w:tblCellMar>
        </w:tblPrEx>
        <w:tc>
          <w:p w14:paraId="247E2A22">
            <w:pPr>
              <w:pStyle w:val="24"/>
              <w:spacing w:after="0"/>
              <w:jc w:val="left"/>
            </w:pPr>
            <w:r>
              <w:rPr>
                <w:rFonts w:ascii="Aptos" w:hAnsi="Aptos"/>
                <w:color w:val="1F2937"/>
                <w:sz w:val="18"/>
              </w:rPr>
              <w:t>Expansivo</w:t>
            </w:r>
          </w:p>
        </w:tc>
        <w:tc>
          <w:p w14:paraId="6C7C4B99">
            <w:pPr>
              <w:pStyle w:val="24"/>
              <w:spacing w:after="0"/>
              <w:jc w:val="right"/>
            </w:pPr>
            <w:r>
              <w:rPr>
                <w:rFonts w:ascii="Aptos" w:hAnsi="Aptos"/>
                <w:color w:val="1F2937"/>
                <w:sz w:val="18"/>
              </w:rPr>
              <w:t>90.000–120.000 €</w:t>
            </w:r>
          </w:p>
        </w:tc>
        <w:tc>
          <w:p w14:paraId="61DBED29">
            <w:pPr>
              <w:pStyle w:val="24"/>
              <w:spacing w:after="0"/>
              <w:jc w:val="right"/>
            </w:pPr>
            <w:r>
              <w:rPr>
                <w:rFonts w:ascii="Aptos" w:hAnsi="Aptos"/>
                <w:color w:val="1F2937"/>
                <w:sz w:val="18"/>
              </w:rPr>
              <w:t>50.000–70.000 €</w:t>
            </w:r>
          </w:p>
        </w:tc>
        <w:tc>
          <w:p w14:paraId="33EFA82A">
            <w:pPr>
              <w:pStyle w:val="24"/>
              <w:spacing w:after="0"/>
              <w:jc w:val="right"/>
            </w:pPr>
            <w:r>
              <w:rPr>
                <w:rFonts w:ascii="Aptos" w:hAnsi="Aptos"/>
                <w:color w:val="1F2937"/>
                <w:sz w:val="18"/>
              </w:rPr>
              <w:t>140.000–190.000 €</w:t>
            </w:r>
          </w:p>
        </w:tc>
      </w:tr>
    </w:tbl>
    <w:p w14:paraId="02DCF3B5">
      <w:pPr>
        <w:pStyle w:val="3"/>
      </w:pPr>
      <w:r>
        <w:rPr>
          <w:rFonts w:ascii="Aptos" w:hAnsi="Aptos"/>
          <w:b/>
          <w:color w:val="1F2937"/>
          <w:sz w:val="21"/>
        </w:rPr>
        <w:t>Escenario cargado en el Excel oficial (base conservador):</w:t>
      </w:r>
      <w:r>
        <w:rPr>
          <w:rFonts w:ascii="Aptos" w:hAnsi="Aptos"/>
          <w:color w:val="1F2937"/>
          <w:sz w:val="21"/>
        </w:rPr>
        <w:t xml:space="preserve"> SaaS 27.000 € (250 €/mes) + servicios 15.000 € = </w:t>
      </w:r>
      <w:r>
        <w:rPr>
          <w:rFonts w:ascii="Aptos" w:hAnsi="Aptos"/>
          <w:b/>
          <w:color w:val="1F2937"/>
          <w:sz w:val="21"/>
        </w:rPr>
        <w:t>42.000 € de facturación (IVA incl.) ≈ 39.500 € de ingresos de explotación (sin IVA)</w:t>
      </w:r>
      <w:r>
        <w:rPr>
          <w:rFonts w:ascii="Aptos" w:hAnsi="Aptos"/>
          <w:color w:val="1F2937"/>
          <w:sz w:val="21"/>
        </w:rPr>
        <w:t xml:space="preserve"> en el Año 1. La proyección plurianual (escenario comercial </w:t>
      </w:r>
      <w:r>
        <w:rPr>
          <w:rFonts w:ascii="Aptos" w:hAnsi="Aptos"/>
          <w:b/>
          <w:color w:val="1F2937"/>
          <w:sz w:val="21"/>
        </w:rPr>
        <w:t>condicionado</w:t>
      </w:r>
      <w:r>
        <w:rPr>
          <w:rFonts w:ascii="Aptos" w:hAnsi="Aptos"/>
          <w:color w:val="1F2937"/>
          <w:sz w:val="21"/>
        </w:rPr>
        <w:t xml:space="preserve">) sigue una rampa de captación de clientes de </w:t>
      </w:r>
      <w:r>
        <w:rPr>
          <w:rFonts w:ascii="Aptos" w:hAnsi="Aptos"/>
          <w:b/>
          <w:color w:val="1F2937"/>
          <w:sz w:val="21"/>
        </w:rPr>
        <w:t>≈39.500 → 70.000 → 130.000 → 190.000 → 260.000 € de ingresos (sin IVA) en los años 1–5</w:t>
      </w:r>
      <w:r>
        <w:rPr>
          <w:rFonts w:ascii="Aptos" w:hAnsi="Aptos"/>
          <w:color w:val="1F2937"/>
          <w:sz w:val="21"/>
        </w:rPr>
        <w:t xml:space="preserve">. Al incorporar la </w:t>
      </w:r>
      <w:r>
        <w:rPr>
          <w:rFonts w:ascii="Aptos" w:hAnsi="Aptos"/>
          <w:b/>
          <w:color w:val="1F2937"/>
          <w:sz w:val="21"/>
        </w:rPr>
        <w:t>estructura humana completa</w:t>
      </w:r>
      <w:r>
        <w:rPr>
          <w:rFonts w:ascii="Aptos" w:hAnsi="Aptos"/>
          <w:color w:val="1F2937"/>
          <w:sz w:val="21"/>
        </w:rPr>
        <w:t xml:space="preserve"> (personal, cargas y medios), el </w:t>
      </w:r>
      <w:r>
        <w:rPr>
          <w:rFonts w:ascii="Aptos" w:hAnsi="Aptos"/>
          <w:b/>
          <w:color w:val="1F2937"/>
          <w:sz w:val="21"/>
        </w:rPr>
        <w:t>punto de equilibrio operativo no es automático</w:t>
      </w:r>
      <w:r>
        <w:rPr>
          <w:rFonts w:ascii="Aptos" w:hAnsi="Aptos"/>
          <w:color w:val="1F2937"/>
          <w:sz w:val="21"/>
        </w:rPr>
        <w:t xml:space="preserve">: se sitúa </w:t>
      </w:r>
      <w:r>
        <w:rPr>
          <w:rFonts w:ascii="Aptos" w:hAnsi="Aptos"/>
          <w:b/>
          <w:color w:val="1F2937"/>
          <w:sz w:val="21"/>
        </w:rPr>
        <w:t>hacia el Año 4–5</w:t>
      </w:r>
      <w:r>
        <w:rPr>
          <w:rFonts w:ascii="Aptos" w:hAnsi="Aptos"/>
          <w:color w:val="1F2937"/>
          <w:sz w:val="21"/>
        </w:rPr>
        <w:t xml:space="preserve">, sujeto a captación real, precios y superación de Gates. Previsión </w:t>
      </w:r>
      <w:r>
        <w:rPr>
          <w:rFonts w:ascii="Aptos" w:hAnsi="Aptos"/>
          <w:b/>
          <w:color w:val="1F2937"/>
          <w:sz w:val="21"/>
        </w:rPr>
        <w:t>prudente y auditable</w:t>
      </w:r>
      <w:r>
        <w:rPr>
          <w:rFonts w:ascii="Aptos" w:hAnsi="Aptos"/>
          <w:color w:val="1F2937"/>
          <w:sz w:val="21"/>
        </w:rPr>
        <w:t xml:space="preserve"> (persona → función → salario → cargas → medios → OPEX → Gate).</w:t>
      </w:r>
    </w:p>
    <w:p w14:paraId="26A174B1">
      <w:pPr>
        <w:pStyle w:val="3"/>
      </w:pPr>
      <w:r>
        <w:rPr>
          <w:rFonts w:ascii="Aptos" w:hAnsi="Aptos"/>
          <w:color w:val="1F2937"/>
          <w:sz w:val="21"/>
        </w:rPr>
        <w:t xml:space="preserve">La viabilidad del Año 1 </w:t>
      </w:r>
      <w:r>
        <w:rPr>
          <w:rFonts w:ascii="Aptos" w:hAnsi="Aptos"/>
          <w:b/>
          <w:color w:val="1F2937"/>
          <w:sz w:val="21"/>
        </w:rPr>
        <w:t>no depende</w:t>
      </w:r>
      <w:r>
        <w:rPr>
          <w:rFonts w:ascii="Aptos" w:hAnsi="Aptos"/>
          <w:color w:val="1F2937"/>
          <w:sz w:val="21"/>
        </w:rPr>
        <w:t xml:space="preserve"> de geotermia ni de almacenamiento ampliado; estos actúan como </w:t>
      </w:r>
      <w:r>
        <w:rPr>
          <w:rFonts w:ascii="Aptos" w:hAnsi="Aptos"/>
          <w:b/>
          <w:color w:val="1F2937"/>
          <w:sz w:val="21"/>
        </w:rPr>
        <w:t>palancas de valor, diferenciación y expansión</w:t>
      </w:r>
      <w:r>
        <w:rPr>
          <w:rFonts w:ascii="Aptos" w:hAnsi="Aptos"/>
          <w:color w:val="1F2937"/>
          <w:sz w:val="21"/>
        </w:rPr>
        <w:t>, no como soporte de caja de la Fase 1.</w:t>
      </w:r>
    </w:p>
    <w:p w14:paraId="4574F91A">
      <w:pPr>
        <w:pStyle w:val="5"/>
      </w:pPr>
      <w:bookmarkStart w:id="30" w:name="activo-tecnológico-separado-del-capex"/>
      <w:r>
        <w:rPr>
          <w:rFonts w:ascii="Aptos Display" w:hAnsi="Aptos Display"/>
          <w:b/>
          <w:color w:val="174A2E"/>
          <w:sz w:val="21"/>
        </w:rPr>
        <w:t>4.3.5. Activo tecnológico (separado del CAPEX)</w:t>
      </w:r>
      <w:bookmarkEnd w:id="30"/>
    </w:p>
    <w:p w14:paraId="340A0018">
      <w:pPr>
        <w:pStyle w:val="23"/>
      </w:pPr>
      <w:r>
        <w:rPr>
          <w:rFonts w:ascii="Aptos" w:hAnsi="Aptos"/>
          <w:b/>
          <w:color w:val="1F2937"/>
          <w:sz w:val="21"/>
        </w:rPr>
        <w:t>420.000 €</w:t>
      </w:r>
      <w:r>
        <w:rPr>
          <w:rFonts w:ascii="Aptos" w:hAnsi="Aptos"/>
          <w:color w:val="1F2937"/>
          <w:sz w:val="21"/>
        </w:rPr>
        <w:t xml:space="preserve"> por coste de reposición nuevo (5.600 h × 75 €/h; §3.8). Es </w:t>
      </w:r>
      <w:r>
        <w:rPr>
          <w:rFonts w:ascii="Aptos" w:hAnsi="Aptos"/>
          <w:b/>
          <w:color w:val="1F2937"/>
          <w:sz w:val="21"/>
        </w:rPr>
        <w:t>estimación interna de coste de reposición nuevo existente</w:t>
      </w:r>
      <w:r>
        <w:rPr>
          <w:rFonts w:ascii="Aptos" w:hAnsi="Aptos"/>
          <w:color w:val="1F2937"/>
          <w:sz w:val="21"/>
        </w:rPr>
        <w:t xml:space="preserve">; </w:t>
      </w:r>
      <w:r>
        <w:rPr>
          <w:rFonts w:ascii="Aptos" w:hAnsi="Aptos"/>
          <w:b/>
          <w:color w:val="1F2937"/>
          <w:sz w:val="21"/>
        </w:rPr>
        <w:t>posible aportación en especie sujeta a formalización jurídica</w:t>
      </w:r>
      <w:r>
        <w:rPr>
          <w:rFonts w:ascii="Aptos" w:hAnsi="Aptos"/>
          <w:color w:val="1F2937"/>
          <w:sz w:val="21"/>
        </w:rPr>
        <w:t xml:space="preserve">, </w:t>
      </w:r>
      <w:r>
        <w:rPr>
          <w:rFonts w:ascii="Aptos" w:hAnsi="Aptos"/>
          <w:b/>
          <w:color w:val="1F2937"/>
          <w:sz w:val="21"/>
        </w:rPr>
        <w:t>no caja, no capital social, no financiación</w:t>
      </w:r>
      <w:r>
        <w:rPr>
          <w:rFonts w:ascii="Aptos" w:hAnsi="Aptos"/>
          <w:color w:val="1F2937"/>
          <w:sz w:val="21"/>
        </w:rPr>
        <w:t>; no se capitaliza en la cuenta de resultados de la Fase 1 ni se mezcla con el CAPEX de arranque.</w:t>
      </w:r>
    </w:p>
    <w:p w14:paraId="288DA423">
      <w:pPr>
        <w:pStyle w:val="3"/>
      </w:pPr>
      <w:r>
        <w:rPr>
          <w:rFonts w:ascii="Aptos" w:hAnsi="Aptos"/>
          <w:b/>
          <w:color w:val="1F2937"/>
          <w:sz w:val="21"/>
        </w:rPr>
        <w:t>Reconciliación de magnitudes (no confundir naturalezas).</w:t>
      </w:r>
    </w:p>
    <w:tbl>
      <w:tblPr>
        <w:tblStyle w:val="28"/>
        <w:tblW w:w="5000" w:type="pct"/>
        <w:jc w:val="center"/>
        <w:tblInd w:w="0" w:type="dxa"/>
        <w:tblLayout w:type="fixed"/>
        <w:tblCellMar>
          <w:top w:w="0" w:type="dxa"/>
          <w:left w:w="108" w:type="dxa"/>
          <w:bottom w:w="0" w:type="dxa"/>
          <w:right w:w="108" w:type="dxa"/>
        </w:tblCellMar>
      </w:tblPr>
      <w:tblGrid>
        <w:gridCol w:w="2640"/>
        <w:gridCol w:w="2640"/>
        <w:gridCol w:w="2640"/>
      </w:tblGrid>
      <w:tr w14:paraId="127E1E72">
        <w:tblPrEx>
          <w:tblCellMar>
            <w:top w:w="0" w:type="dxa"/>
            <w:left w:w="108" w:type="dxa"/>
            <w:bottom w:w="0" w:type="dxa"/>
            <w:right w:w="108" w:type="dxa"/>
          </w:tblCellMar>
        </w:tblPrEx>
        <w:tc>
          <w:tcPr>
            <w:tcW w:w="3120" w:type="dxa"/>
            <w:tcBorders>
              <w:bottom w:val="single" w:color="auto" w:sz="0" w:space="0"/>
            </w:tcBorders>
            <w:vAlign w:val="bottom"/>
          </w:tcPr>
          <w:p w14:paraId="74036C01">
            <w:pPr>
              <w:pStyle w:val="24"/>
              <w:spacing w:after="0"/>
              <w:jc w:val="left"/>
            </w:pPr>
            <w:r>
              <w:rPr>
                <w:rFonts w:ascii="Aptos" w:hAnsi="Aptos"/>
                <w:color w:val="1F2937"/>
                <w:sz w:val="18"/>
              </w:rPr>
              <w:t>Magnitud</w:t>
            </w:r>
          </w:p>
        </w:tc>
        <w:tc>
          <w:tcPr>
            <w:tcW w:w="3120" w:type="dxa"/>
            <w:tcBorders>
              <w:bottom w:val="single" w:color="auto" w:sz="0" w:space="0"/>
            </w:tcBorders>
            <w:vAlign w:val="bottom"/>
          </w:tcPr>
          <w:p w14:paraId="52176202">
            <w:pPr>
              <w:pStyle w:val="24"/>
              <w:spacing w:after="0"/>
              <w:jc w:val="right"/>
            </w:pPr>
            <w:r>
              <w:rPr>
                <w:rFonts w:ascii="Aptos" w:hAnsi="Aptos"/>
                <w:color w:val="1F2937"/>
                <w:sz w:val="18"/>
              </w:rPr>
              <w:t>Valor</w:t>
            </w:r>
          </w:p>
        </w:tc>
        <w:tc>
          <w:tcPr>
            <w:tcW w:w="3120" w:type="dxa"/>
            <w:tcBorders>
              <w:bottom w:val="single" w:color="auto" w:sz="0" w:space="0"/>
            </w:tcBorders>
            <w:vAlign w:val="bottom"/>
          </w:tcPr>
          <w:p w14:paraId="3233FEA9">
            <w:pPr>
              <w:pStyle w:val="24"/>
              <w:spacing w:after="0"/>
              <w:jc w:val="left"/>
            </w:pPr>
            <w:r>
              <w:rPr>
                <w:rFonts w:ascii="Aptos" w:hAnsi="Aptos"/>
                <w:color w:val="1F2937"/>
                <w:sz w:val="18"/>
              </w:rPr>
              <w:t>Naturaleza</w:t>
            </w:r>
          </w:p>
        </w:tc>
      </w:tr>
      <w:tr w14:paraId="6E40FDE2">
        <w:tblPrEx>
          <w:tblCellMar>
            <w:top w:w="0" w:type="dxa"/>
            <w:left w:w="108" w:type="dxa"/>
            <w:bottom w:w="0" w:type="dxa"/>
            <w:right w:w="108" w:type="dxa"/>
          </w:tblCellMar>
        </w:tblPrEx>
        <w:tc>
          <w:p w14:paraId="1F11ADB5">
            <w:pPr>
              <w:pStyle w:val="24"/>
              <w:spacing w:after="0"/>
              <w:jc w:val="left"/>
            </w:pPr>
            <w:r>
              <w:rPr>
                <w:rFonts w:ascii="Aptos" w:hAnsi="Aptos"/>
                <w:color w:val="1F2937"/>
                <w:sz w:val="18"/>
              </w:rPr>
              <w:t>Activo tecnológico (RCN)</w:t>
            </w:r>
          </w:p>
        </w:tc>
        <w:tc>
          <w:p w14:paraId="6B32C782">
            <w:pPr>
              <w:pStyle w:val="24"/>
              <w:spacing w:after="0"/>
              <w:jc w:val="right"/>
            </w:pPr>
            <w:r>
              <w:rPr>
                <w:rFonts w:ascii="Aptos" w:hAnsi="Aptos"/>
                <w:color w:val="1F2937"/>
                <w:sz w:val="18"/>
              </w:rPr>
              <w:t>420.000 €</w:t>
            </w:r>
          </w:p>
        </w:tc>
        <w:tc>
          <w:p w14:paraId="7352C881">
            <w:pPr>
              <w:pStyle w:val="24"/>
              <w:spacing w:after="0"/>
              <w:jc w:val="left"/>
            </w:pPr>
            <w:r>
              <w:rPr>
                <w:rFonts w:ascii="Aptos" w:hAnsi="Aptos"/>
                <w:color w:val="1F2937"/>
                <w:sz w:val="18"/>
              </w:rPr>
              <w:t>Valoración técnica (coste de reposición). No es caja ni valor de empresa</w:t>
            </w:r>
          </w:p>
        </w:tc>
      </w:tr>
      <w:tr w14:paraId="7EF1D395">
        <w:tblPrEx>
          <w:tblCellMar>
            <w:top w:w="0" w:type="dxa"/>
            <w:left w:w="108" w:type="dxa"/>
            <w:bottom w:w="0" w:type="dxa"/>
            <w:right w:w="108" w:type="dxa"/>
          </w:tblCellMar>
        </w:tblPrEx>
        <w:tc>
          <w:p w14:paraId="07D5039D">
            <w:pPr>
              <w:pStyle w:val="24"/>
              <w:spacing w:after="0"/>
              <w:jc w:val="left"/>
            </w:pPr>
            <w:r>
              <w:rPr>
                <w:rFonts w:ascii="Aptos" w:hAnsi="Aptos"/>
                <w:color w:val="1F2937"/>
                <w:sz w:val="18"/>
              </w:rPr>
              <w:t>Inversión Fase 1 (envolvente)</w:t>
            </w:r>
          </w:p>
        </w:tc>
        <w:tc>
          <w:p w14:paraId="405C74C4">
            <w:pPr>
              <w:pStyle w:val="24"/>
              <w:spacing w:after="0"/>
              <w:jc w:val="right"/>
            </w:pPr>
            <w:r>
              <w:rPr>
                <w:rFonts w:ascii="Aptos" w:hAnsi="Aptos"/>
                <w:color w:val="1F2937"/>
                <w:sz w:val="18"/>
              </w:rPr>
              <w:t>165.000–195.000 € (central 180.000 €)</w:t>
            </w:r>
          </w:p>
        </w:tc>
        <w:tc>
          <w:p w14:paraId="03194485">
            <w:pPr>
              <w:pStyle w:val="24"/>
              <w:spacing w:after="0"/>
              <w:jc w:val="left"/>
            </w:pPr>
            <w:r>
              <w:rPr>
                <w:rFonts w:ascii="Aptos" w:hAnsi="Aptos"/>
                <w:color w:val="1F2937"/>
                <w:sz w:val="18"/>
              </w:rPr>
              <w:t>Necesidad/inversión de consolidación</w:t>
            </w:r>
          </w:p>
        </w:tc>
      </w:tr>
      <w:tr w14:paraId="53392154">
        <w:tblPrEx>
          <w:tblCellMar>
            <w:top w:w="0" w:type="dxa"/>
            <w:left w:w="108" w:type="dxa"/>
            <w:bottom w:w="0" w:type="dxa"/>
            <w:right w:w="108" w:type="dxa"/>
          </w:tblCellMar>
        </w:tblPrEx>
        <w:tc>
          <w:p w14:paraId="003C1311">
            <w:pPr>
              <w:pStyle w:val="24"/>
              <w:spacing w:after="0"/>
              <w:jc w:val="left"/>
            </w:pPr>
            <w:r>
              <w:rPr>
                <w:rFonts w:ascii="Aptos" w:hAnsi="Aptos"/>
                <w:color w:val="1F2937"/>
                <w:sz w:val="18"/>
              </w:rPr>
              <w:t>Caja disponible</w:t>
            </w:r>
          </w:p>
        </w:tc>
        <w:tc>
          <w:p w14:paraId="2192EEF5">
            <w:pPr>
              <w:pStyle w:val="24"/>
              <w:spacing w:after="0"/>
              <w:jc w:val="right"/>
            </w:pPr>
            <w:r>
              <w:rPr>
                <w:rFonts w:ascii="Aptos" w:hAnsi="Aptos"/>
                <w:color w:val="1F2937"/>
                <w:sz w:val="18"/>
              </w:rPr>
              <w:t>A consignar</w:t>
            </w:r>
          </w:p>
        </w:tc>
        <w:tc>
          <w:p w14:paraId="4B78D071">
            <w:pPr>
              <w:pStyle w:val="24"/>
              <w:spacing w:after="0"/>
              <w:jc w:val="left"/>
            </w:pPr>
            <w:r>
              <w:rPr>
                <w:rFonts w:ascii="Aptos" w:hAnsi="Aptos"/>
                <w:color w:val="1F2937"/>
                <w:sz w:val="18"/>
              </w:rPr>
              <w:t>Financiación real (aportación del promotor)</w:t>
            </w:r>
          </w:p>
        </w:tc>
      </w:tr>
      <w:tr w14:paraId="38A31317">
        <w:tblPrEx>
          <w:tblCellMar>
            <w:top w:w="0" w:type="dxa"/>
            <w:left w:w="108" w:type="dxa"/>
            <w:bottom w:w="0" w:type="dxa"/>
            <w:right w:w="108" w:type="dxa"/>
          </w:tblCellMar>
        </w:tblPrEx>
        <w:tc>
          <w:p w14:paraId="73EB36C1">
            <w:pPr>
              <w:pStyle w:val="24"/>
              <w:spacing w:after="0"/>
              <w:jc w:val="left"/>
            </w:pPr>
            <w:r>
              <w:rPr>
                <w:rFonts w:ascii="Aptos" w:hAnsi="Aptos"/>
                <w:color w:val="1F2937"/>
                <w:sz w:val="18"/>
              </w:rPr>
              <w:t>Financiación solicitada / en tramitación</w:t>
            </w:r>
          </w:p>
        </w:tc>
        <w:tc>
          <w:p w14:paraId="655FD219">
            <w:pPr>
              <w:pStyle w:val="24"/>
              <w:spacing w:after="0"/>
              <w:jc w:val="right"/>
            </w:pPr>
            <w:r>
              <w:rPr>
                <w:rFonts w:ascii="Aptos" w:hAnsi="Aptos"/>
                <w:color w:val="1F2937"/>
                <w:sz w:val="18"/>
              </w:rPr>
              <w:t>A consignar</w:t>
            </w:r>
          </w:p>
        </w:tc>
        <w:tc>
          <w:p w14:paraId="27261BDB">
            <w:pPr>
              <w:pStyle w:val="24"/>
              <w:spacing w:after="0"/>
              <w:jc w:val="left"/>
            </w:pPr>
            <w:r>
              <w:rPr>
                <w:rFonts w:ascii="Aptos" w:hAnsi="Aptos"/>
                <w:color w:val="1F2937"/>
                <w:sz w:val="18"/>
              </w:rPr>
              <w:t>No es caja hasta el cobro</w:t>
            </w:r>
          </w:p>
        </w:tc>
      </w:tr>
      <w:tr w14:paraId="2A2DB530">
        <w:tblPrEx>
          <w:tblCellMar>
            <w:top w:w="0" w:type="dxa"/>
            <w:left w:w="108" w:type="dxa"/>
            <w:bottom w:w="0" w:type="dxa"/>
            <w:right w:w="108" w:type="dxa"/>
          </w:tblCellMar>
        </w:tblPrEx>
        <w:tc>
          <w:p w14:paraId="6DCF46A3">
            <w:pPr>
              <w:pStyle w:val="24"/>
              <w:spacing w:after="0"/>
              <w:jc w:val="left"/>
            </w:pPr>
            <w:r>
              <w:rPr>
                <w:rFonts w:ascii="Aptos" w:hAnsi="Aptos"/>
                <w:color w:val="1F2937"/>
                <w:sz w:val="18"/>
              </w:rPr>
              <w:t>Ingresos previstos</w:t>
            </w:r>
          </w:p>
        </w:tc>
        <w:tc>
          <w:p w14:paraId="637D0B0E">
            <w:pPr>
              <w:pStyle w:val="24"/>
              <w:spacing w:after="0"/>
              <w:jc w:val="right"/>
            </w:pPr>
            <w:r>
              <w:rPr>
                <w:rFonts w:ascii="Aptos" w:hAnsi="Aptos"/>
                <w:color w:val="1F2937"/>
                <w:sz w:val="18"/>
              </w:rPr>
              <w:t>Escenarios base/objetivo/expansivo</w:t>
            </w:r>
          </w:p>
        </w:tc>
        <w:tc>
          <w:p w14:paraId="2FD1D60B">
            <w:pPr>
              <w:pStyle w:val="24"/>
              <w:spacing w:after="0"/>
              <w:jc w:val="left"/>
            </w:pPr>
            <w:r>
              <w:rPr>
                <w:rFonts w:ascii="Aptos" w:hAnsi="Aptos"/>
                <w:color w:val="1F2937"/>
                <w:sz w:val="18"/>
              </w:rPr>
              <w:t>Proyección, no histórico</w:t>
            </w:r>
          </w:p>
        </w:tc>
      </w:tr>
    </w:tbl>
    <w:p w14:paraId="2394637D">
      <w:pPr>
        <w:pStyle w:val="5"/>
      </w:pPr>
      <w:bookmarkStart w:id="31" w:name="Xacec53ad38dc54536a4ebb6fa454b0d1c6b427a"/>
      <w:r>
        <w:rPr>
          <w:rFonts w:ascii="Aptos Display" w:hAnsi="Aptos Display"/>
          <w:b/>
          <w:color w:val="174A2E"/>
          <w:sz w:val="21"/>
        </w:rPr>
        <w:t>4.3.6. Inversiones futuras condicionadas (Plano C — no arranque)</w:t>
      </w:r>
      <w:bookmarkEnd w:id="31"/>
    </w:p>
    <w:p w14:paraId="52B59BBE">
      <w:pPr>
        <w:pStyle w:val="23"/>
      </w:pPr>
      <w:r>
        <w:rPr>
          <w:rFonts w:ascii="Aptos" w:hAnsi="Aptos"/>
          <w:color w:val="1F2937"/>
          <w:sz w:val="21"/>
        </w:rPr>
        <w:t xml:space="preserve">Cada subsistema se presupuesta por separado (el apartado §4.3.6 del Excel) con escenarios prudente / central / techo; </w:t>
      </w:r>
      <w:r>
        <w:rPr>
          <w:rFonts w:ascii="Aptos" w:hAnsi="Aptos"/>
          <w:b/>
          <w:color w:val="1F2937"/>
          <w:sz w:val="21"/>
        </w:rPr>
        <w:t>el CAPEX físico total es el resultado de la suma de subsistemas</w:t>
      </w:r>
      <w:r>
        <w:rPr>
          <w:rFonts w:ascii="Aptos" w:hAnsi="Aptos"/>
          <w:color w:val="1F2937"/>
          <w:sz w:val="21"/>
        </w:rPr>
        <w:t xml:space="preserve">, no una cifra global impuesta. Todas las cifras son </w:t>
      </w:r>
      <w:r>
        <w:rPr>
          <w:rFonts w:ascii="Aptos" w:hAnsi="Aptos"/>
          <w:b/>
          <w:color w:val="1F2937"/>
          <w:sz w:val="21"/>
        </w:rPr>
        <w:t>estimación preliminar de planificación interna</w:t>
      </w:r>
      <w:r>
        <w:rPr>
          <w:rFonts w:ascii="Aptos" w:hAnsi="Aptos"/>
          <w:color w:val="1F2937"/>
          <w:sz w:val="21"/>
        </w:rPr>
        <w:t xml:space="preserve"> basada en alcance técnico definido — no ofertas — y deben cerrarse con TRT, proyecto de ingeniería, estudios geotécnicos, condiciones de conexión eléctrica y ofertas comparables.</w:t>
      </w:r>
    </w:p>
    <w:tbl>
      <w:tblPr>
        <w:tblStyle w:val="28"/>
        <w:tblW w:w="5000" w:type="pct"/>
        <w:jc w:val="center"/>
        <w:tblInd w:w="0" w:type="dxa"/>
        <w:tblLayout w:type="fixed"/>
        <w:tblCellMar>
          <w:top w:w="0" w:type="dxa"/>
          <w:left w:w="108" w:type="dxa"/>
          <w:bottom w:w="0" w:type="dxa"/>
          <w:right w:w="108" w:type="dxa"/>
        </w:tblCellMar>
      </w:tblPr>
      <w:tblGrid>
        <w:gridCol w:w="1250"/>
        <w:gridCol w:w="1250"/>
        <w:gridCol w:w="1250"/>
        <w:gridCol w:w="1250"/>
        <w:gridCol w:w="1250"/>
        <w:gridCol w:w="1667"/>
      </w:tblGrid>
      <w:tr w14:paraId="436302A0">
        <w:tblPrEx>
          <w:tblCellMar>
            <w:top w:w="0" w:type="dxa"/>
            <w:left w:w="108" w:type="dxa"/>
            <w:bottom w:w="0" w:type="dxa"/>
            <w:right w:w="108" w:type="dxa"/>
          </w:tblCellMar>
        </w:tblPrEx>
        <w:tc>
          <w:tcPr>
            <w:tcW w:w="1560" w:type="dxa"/>
            <w:tcBorders>
              <w:bottom w:val="single" w:color="auto" w:sz="0" w:space="0"/>
            </w:tcBorders>
            <w:vAlign w:val="bottom"/>
          </w:tcPr>
          <w:p w14:paraId="73F220AA">
            <w:pPr>
              <w:pStyle w:val="24"/>
              <w:spacing w:after="0"/>
              <w:jc w:val="left"/>
            </w:pPr>
            <w:r>
              <w:rPr>
                <w:rFonts w:ascii="Aptos" w:hAnsi="Aptos"/>
                <w:color w:val="1F2937"/>
                <w:sz w:val="18"/>
              </w:rPr>
              <w:t>Fase</w:t>
            </w:r>
          </w:p>
        </w:tc>
        <w:tc>
          <w:tcPr>
            <w:tcW w:w="1560" w:type="dxa"/>
            <w:tcBorders>
              <w:bottom w:val="single" w:color="auto" w:sz="0" w:space="0"/>
            </w:tcBorders>
            <w:vAlign w:val="bottom"/>
          </w:tcPr>
          <w:p w14:paraId="157364EA">
            <w:pPr>
              <w:pStyle w:val="24"/>
              <w:spacing w:after="0"/>
              <w:jc w:val="left"/>
            </w:pPr>
            <w:r>
              <w:rPr>
                <w:rFonts w:ascii="Aptos" w:hAnsi="Aptos"/>
                <w:color w:val="1F2937"/>
                <w:sz w:val="18"/>
              </w:rPr>
              <w:t>Sistema</w:t>
            </w:r>
          </w:p>
        </w:tc>
        <w:tc>
          <w:tcPr>
            <w:tcW w:w="1560" w:type="dxa"/>
            <w:tcBorders>
              <w:bottom w:val="single" w:color="auto" w:sz="0" w:space="0"/>
            </w:tcBorders>
            <w:vAlign w:val="bottom"/>
          </w:tcPr>
          <w:p w14:paraId="37E8EBF9">
            <w:pPr>
              <w:pStyle w:val="24"/>
              <w:spacing w:after="0"/>
              <w:jc w:val="left"/>
            </w:pPr>
            <w:r>
              <w:rPr>
                <w:rFonts w:ascii="Aptos" w:hAnsi="Aptos"/>
                <w:color w:val="1F2937"/>
                <w:sz w:val="18"/>
              </w:rPr>
              <w:t>Escala</w:t>
            </w:r>
          </w:p>
        </w:tc>
        <w:tc>
          <w:tcPr>
            <w:tcW w:w="1560" w:type="dxa"/>
            <w:tcBorders>
              <w:bottom w:val="single" w:color="auto" w:sz="0" w:space="0"/>
            </w:tcBorders>
            <w:vAlign w:val="bottom"/>
          </w:tcPr>
          <w:p w14:paraId="319FA87E">
            <w:pPr>
              <w:pStyle w:val="24"/>
              <w:spacing w:after="0"/>
              <w:jc w:val="right"/>
            </w:pPr>
            <w:r>
              <w:rPr>
                <w:rFonts w:ascii="Aptos" w:hAnsi="Aptos"/>
                <w:color w:val="1F2937"/>
                <w:sz w:val="18"/>
              </w:rPr>
              <w:t>CAPEX central</w:t>
            </w:r>
          </w:p>
        </w:tc>
        <w:tc>
          <w:tcPr>
            <w:tcW w:w="1560" w:type="dxa"/>
            <w:tcBorders>
              <w:bottom w:val="single" w:color="auto" w:sz="0" w:space="0"/>
            </w:tcBorders>
            <w:vAlign w:val="bottom"/>
          </w:tcPr>
          <w:p w14:paraId="62EF071E">
            <w:pPr>
              <w:pStyle w:val="24"/>
              <w:spacing w:after="0"/>
              <w:jc w:val="right"/>
            </w:pPr>
            <w:r>
              <w:rPr>
                <w:rFonts w:ascii="Aptos" w:hAnsi="Aptos"/>
                <w:color w:val="1F2937"/>
                <w:sz w:val="18"/>
              </w:rPr>
              <w:t>Rango (prud.–techo)</w:t>
            </w:r>
          </w:p>
        </w:tc>
        <w:tc>
          <w:tcPr>
            <w:tcW w:w="1560" w:type="dxa"/>
            <w:tcBorders>
              <w:bottom w:val="single" w:color="auto" w:sz="0" w:space="0"/>
            </w:tcBorders>
            <w:vAlign w:val="bottom"/>
          </w:tcPr>
          <w:p w14:paraId="7F28C934">
            <w:pPr>
              <w:pStyle w:val="24"/>
              <w:spacing w:after="0"/>
              <w:jc w:val="center"/>
            </w:pPr>
            <w:r>
              <w:rPr>
                <w:rFonts w:ascii="Aptos" w:hAnsi="Aptos"/>
                <w:color w:val="1F2937"/>
                <w:sz w:val="18"/>
              </w:rPr>
              <w:t>Gate</w:t>
            </w:r>
          </w:p>
        </w:tc>
      </w:tr>
      <w:tr w14:paraId="25DC88A7">
        <w:tblPrEx>
          <w:tblCellMar>
            <w:top w:w="0" w:type="dxa"/>
            <w:left w:w="108" w:type="dxa"/>
            <w:bottom w:w="0" w:type="dxa"/>
            <w:right w:w="108" w:type="dxa"/>
          </w:tblCellMar>
        </w:tblPrEx>
        <w:tc>
          <w:p w14:paraId="20119FE2">
            <w:pPr>
              <w:pStyle w:val="24"/>
              <w:spacing w:after="0"/>
              <w:jc w:val="left"/>
            </w:pPr>
            <w:r>
              <w:rPr>
                <w:rFonts w:ascii="Aptos" w:hAnsi="Aptos"/>
                <w:color w:val="1F2937"/>
                <w:sz w:val="18"/>
              </w:rPr>
              <w:t>F2</w:t>
            </w:r>
          </w:p>
        </w:tc>
        <w:tc>
          <w:p w14:paraId="616DC4E7">
            <w:pPr>
              <w:pStyle w:val="24"/>
              <w:spacing w:after="0"/>
              <w:jc w:val="left"/>
            </w:pPr>
            <w:r>
              <w:rPr>
                <w:rFonts w:ascii="Aptos" w:hAnsi="Aptos"/>
                <w:color w:val="1F2937"/>
                <w:sz w:val="18"/>
              </w:rPr>
              <w:t>Geotermia de baja entalpía</w:t>
            </w:r>
          </w:p>
        </w:tc>
        <w:tc>
          <w:p w14:paraId="4F14B013">
            <w:pPr>
              <w:pStyle w:val="24"/>
              <w:spacing w:after="0"/>
              <w:jc w:val="left"/>
            </w:pPr>
            <w:r>
              <w:rPr>
                <w:rFonts w:ascii="Aptos" w:hAnsi="Aptos"/>
                <w:color w:val="1F2937"/>
                <w:sz w:val="18"/>
              </w:rPr>
              <w:t>TRT + campo definitivo</w:t>
            </w:r>
          </w:p>
        </w:tc>
        <w:tc>
          <w:p w14:paraId="199BAD33">
            <w:pPr>
              <w:pStyle w:val="24"/>
              <w:spacing w:after="0"/>
              <w:jc w:val="right"/>
            </w:pPr>
            <w:r>
              <w:rPr>
                <w:rFonts w:ascii="Aptos" w:hAnsi="Aptos"/>
                <w:color w:val="1F2937"/>
                <w:sz w:val="18"/>
              </w:rPr>
              <w:t>0,78 M€</w:t>
            </w:r>
          </w:p>
        </w:tc>
        <w:tc>
          <w:p w14:paraId="33C14D3B">
            <w:pPr>
              <w:pStyle w:val="24"/>
              <w:spacing w:after="0"/>
              <w:jc w:val="right"/>
            </w:pPr>
            <w:r>
              <w:rPr>
                <w:rFonts w:ascii="Aptos" w:hAnsi="Aptos"/>
                <w:color w:val="1F2937"/>
                <w:sz w:val="18"/>
              </w:rPr>
              <w:t>0,60–0,95 M€</w:t>
            </w:r>
          </w:p>
        </w:tc>
        <w:tc>
          <w:p w14:paraId="7B43C397">
            <w:pPr>
              <w:pStyle w:val="24"/>
              <w:spacing w:after="0"/>
              <w:jc w:val="center"/>
            </w:pPr>
            <w:r>
              <w:rPr>
                <w:rFonts w:ascii="Aptos" w:hAnsi="Aptos"/>
                <w:color w:val="1F2937"/>
                <w:sz w:val="18"/>
              </w:rPr>
              <w:t>G2</w:t>
            </w:r>
          </w:p>
        </w:tc>
      </w:tr>
      <w:tr w14:paraId="5D71D0EF">
        <w:tblPrEx>
          <w:tblCellMar>
            <w:top w:w="0" w:type="dxa"/>
            <w:left w:w="108" w:type="dxa"/>
            <w:bottom w:w="0" w:type="dxa"/>
            <w:right w:w="108" w:type="dxa"/>
          </w:tblCellMar>
        </w:tblPrEx>
        <w:tc>
          <w:p w14:paraId="7E6AC088">
            <w:pPr>
              <w:pStyle w:val="24"/>
              <w:spacing w:after="0"/>
              <w:jc w:val="left"/>
            </w:pPr>
            <w:r>
              <w:rPr>
                <w:rFonts w:ascii="Aptos" w:hAnsi="Aptos"/>
                <w:color w:val="1F2937"/>
                <w:sz w:val="18"/>
              </w:rPr>
              <w:t>F3</w:t>
            </w:r>
          </w:p>
        </w:tc>
        <w:tc>
          <w:p w14:paraId="3233AC7F">
            <w:pPr>
              <w:pStyle w:val="24"/>
              <w:spacing w:after="0"/>
              <w:jc w:val="left"/>
            </w:pPr>
            <w:r>
              <w:rPr>
                <w:rFonts w:ascii="Aptos" w:hAnsi="Aptos"/>
                <w:color w:val="1F2937"/>
                <w:sz w:val="18"/>
              </w:rPr>
              <w:t>Invernadero 1 ha + hidroponía + automatización</w:t>
            </w:r>
          </w:p>
        </w:tc>
        <w:tc>
          <w:p w14:paraId="30B36D01">
            <w:pPr>
              <w:pStyle w:val="24"/>
              <w:spacing w:after="0"/>
              <w:jc w:val="left"/>
            </w:pPr>
            <w:r>
              <w:rPr>
                <w:rFonts w:ascii="Aptos" w:hAnsi="Aptos"/>
                <w:color w:val="1F2937"/>
                <w:sz w:val="18"/>
              </w:rPr>
              <w:t>1 ha, multicapilla</w:t>
            </w:r>
          </w:p>
        </w:tc>
        <w:tc>
          <w:p w14:paraId="410BE941">
            <w:pPr>
              <w:pStyle w:val="24"/>
              <w:spacing w:after="0"/>
              <w:jc w:val="right"/>
            </w:pPr>
            <w:r>
              <w:rPr>
                <w:rFonts w:ascii="Aptos" w:hAnsi="Aptos"/>
                <w:color w:val="1F2937"/>
                <w:sz w:val="18"/>
              </w:rPr>
              <w:t>1,63 M€</w:t>
            </w:r>
          </w:p>
        </w:tc>
        <w:tc>
          <w:p w14:paraId="2584E0AC">
            <w:pPr>
              <w:pStyle w:val="24"/>
              <w:spacing w:after="0"/>
              <w:jc w:val="right"/>
            </w:pPr>
            <w:r>
              <w:rPr>
                <w:rFonts w:ascii="Aptos" w:hAnsi="Aptos"/>
                <w:color w:val="1F2937"/>
                <w:sz w:val="18"/>
              </w:rPr>
              <w:t>1,27–2,00 M€</w:t>
            </w:r>
          </w:p>
        </w:tc>
        <w:tc>
          <w:p w14:paraId="6D1694D2">
            <w:pPr>
              <w:pStyle w:val="24"/>
              <w:spacing w:after="0"/>
              <w:jc w:val="center"/>
            </w:pPr>
            <w:r>
              <w:rPr>
                <w:rFonts w:ascii="Aptos" w:hAnsi="Aptos"/>
                <w:color w:val="1F2937"/>
                <w:sz w:val="18"/>
              </w:rPr>
              <w:t>G3</w:t>
            </w:r>
          </w:p>
        </w:tc>
      </w:tr>
      <w:tr w14:paraId="4607D0F6">
        <w:tblPrEx>
          <w:tblCellMar>
            <w:top w:w="0" w:type="dxa"/>
            <w:left w:w="108" w:type="dxa"/>
            <w:bottom w:w="0" w:type="dxa"/>
            <w:right w:w="108" w:type="dxa"/>
          </w:tblCellMar>
        </w:tblPrEx>
        <w:tc>
          <w:p w14:paraId="6836DFF0">
            <w:pPr>
              <w:pStyle w:val="24"/>
              <w:spacing w:after="0"/>
              <w:jc w:val="left"/>
            </w:pPr>
            <w:r>
              <w:rPr>
                <w:rFonts w:ascii="Aptos" w:hAnsi="Aptos"/>
                <w:color w:val="1F2937"/>
                <w:sz w:val="18"/>
              </w:rPr>
              <w:t>F4</w:t>
            </w:r>
          </w:p>
        </w:tc>
        <w:tc>
          <w:p w14:paraId="2DF64CBF">
            <w:pPr>
              <w:pStyle w:val="24"/>
              <w:spacing w:after="0"/>
              <w:jc w:val="left"/>
            </w:pPr>
            <w:r>
              <w:rPr>
                <w:rFonts w:ascii="Aptos" w:hAnsi="Aptos"/>
                <w:color w:val="1F2937"/>
                <w:sz w:val="18"/>
              </w:rPr>
              <w:t>Agrovoltaica + conexión</w:t>
            </w:r>
          </w:p>
        </w:tc>
        <w:tc>
          <w:p w14:paraId="19F1AE56">
            <w:pPr>
              <w:pStyle w:val="24"/>
              <w:spacing w:after="0"/>
              <w:jc w:val="left"/>
            </w:pPr>
            <w:r>
              <w:rPr>
                <w:rFonts w:ascii="Aptos" w:hAnsi="Aptos"/>
                <w:color w:val="1F2937"/>
                <w:sz w:val="18"/>
              </w:rPr>
              <w:t>1,3 MWp (1.600–1.770 €/kW)</w:t>
            </w:r>
          </w:p>
        </w:tc>
        <w:tc>
          <w:p w14:paraId="4DBFADC2">
            <w:pPr>
              <w:pStyle w:val="24"/>
              <w:spacing w:after="0"/>
              <w:jc w:val="right"/>
            </w:pPr>
            <w:r>
              <w:rPr>
                <w:rFonts w:ascii="Aptos" w:hAnsi="Aptos"/>
                <w:color w:val="1F2937"/>
                <w:sz w:val="18"/>
              </w:rPr>
              <w:t>2,925 M€</w:t>
            </w:r>
          </w:p>
        </w:tc>
        <w:tc>
          <w:p w14:paraId="7E3B9A65">
            <w:pPr>
              <w:pStyle w:val="24"/>
              <w:spacing w:after="0"/>
              <w:jc w:val="right"/>
            </w:pPr>
            <w:r>
              <w:rPr>
                <w:rFonts w:ascii="Aptos" w:hAnsi="Aptos"/>
                <w:color w:val="1F2937"/>
                <w:sz w:val="18"/>
              </w:rPr>
              <w:t>2,60–3,24 M€</w:t>
            </w:r>
          </w:p>
        </w:tc>
        <w:tc>
          <w:p w14:paraId="2F158F96">
            <w:pPr>
              <w:pStyle w:val="24"/>
              <w:spacing w:after="0"/>
              <w:jc w:val="center"/>
            </w:pPr>
            <w:r>
              <w:rPr>
                <w:rFonts w:ascii="Aptos" w:hAnsi="Aptos"/>
                <w:color w:val="1F2937"/>
                <w:sz w:val="18"/>
              </w:rPr>
              <w:t>G4</w:t>
            </w:r>
          </w:p>
        </w:tc>
      </w:tr>
      <w:tr w14:paraId="559588A2">
        <w:tblPrEx>
          <w:tblCellMar>
            <w:top w:w="0" w:type="dxa"/>
            <w:left w:w="108" w:type="dxa"/>
            <w:bottom w:w="0" w:type="dxa"/>
            <w:right w:w="108" w:type="dxa"/>
          </w:tblCellMar>
        </w:tblPrEx>
        <w:tc>
          <w:p w14:paraId="7CF9E040">
            <w:pPr>
              <w:pStyle w:val="24"/>
              <w:spacing w:after="0"/>
              <w:jc w:val="left"/>
            </w:pPr>
            <w:r>
              <w:rPr>
                <w:rFonts w:ascii="Aptos" w:hAnsi="Aptos"/>
                <w:color w:val="1F2937"/>
                <w:sz w:val="18"/>
              </w:rPr>
              <w:t>BESS</w:t>
            </w:r>
          </w:p>
        </w:tc>
        <w:tc>
          <w:p w14:paraId="10D9CE6E">
            <w:pPr>
              <w:pStyle w:val="24"/>
              <w:spacing w:after="0"/>
              <w:jc w:val="left"/>
            </w:pPr>
            <w:r>
              <w:rPr>
                <w:rFonts w:ascii="Aptos" w:hAnsi="Aptos"/>
                <w:color w:val="1F2937"/>
                <w:sz w:val="18"/>
              </w:rPr>
              <w:t>Almacenamiento energético</w:t>
            </w:r>
          </w:p>
        </w:tc>
        <w:tc>
          <w:p w14:paraId="731499BA">
            <w:pPr>
              <w:pStyle w:val="24"/>
              <w:spacing w:after="0"/>
              <w:jc w:val="left"/>
            </w:pPr>
            <w:r>
              <w:rPr>
                <w:rFonts w:ascii="Aptos" w:hAnsi="Aptos"/>
                <w:color w:val="1F2937"/>
                <w:sz w:val="18"/>
              </w:rPr>
              <w:t>250–500 kWh</w:t>
            </w:r>
          </w:p>
        </w:tc>
        <w:tc>
          <w:p w14:paraId="7C5DD6E9">
            <w:pPr>
              <w:pStyle w:val="24"/>
              <w:spacing w:after="0"/>
              <w:jc w:val="right"/>
            </w:pPr>
            <w:r>
              <w:rPr>
                <w:rFonts w:ascii="Aptos" w:hAnsi="Aptos"/>
                <w:color w:val="1F2937"/>
                <w:sz w:val="18"/>
              </w:rPr>
              <w:t>0,365 M€</w:t>
            </w:r>
          </w:p>
        </w:tc>
        <w:tc>
          <w:p w14:paraId="6864AB28">
            <w:pPr>
              <w:pStyle w:val="24"/>
              <w:spacing w:after="0"/>
              <w:jc w:val="right"/>
            </w:pPr>
            <w:r>
              <w:rPr>
                <w:rFonts w:ascii="Aptos" w:hAnsi="Aptos"/>
                <w:color w:val="1F2937"/>
                <w:sz w:val="18"/>
              </w:rPr>
              <w:t>0,25–0,53 M€</w:t>
            </w:r>
          </w:p>
        </w:tc>
        <w:tc>
          <w:p w14:paraId="793EBCCD">
            <w:pPr>
              <w:pStyle w:val="24"/>
              <w:spacing w:after="0"/>
              <w:jc w:val="center"/>
            </w:pPr>
            <w:r>
              <w:rPr>
                <w:rFonts w:ascii="Aptos" w:hAnsi="Aptos"/>
                <w:color w:val="1F2937"/>
                <w:sz w:val="18"/>
              </w:rPr>
              <w:t>G4</w:t>
            </w:r>
          </w:p>
        </w:tc>
      </w:tr>
      <w:tr w14:paraId="07A11FA9">
        <w:tblPrEx>
          <w:tblCellMar>
            <w:top w:w="0" w:type="dxa"/>
            <w:left w:w="108" w:type="dxa"/>
            <w:bottom w:w="0" w:type="dxa"/>
            <w:right w:w="108" w:type="dxa"/>
          </w:tblCellMar>
        </w:tblPrEx>
        <w:tc>
          <w:p w14:paraId="07854853">
            <w:pPr>
              <w:pStyle w:val="24"/>
              <w:spacing w:after="0"/>
              <w:jc w:val="left"/>
            </w:pPr>
            <w:r>
              <w:rPr>
                <w:rFonts w:ascii="Aptos" w:hAnsi="Aptos"/>
                <w:color w:val="1F2937"/>
                <w:sz w:val="18"/>
              </w:rPr>
              <w:t>F5</w:t>
            </w:r>
          </w:p>
        </w:tc>
        <w:tc>
          <w:p w14:paraId="5EDD7A66">
            <w:pPr>
              <w:pStyle w:val="24"/>
              <w:spacing w:after="0"/>
              <w:jc w:val="left"/>
            </w:pPr>
            <w:r>
              <w:rPr>
                <w:rFonts w:ascii="Aptos" w:hAnsi="Aptos"/>
                <w:color w:val="1F2937"/>
                <w:sz w:val="18"/>
              </w:rPr>
              <w:t>Datos soberanos (ampliación)</w:t>
            </w:r>
          </w:p>
        </w:tc>
        <w:tc>
          <w:p w14:paraId="616BB52E">
            <w:pPr>
              <w:pStyle w:val="24"/>
              <w:spacing w:after="0"/>
              <w:jc w:val="left"/>
            </w:pPr>
            <w:r>
              <w:rPr>
                <w:rFonts w:ascii="Aptos" w:hAnsi="Aptos"/>
                <w:color w:val="1F2937"/>
                <w:sz w:val="18"/>
              </w:rPr>
              <w:t>escalable</w:t>
            </w:r>
          </w:p>
        </w:tc>
        <w:tc>
          <w:p w14:paraId="6FF9BB1C">
            <w:pPr>
              <w:pStyle w:val="24"/>
              <w:spacing w:after="0"/>
              <w:jc w:val="right"/>
            </w:pPr>
            <w:r>
              <w:rPr>
                <w:rFonts w:ascii="Aptos" w:hAnsi="Aptos"/>
                <w:color w:val="1F2937"/>
                <w:sz w:val="18"/>
              </w:rPr>
              <w:t>0,395 M€</w:t>
            </w:r>
          </w:p>
        </w:tc>
        <w:tc>
          <w:p w14:paraId="69BD0993">
            <w:pPr>
              <w:pStyle w:val="24"/>
              <w:spacing w:after="0"/>
              <w:jc w:val="right"/>
            </w:pPr>
            <w:r>
              <w:rPr>
                <w:rFonts w:ascii="Aptos" w:hAnsi="Aptos"/>
                <w:color w:val="1F2937"/>
                <w:sz w:val="18"/>
              </w:rPr>
              <w:t>0,27–0,56 M€</w:t>
            </w:r>
          </w:p>
        </w:tc>
        <w:tc>
          <w:p w14:paraId="18783897">
            <w:pPr>
              <w:pStyle w:val="24"/>
              <w:spacing w:after="0"/>
              <w:jc w:val="center"/>
            </w:pPr>
            <w:r>
              <w:rPr>
                <w:rFonts w:ascii="Aptos" w:hAnsi="Aptos"/>
                <w:color w:val="1F2937"/>
                <w:sz w:val="18"/>
              </w:rPr>
              <w:t>G5</w:t>
            </w:r>
          </w:p>
        </w:tc>
      </w:tr>
      <w:tr w14:paraId="5EF2D0E1">
        <w:tblPrEx>
          <w:tblCellMar>
            <w:top w:w="0" w:type="dxa"/>
            <w:left w:w="108" w:type="dxa"/>
            <w:bottom w:w="0" w:type="dxa"/>
            <w:right w:w="108" w:type="dxa"/>
          </w:tblCellMar>
        </w:tblPrEx>
        <w:tc>
          <w:p w14:paraId="0CEF78CA">
            <w:pPr>
              <w:pStyle w:val="24"/>
              <w:spacing w:after="0"/>
              <w:jc w:val="left"/>
            </w:pPr>
            <w:r>
              <w:rPr>
                <w:rFonts w:ascii="Aptos" w:hAnsi="Aptos"/>
                <w:b/>
                <w:color w:val="1F2937"/>
                <w:sz w:val="18"/>
              </w:rPr>
              <w:t>Visión completa</w:t>
            </w:r>
          </w:p>
        </w:tc>
        <w:tc>
          <w:p w14:paraId="6FCE5C95">
            <w:pPr>
              <w:pStyle w:val="24"/>
              <w:spacing w:after="0"/>
              <w:jc w:val="left"/>
            </w:pPr>
            <w:r>
              <w:rPr>
                <w:rFonts w:ascii="Aptos" w:hAnsi="Aptos"/>
                <w:b/>
                <w:color w:val="1F2937"/>
                <w:sz w:val="18"/>
              </w:rPr>
              <w:t>Arquitectura integral</w:t>
            </w:r>
          </w:p>
        </w:tc>
        <w:tc>
          <w:p w14:paraId="37E3E7EC">
            <w:pPr>
              <w:pStyle w:val="24"/>
              <w:spacing w:after="0"/>
              <w:jc w:val="left"/>
            </w:pPr>
            <w:r>
              <w:rPr>
                <w:rFonts w:ascii="Aptos" w:hAnsi="Aptos"/>
                <w:color w:val="1F2937"/>
                <w:sz w:val="18"/>
              </w:rPr>
              <w:t>—</w:t>
            </w:r>
          </w:p>
        </w:tc>
        <w:tc>
          <w:p w14:paraId="1B138BB1">
            <w:pPr>
              <w:pStyle w:val="24"/>
              <w:spacing w:after="0"/>
              <w:jc w:val="right"/>
            </w:pPr>
            <w:r>
              <w:rPr>
                <w:rFonts w:ascii="Aptos" w:hAnsi="Aptos"/>
                <w:b/>
                <w:color w:val="1F2937"/>
                <w:sz w:val="18"/>
              </w:rPr>
              <w:t>≈ 6,26 M€</w:t>
            </w:r>
          </w:p>
        </w:tc>
        <w:tc>
          <w:p w14:paraId="34508FAB">
            <w:pPr>
              <w:pStyle w:val="24"/>
              <w:spacing w:after="0"/>
              <w:jc w:val="right"/>
            </w:pPr>
            <w:r>
              <w:rPr>
                <w:rFonts w:ascii="Aptos" w:hAnsi="Aptos"/>
                <w:b/>
                <w:color w:val="1F2937"/>
                <w:sz w:val="18"/>
              </w:rPr>
              <w:t>5,14–7,46 M€</w:t>
            </w:r>
          </w:p>
        </w:tc>
        <w:tc>
          <w:p w14:paraId="1D3363E7">
            <w:pPr>
              <w:pStyle w:val="24"/>
              <w:spacing w:after="0"/>
              <w:jc w:val="center"/>
            </w:pPr>
            <w:r>
              <w:rPr>
                <w:rFonts w:ascii="Aptos" w:hAnsi="Aptos"/>
                <w:color w:val="1F2937"/>
                <w:sz w:val="18"/>
              </w:rPr>
              <w:t>—</w:t>
            </w:r>
          </w:p>
        </w:tc>
      </w:tr>
    </w:tbl>
    <w:p w14:paraId="1B49F86C">
      <w:pPr>
        <w:pStyle w:val="3"/>
      </w:pPr>
      <w:r>
        <w:rPr>
          <w:rFonts w:ascii="Aptos" w:hAnsi="Aptos"/>
          <w:b/>
          <w:color w:val="1F2937"/>
          <w:sz w:val="21"/>
        </w:rPr>
        <w:t>Cada fase futura incluye su operación, no solo su obra.</w:t>
      </w:r>
      <w:r>
        <w:rPr>
          <w:rFonts w:ascii="Aptos" w:hAnsi="Aptos"/>
          <w:color w:val="1F2937"/>
          <w:sz w:val="21"/>
        </w:rPr>
        <w:t xml:space="preserve"> F2 geotermia: CAPEX + ingeniería + apoyo agronómico. F3 invernadero/hidroponía: CAPEX + operarios de producción y automatización. F4 agrovoltaica/BESS: CAPEX + mantenimiento (FV/clima) + expansión comercial. F5 datos soberanos: CAPEX + infraestructura + personal especializado en datos/IA. Cada incorporación de plantilla se </w:t>
      </w:r>
      <w:r>
        <w:rPr>
          <w:rFonts w:ascii="Aptos" w:hAnsi="Aptos"/>
          <w:b/>
          <w:color w:val="1F2937"/>
          <w:sz w:val="21"/>
        </w:rPr>
        <w:t>activa por su Gate</w:t>
      </w:r>
      <w:r>
        <w:rPr>
          <w:rFonts w:ascii="Aptos" w:hAnsi="Aptos"/>
          <w:color w:val="1F2937"/>
          <w:sz w:val="21"/>
        </w:rPr>
        <w:t xml:space="preserve">; el personal de F2–F5 es </w:t>
      </w:r>
      <w:r>
        <w:rPr>
          <w:rFonts w:ascii="Aptos" w:hAnsi="Aptos"/>
          <w:b/>
          <w:color w:val="1F2937"/>
          <w:sz w:val="21"/>
        </w:rPr>
        <w:t>futuro y condicionado</w:t>
      </w:r>
      <w:r>
        <w:rPr>
          <w:rFonts w:ascii="Aptos" w:hAnsi="Aptos"/>
          <w:color w:val="1F2937"/>
          <w:sz w:val="21"/>
        </w:rPr>
        <w:t>, fuera del presupuesto de la Fase 1.</w:t>
      </w:r>
    </w:p>
    <w:p w14:paraId="546BA0DC">
      <w:pPr>
        <w:pStyle w:val="3"/>
      </w:pPr>
      <w:r>
        <w:rPr>
          <w:rFonts w:ascii="Aptos" w:hAnsi="Aptos"/>
          <w:b/>
          <w:color w:val="1F2937"/>
          <w:sz w:val="21"/>
        </w:rPr>
        <w:t>Coherencia energética y productiva (objetivos de régimen, a validar):</w:t>
      </w:r>
      <w:r>
        <w:rPr>
          <w:rFonts w:ascii="Aptos" w:hAnsi="Aptos"/>
          <w:color w:val="1F2937"/>
          <w:sz w:val="21"/>
        </w:rPr>
        <w:t xml:space="preserve"> agrovoltaica </w:t>
      </w:r>
      <w:r>
        <w:rPr>
          <w:rFonts w:ascii="Aptos" w:hAnsi="Aptos"/>
          <w:b/>
          <w:color w:val="1F2937"/>
          <w:sz w:val="21"/>
        </w:rPr>
        <w:t>1,3 MWp ≈ 1,95 GWh/año</w:t>
      </w:r>
      <w:r>
        <w:rPr>
          <w:rFonts w:ascii="Aptos" w:hAnsi="Aptos"/>
          <w:color w:val="1F2937"/>
          <w:sz w:val="21"/>
        </w:rPr>
        <w:t xml:space="preserve">; cobertura del </w:t>
      </w:r>
      <w:r>
        <w:rPr>
          <w:rFonts w:ascii="Aptos" w:hAnsi="Aptos"/>
          <w:b/>
          <w:color w:val="1F2937"/>
          <w:sz w:val="21"/>
        </w:rPr>
        <w:t>80–95 %</w:t>
      </w:r>
      <w:r>
        <w:rPr>
          <w:rFonts w:ascii="Aptos" w:hAnsi="Aptos"/>
          <w:color w:val="1F2937"/>
          <w:sz w:val="21"/>
        </w:rPr>
        <w:t xml:space="preserve"> del consumo anual en balance energético neto (no implica independencia de red); producción hortícola </w:t>
      </w:r>
      <w:r>
        <w:rPr>
          <w:rFonts w:ascii="Aptos" w:hAnsi="Aptos"/>
          <w:b/>
          <w:color w:val="1F2937"/>
          <w:sz w:val="21"/>
        </w:rPr>
        <w:t>120–180 t/año</w:t>
      </w:r>
      <w:r>
        <w:rPr>
          <w:rFonts w:ascii="Aptos" w:hAnsi="Aptos"/>
          <w:color w:val="1F2937"/>
          <w:sz w:val="21"/>
        </w:rPr>
        <w:t xml:space="preserve"> en hidroponía recirculante. La envolvente única de planificación es </w:t>
      </w:r>
      <w:r>
        <w:rPr>
          <w:rFonts w:ascii="Aptos" w:hAnsi="Aptos"/>
          <w:b/>
          <w:color w:val="1F2937"/>
          <w:sz w:val="21"/>
        </w:rPr>
        <w:t>prudente 5,14 M€ / central 6,26 M€ / techo 7,46 M€</w:t>
      </w:r>
      <w:r>
        <w:rPr>
          <w:rFonts w:ascii="Aptos" w:hAnsi="Aptos"/>
          <w:color w:val="1F2937"/>
          <w:sz w:val="21"/>
        </w:rPr>
        <w:t xml:space="preserve"> (suma directa de los escenarios prudente/central/techo de F1–F5, sin rangos paralelos). Estas partidas </w:t>
      </w:r>
      <w:r>
        <w:rPr>
          <w:rFonts w:ascii="Aptos" w:hAnsi="Aptos"/>
          <w:b/>
          <w:color w:val="1F2937"/>
          <w:sz w:val="21"/>
        </w:rPr>
        <w:t>no forman parte del CAPEX de arranque</w:t>
      </w:r>
      <w:r>
        <w:rPr>
          <w:rFonts w:ascii="Aptos" w:hAnsi="Aptos"/>
          <w:color w:val="1F2937"/>
          <w:sz w:val="21"/>
        </w:rPr>
        <w:t xml:space="preserve"> ni constituyen compromisos de gasto o financiación disponible: son una </w:t>
      </w:r>
      <w:r>
        <w:rPr>
          <w:rFonts w:ascii="Aptos" w:hAnsi="Aptos"/>
          <w:b/>
          <w:color w:val="1F2937"/>
          <w:sz w:val="21"/>
        </w:rPr>
        <w:t>arquitectura de inversión condicionada</w:t>
      </w:r>
      <w:r>
        <w:rPr>
          <w:rFonts w:ascii="Aptos" w:hAnsi="Aptos"/>
          <w:color w:val="1F2937"/>
          <w:sz w:val="21"/>
        </w:rPr>
        <w:t>, base de futura financiación, inversión y ayudas competitivas, que se activa únicamente cuando el Gate anterior (evidencia técnica, comercial y financiera) la justifica.</w:t>
      </w:r>
    </w:p>
    <w:p w14:paraId="6DD1B302">
      <w:pPr>
        <w:pStyle w:val="4"/>
      </w:pPr>
      <w:bookmarkStart w:id="32" w:name="Xd9d49d1ba738c728f6e15218ffea862e7911ae0"/>
      <w:r>
        <w:rPr>
          <w:rFonts w:ascii="Aptos Display" w:hAnsi="Aptos Display"/>
          <w:b/>
          <w:color w:val="174A2E"/>
          <w:sz w:val="21"/>
        </w:rPr>
        <w:t>4.3bis. Consolidación de la Fase 1: cumplimiento, GaiaChain y auditorías</w:t>
      </w:r>
      <w:bookmarkEnd w:id="32"/>
    </w:p>
    <w:p w14:paraId="4AF7492E">
      <w:pPr>
        <w:pStyle w:val="23"/>
      </w:pPr>
      <w:r>
        <w:rPr>
          <w:rFonts w:ascii="Aptos" w:hAnsi="Aptos"/>
          <w:b/>
          <w:color w:val="1F2937"/>
          <w:sz w:val="21"/>
        </w:rPr>
        <w:t>Cumplimiento y certificaciones (condicionadas).</w:t>
      </w:r>
      <w:r>
        <w:rPr>
          <w:rFonts w:ascii="Aptos" w:hAnsi="Aptos"/>
          <w:color w:val="1F2937"/>
          <w:sz w:val="21"/>
        </w:rPr>
        <w:t xml:space="preserve"> La preparación y adecuación a </w:t>
      </w:r>
      <w:r>
        <w:rPr>
          <w:rFonts w:ascii="Aptos" w:hAnsi="Aptos"/>
          <w:b/>
          <w:color w:val="1F2937"/>
          <w:sz w:val="21"/>
        </w:rPr>
        <w:t>ISO/IEC 27001:2022</w:t>
      </w:r>
      <w:r>
        <w:rPr>
          <w:rFonts w:ascii="Aptos" w:hAnsi="Aptos"/>
          <w:color w:val="1F2937"/>
          <w:sz w:val="21"/>
        </w:rPr>
        <w:t xml:space="preserve"> se contempla como parte del refuerzo de seguridad y gobernanza, con </w:t>
      </w:r>
      <w:r>
        <w:rPr>
          <w:rFonts w:ascii="Aptos" w:hAnsi="Aptos"/>
          <w:b/>
          <w:color w:val="1F2937"/>
          <w:sz w:val="21"/>
        </w:rPr>
        <w:t>certificación externa solo en caso de resultar aplicable, comercialmente necesaria o exigible</w:t>
      </w:r>
      <w:r>
        <w:rPr>
          <w:rFonts w:ascii="Aptos" w:hAnsi="Aptos"/>
          <w:color w:val="1F2937"/>
          <w:sz w:val="21"/>
        </w:rPr>
        <w:t xml:space="preserve"> por cliente, mercado o estrategia. Del mismo modo, la </w:t>
      </w:r>
      <w:r>
        <w:rPr>
          <w:rFonts w:ascii="Aptos" w:hAnsi="Aptos"/>
          <w:b/>
          <w:color w:val="1F2937"/>
          <w:sz w:val="21"/>
        </w:rPr>
        <w:t>adecuación al ENS</w:t>
      </w:r>
      <w:r>
        <w:rPr>
          <w:rFonts w:ascii="Aptos" w:hAnsi="Aptos"/>
          <w:color w:val="1F2937"/>
          <w:sz w:val="21"/>
        </w:rPr>
        <w:t xml:space="preserve"> y su eventual certificación se abordarán únicamente cuando el ámbito, el cliente o la </w:t>
      </w:r>
      <w:r>
        <w:rPr>
          <w:rFonts w:ascii="Aptos" w:hAnsi="Aptos"/>
          <w:b/>
          <w:color w:val="1F2937"/>
          <w:sz w:val="21"/>
        </w:rPr>
        <w:t>categoría del sistema</w:t>
      </w:r>
      <w:r>
        <w:rPr>
          <w:rFonts w:ascii="Aptos" w:hAnsi="Aptos"/>
          <w:color w:val="1F2937"/>
          <w:sz w:val="21"/>
        </w:rPr>
        <w:t xml:space="preserve"> lo justifiquen. En todos los casos, las actividades de cumplimiento, auditoría y verificación externa se presupuestan como </w:t>
      </w:r>
      <w:r>
        <w:rPr>
          <w:rFonts w:ascii="Aptos" w:hAnsi="Aptos"/>
          <w:b/>
          <w:color w:val="1F2937"/>
          <w:sz w:val="21"/>
        </w:rPr>
        <w:t>procesos condicionados a su aplicabilidad real, no como obligaciones automáticas</w:t>
      </w:r>
      <w:r>
        <w:rPr>
          <w:rFonts w:ascii="Aptos" w:hAnsi="Aptos"/>
          <w:color w:val="1F2937"/>
          <w:sz w:val="21"/>
        </w:rPr>
        <w:t xml:space="preserve"> desde el primer día. La conformidad y la auditoría del ENS se tratan como procesos aplicables únicamente cuando el caso de uso y el cliente lo requieran formalmente.</w:t>
      </w:r>
    </w:p>
    <w:p w14:paraId="008DCF6C">
      <w:pPr>
        <w:pStyle w:val="3"/>
      </w:pPr>
      <w:r>
        <w:rPr>
          <w:rFonts w:ascii="Aptos" w:hAnsi="Aptos"/>
          <w:b/>
          <w:color w:val="1F2937"/>
          <w:sz w:val="21"/>
        </w:rPr>
        <w:t>GaiaChain / TRAZALIA (refuerzo técnico).</w:t>
      </w:r>
      <w:r>
        <w:rPr>
          <w:rFonts w:ascii="Aptos" w:hAnsi="Aptos"/>
          <w:color w:val="1F2937"/>
          <w:sz w:val="21"/>
        </w:rPr>
        <w:t xml:space="preserve"> La Fase 1 incorpora un </w:t>
      </w:r>
      <w:r>
        <w:rPr>
          <w:rFonts w:ascii="Aptos" w:hAnsi="Aptos"/>
          <w:b/>
          <w:color w:val="1F2937"/>
          <w:sz w:val="21"/>
        </w:rPr>
        <w:t>refuerzo específico</w:t>
      </w:r>
      <w:r>
        <w:rPr>
          <w:rFonts w:ascii="Aptos" w:hAnsi="Aptos"/>
          <w:color w:val="1F2937"/>
          <w:sz w:val="21"/>
        </w:rPr>
        <w:t xml:space="preserve"> de la capa GaiaChain/TRAZALIA, orientado a robustecer trazabilidad, integridad, validación de lotes, gestión de evidencias y conexión con el SEV. El objetivo es consolidar la capacidad técnica ya existente y preparar una capa de trazabilidad </w:t>
      </w:r>
      <w:r>
        <w:rPr>
          <w:rFonts w:ascii="Aptos" w:hAnsi="Aptos"/>
          <w:b/>
          <w:color w:val="1F2937"/>
          <w:sz w:val="21"/>
        </w:rPr>
        <w:t>apta para operación comercial</w:t>
      </w:r>
      <w:r>
        <w:rPr>
          <w:rFonts w:ascii="Aptos" w:hAnsi="Aptos"/>
          <w:color w:val="1F2937"/>
          <w:sz w:val="21"/>
        </w:rPr>
        <w:t xml:space="preserve">; se entiende como </w:t>
      </w:r>
      <w:r>
        <w:rPr>
          <w:rFonts w:ascii="Aptos" w:hAnsi="Aptos"/>
          <w:b/>
          <w:color w:val="1F2937"/>
          <w:sz w:val="21"/>
        </w:rPr>
        <w:t>refuerzo técnico</w:t>
      </w:r>
      <w:r>
        <w:rPr>
          <w:rFonts w:ascii="Aptos" w:hAnsi="Aptos"/>
          <w:color w:val="1F2937"/>
          <w:sz w:val="21"/>
        </w:rPr>
        <w:t xml:space="preserve"> (hardening, integración SEV, pruebas de integridad y auditoría técnica independiente), </w:t>
      </w:r>
      <w:r>
        <w:rPr>
          <w:rFonts w:ascii="Aptos" w:hAnsi="Aptos"/>
          <w:b/>
          <w:color w:val="1F2937"/>
          <w:sz w:val="21"/>
        </w:rPr>
        <w:t>no como una “certificación blockchain”</w:t>
      </w:r>
      <w:r>
        <w:rPr>
          <w:rFonts w:ascii="Aptos" w:hAnsi="Aptos"/>
          <w:color w:val="1F2937"/>
          <w:sz w:val="21"/>
        </w:rPr>
        <w:t>, salvo que se identifique un esquema formal aplicable.</w:t>
      </w:r>
    </w:p>
    <w:p w14:paraId="0A9EA420">
      <w:pPr>
        <w:pStyle w:val="3"/>
      </w:pPr>
      <w:r>
        <w:rPr>
          <w:rFonts w:ascii="Aptos" w:hAnsi="Aptos"/>
          <w:b/>
          <w:color w:val="1F2937"/>
          <w:sz w:val="21"/>
        </w:rPr>
        <w:t>Auditorías externas y verificación independiente (aplicables).</w:t>
      </w:r>
      <w:r>
        <w:rPr>
          <w:rFonts w:ascii="Aptos" w:hAnsi="Aptos"/>
          <w:color w:val="1F2937"/>
          <w:sz w:val="21"/>
        </w:rPr>
        <w:t xml:space="preserve"> La Fase 1 contempla auditorías externas y verificaciones independientes </w:t>
      </w:r>
      <w:r>
        <w:rPr>
          <w:rFonts w:ascii="Aptos" w:hAnsi="Aptos"/>
          <w:b/>
          <w:color w:val="1F2937"/>
          <w:sz w:val="21"/>
        </w:rPr>
        <w:t>únicamente en los ámbitos que resulten aplicables</w:t>
      </w:r>
      <w:r>
        <w:rPr>
          <w:rFonts w:ascii="Aptos" w:hAnsi="Aptos"/>
          <w:color w:val="1F2937"/>
          <w:sz w:val="21"/>
        </w:rPr>
        <w:t xml:space="preserve"> al alcance operativo: pruebas de seguridad (pentest), revisión de arquitectura, revisión de cumplimiento, revisión del sistema de evidencias (SEV) y refuerzo de trazabilidad (GaiaChain). </w:t>
      </w:r>
      <w:r>
        <w:rPr>
          <w:rFonts w:ascii="Aptos" w:hAnsi="Aptos"/>
          <w:b/>
          <w:color w:val="1F2937"/>
          <w:sz w:val="21"/>
        </w:rPr>
        <w:t>Ningún proceso de auditoría se considera activado si no existe aplicabilidad, presupuesto o necesidad de mercado debidamente identificada</w:t>
      </w:r>
      <w:r>
        <w:rPr>
          <w:rFonts w:ascii="Aptos" w:hAnsi="Aptos"/>
          <w:color w:val="1F2937"/>
          <w:sz w:val="21"/>
        </w:rPr>
        <w:t xml:space="preserve"> (§4.3bis y §4.3bis del Excel).</w:t>
      </w:r>
    </w:p>
    <w:p w14:paraId="72C18320">
      <w:pPr>
        <w:pStyle w:val="3"/>
      </w:pPr>
      <w:r>
        <w:rPr>
          <w:rFonts w:ascii="Aptos" w:hAnsi="Aptos"/>
          <w:b/>
          <w:color w:val="1F2937"/>
          <w:sz w:val="21"/>
        </w:rPr>
        <w:t>Resumen financiero (Fase 1).</w:t>
      </w:r>
      <w:r>
        <w:rPr>
          <w:rFonts w:ascii="Aptos" w:hAnsi="Aptos"/>
          <w:color w:val="1F2937"/>
          <w:sz w:val="21"/>
        </w:rPr>
        <w:t xml:space="preserve"> CASTÚO-SYSTEM™ establece una envolvente de ejecución inicial de </w:t>
      </w:r>
      <w:r>
        <w:rPr>
          <w:rFonts w:ascii="Aptos" w:hAnsi="Aptos"/>
          <w:b/>
          <w:color w:val="1F2937"/>
          <w:sz w:val="21"/>
        </w:rPr>
        <w:t>165.000–195.000 €, con un escenario central de 180.000 €</w:t>
      </w:r>
      <w:r>
        <w:rPr>
          <w:rFonts w:ascii="Aptos" w:hAnsi="Aptos"/>
          <w:color w:val="1F2937"/>
          <w:sz w:val="21"/>
        </w:rPr>
        <w:t xml:space="preserve">. Las partidas de certificación externa se ejecutarán únicamente cuando resulten aplicables o comercialmente necesarias. El escenario central de 180.000 €; el techo es de 195.000 € </w:t>
      </w:r>
      <w:r>
        <w:rPr>
          <w:rFonts w:ascii="Aptos" w:hAnsi="Aptos"/>
          <w:b/>
          <w:color w:val="1F2937"/>
          <w:sz w:val="21"/>
        </w:rPr>
        <w:t>no representa gasto comprometido ni financiación disponible</w:t>
      </w:r>
      <w:r>
        <w:rPr>
          <w:rFonts w:ascii="Aptos" w:hAnsi="Aptos"/>
          <w:color w:val="1F2937"/>
          <w:sz w:val="21"/>
        </w:rPr>
        <w:t xml:space="preserve">: es una capacidad máxima de ejecución para absorber desviaciones justificadas, requisitos regulatorios determinados durante el análisis de aplicabilidad, refuerzos de seguridad, auditorías adicionales o incidencias técnicas. </w:t>
      </w:r>
      <w:r>
        <w:rPr>
          <w:rFonts w:ascii="Aptos" w:hAnsi="Aptos"/>
          <w:i/>
          <w:color w:val="1F2937"/>
          <w:sz w:val="21"/>
        </w:rPr>
        <w:t>La pregunta no es cuánto puede llegar a costar CASTÚO-SYSTEM™ en su visión completa, sino cuánto necesita para convertir su activo tecnológico actual en una empresa operativa y validada.</w:t>
      </w:r>
      <w:r>
        <w:rPr>
          <w:rFonts w:ascii="Aptos" w:hAnsi="Aptos"/>
          <w:color w:val="1F2937"/>
          <w:sz w:val="21"/>
        </w:rPr>
        <w:t xml:space="preserve"> Por ello la Fase 1 se limita a 165.000–195.000 €, mientras que las inversiones de infraestructura mayor permanecen condicionadas a Gates posteriores.</w:t>
      </w:r>
    </w:p>
    <w:p w14:paraId="7DE3155B">
      <w:pPr>
        <w:pStyle w:val="4"/>
      </w:pPr>
      <w:bookmarkStart w:id="33" w:name="X5fa46d929e5be581276c95b3742f64b16b4d641"/>
      <w:r>
        <w:rPr>
          <w:rFonts w:ascii="Aptos Display" w:hAnsi="Aptos Display"/>
          <w:b/>
          <w:color w:val="174A2E"/>
          <w:sz w:val="21"/>
        </w:rPr>
        <w:t>4.4. Hoja de ruta empresarial, financiación escalonada y continuidad</w:t>
      </w:r>
      <w:bookmarkEnd w:id="33"/>
    </w:p>
    <w:tbl>
      <w:tblPr>
        <w:tblStyle w:val="28"/>
        <w:tblW w:w="5000" w:type="pct"/>
        <w:jc w:val="center"/>
        <w:tblInd w:w="0" w:type="dxa"/>
        <w:tblLayout w:type="fixed"/>
        <w:tblCellMar>
          <w:top w:w="0" w:type="dxa"/>
          <w:left w:w="108" w:type="dxa"/>
          <w:bottom w:w="0" w:type="dxa"/>
          <w:right w:w="108" w:type="dxa"/>
        </w:tblCellMar>
      </w:tblPr>
      <w:tblGrid>
        <w:gridCol w:w="1980"/>
        <w:gridCol w:w="1980"/>
        <w:gridCol w:w="1980"/>
        <w:gridCol w:w="1980"/>
      </w:tblGrid>
      <w:tr w14:paraId="60FED34E">
        <w:tblPrEx>
          <w:tblCellMar>
            <w:top w:w="0" w:type="dxa"/>
            <w:left w:w="108" w:type="dxa"/>
            <w:bottom w:w="0" w:type="dxa"/>
            <w:right w:w="108" w:type="dxa"/>
          </w:tblCellMar>
        </w:tblPrEx>
        <w:tc>
          <w:tcPr>
            <w:tcW w:w="2340" w:type="dxa"/>
            <w:tcBorders>
              <w:bottom w:val="single" w:color="auto" w:sz="0" w:space="0"/>
            </w:tcBorders>
            <w:vAlign w:val="bottom"/>
          </w:tcPr>
          <w:p w14:paraId="49F500EB">
            <w:pPr>
              <w:pStyle w:val="24"/>
              <w:spacing w:after="0"/>
              <w:jc w:val="left"/>
            </w:pPr>
            <w:r>
              <w:rPr>
                <w:rFonts w:ascii="Aptos" w:hAnsi="Aptos"/>
                <w:color w:val="1F2937"/>
                <w:sz w:val="18"/>
              </w:rPr>
              <w:t>Etapa empresarial</w:t>
            </w:r>
          </w:p>
        </w:tc>
        <w:tc>
          <w:tcPr>
            <w:tcW w:w="2340" w:type="dxa"/>
            <w:tcBorders>
              <w:bottom w:val="single" w:color="auto" w:sz="0" w:space="0"/>
            </w:tcBorders>
            <w:vAlign w:val="bottom"/>
          </w:tcPr>
          <w:p w14:paraId="7B4937B4">
            <w:pPr>
              <w:pStyle w:val="24"/>
              <w:spacing w:after="0"/>
              <w:jc w:val="left"/>
            </w:pPr>
            <w:r>
              <w:rPr>
                <w:rFonts w:ascii="Aptos" w:hAnsi="Aptos"/>
                <w:color w:val="1F2937"/>
                <w:sz w:val="18"/>
              </w:rPr>
              <w:t>Objetivo</w:t>
            </w:r>
          </w:p>
        </w:tc>
        <w:tc>
          <w:tcPr>
            <w:tcW w:w="2340" w:type="dxa"/>
            <w:tcBorders>
              <w:bottom w:val="single" w:color="auto" w:sz="0" w:space="0"/>
            </w:tcBorders>
            <w:vAlign w:val="bottom"/>
          </w:tcPr>
          <w:p w14:paraId="6E883310">
            <w:pPr>
              <w:pStyle w:val="24"/>
              <w:spacing w:after="0"/>
              <w:jc w:val="left"/>
            </w:pPr>
            <w:r>
              <w:rPr>
                <w:rFonts w:ascii="Aptos" w:hAnsi="Aptos"/>
                <w:color w:val="1F2937"/>
                <w:sz w:val="18"/>
              </w:rPr>
              <w:t>Hito que la habilita</w:t>
            </w:r>
          </w:p>
        </w:tc>
        <w:tc>
          <w:tcPr>
            <w:tcW w:w="2340" w:type="dxa"/>
            <w:tcBorders>
              <w:bottom w:val="single" w:color="auto" w:sz="0" w:space="0"/>
            </w:tcBorders>
            <w:vAlign w:val="bottom"/>
          </w:tcPr>
          <w:p w14:paraId="3D61AA86">
            <w:pPr>
              <w:pStyle w:val="24"/>
              <w:spacing w:after="0"/>
              <w:jc w:val="left"/>
            </w:pPr>
            <w:r>
              <w:rPr>
                <w:rFonts w:ascii="Aptos" w:hAnsi="Aptos"/>
                <w:color w:val="1F2937"/>
                <w:sz w:val="18"/>
              </w:rPr>
              <w:t>Horizonte</w:t>
            </w:r>
          </w:p>
        </w:tc>
      </w:tr>
      <w:tr w14:paraId="52E5C75A">
        <w:tblPrEx>
          <w:tblCellMar>
            <w:top w:w="0" w:type="dxa"/>
            <w:left w:w="108" w:type="dxa"/>
            <w:bottom w:w="0" w:type="dxa"/>
            <w:right w:w="108" w:type="dxa"/>
          </w:tblCellMar>
        </w:tblPrEx>
        <w:tc>
          <w:p w14:paraId="4B4EA38D">
            <w:pPr>
              <w:pStyle w:val="24"/>
              <w:spacing w:after="0"/>
              <w:jc w:val="left"/>
            </w:pPr>
            <w:r>
              <w:rPr>
                <w:rFonts w:ascii="Aptos" w:hAnsi="Aptos"/>
                <w:color w:val="1F2937"/>
                <w:sz w:val="18"/>
              </w:rPr>
              <w:t>Validación (F1)</w:t>
            </w:r>
          </w:p>
        </w:tc>
        <w:tc>
          <w:p w14:paraId="2CDA5D5F">
            <w:pPr>
              <w:pStyle w:val="24"/>
              <w:spacing w:after="0"/>
              <w:jc w:val="left"/>
            </w:pPr>
            <w:r>
              <w:rPr>
                <w:rFonts w:ascii="Aptos" w:hAnsi="Aptos"/>
                <w:color w:val="1F2937"/>
                <w:sz w:val="18"/>
              </w:rPr>
              <w:t>SaaS + módulo terracota + TRT + ≥5 clientes remunerados</w:t>
            </w:r>
          </w:p>
        </w:tc>
        <w:tc>
          <w:p w14:paraId="25F2FAA4">
            <w:pPr>
              <w:pStyle w:val="24"/>
              <w:spacing w:after="0"/>
              <w:jc w:val="left"/>
            </w:pPr>
            <w:r>
              <w:rPr>
                <w:rFonts w:ascii="Aptos" w:hAnsi="Aptos"/>
                <w:color w:val="1F2937"/>
                <w:sz w:val="18"/>
              </w:rPr>
              <w:t>Gate G1</w:t>
            </w:r>
          </w:p>
        </w:tc>
        <w:tc>
          <w:p w14:paraId="068FC4F7">
            <w:pPr>
              <w:pStyle w:val="24"/>
              <w:spacing w:after="0"/>
              <w:jc w:val="left"/>
            </w:pPr>
            <w:r>
              <w:rPr>
                <w:rFonts w:ascii="Aptos" w:hAnsi="Aptos"/>
                <w:color w:val="1F2937"/>
                <w:sz w:val="18"/>
              </w:rPr>
              <w:t>~18 meses</w:t>
            </w:r>
          </w:p>
        </w:tc>
      </w:tr>
      <w:tr w14:paraId="58ECC848">
        <w:tblPrEx>
          <w:tblCellMar>
            <w:top w:w="0" w:type="dxa"/>
            <w:left w:w="108" w:type="dxa"/>
            <w:bottom w:w="0" w:type="dxa"/>
            <w:right w:w="108" w:type="dxa"/>
          </w:tblCellMar>
        </w:tblPrEx>
        <w:tc>
          <w:p w14:paraId="511437EE">
            <w:pPr>
              <w:pStyle w:val="24"/>
              <w:spacing w:after="0"/>
              <w:jc w:val="left"/>
            </w:pPr>
            <w:r>
              <w:rPr>
                <w:rFonts w:ascii="Aptos" w:hAnsi="Aptos"/>
                <w:color w:val="1F2937"/>
                <w:sz w:val="18"/>
              </w:rPr>
              <w:t>Consolidación local</w:t>
            </w:r>
          </w:p>
        </w:tc>
        <w:tc>
          <w:p w14:paraId="3CB1AD15">
            <w:pPr>
              <w:pStyle w:val="24"/>
              <w:spacing w:after="0"/>
              <w:jc w:val="left"/>
            </w:pPr>
            <w:r>
              <w:rPr>
                <w:rFonts w:ascii="Aptos" w:hAnsi="Aptos"/>
                <w:color w:val="1F2937"/>
                <w:sz w:val="18"/>
              </w:rPr>
              <w:t>Escalado del SaaS en Extremadura; ingresos recurrentes</w:t>
            </w:r>
          </w:p>
        </w:tc>
        <w:tc>
          <w:p w14:paraId="46602B5A">
            <w:pPr>
              <w:pStyle w:val="24"/>
              <w:spacing w:after="0"/>
              <w:jc w:val="left"/>
            </w:pPr>
            <w:r>
              <w:rPr>
                <w:rFonts w:ascii="Aptos" w:hAnsi="Aptos"/>
                <w:color w:val="1F2937"/>
                <w:sz w:val="18"/>
              </w:rPr>
              <w:t>tras G1</w:t>
            </w:r>
          </w:p>
        </w:tc>
        <w:tc>
          <w:p w14:paraId="7A4FE4E4">
            <w:pPr>
              <w:pStyle w:val="24"/>
              <w:spacing w:after="0"/>
              <w:jc w:val="left"/>
            </w:pPr>
            <w:r>
              <w:rPr>
                <w:rFonts w:ascii="Aptos" w:hAnsi="Aptos"/>
                <w:color w:val="1F2937"/>
                <w:sz w:val="18"/>
              </w:rPr>
              <w:t>18–30 meses</w:t>
            </w:r>
          </w:p>
        </w:tc>
      </w:tr>
      <w:tr w14:paraId="4F5A0595">
        <w:tblPrEx>
          <w:tblCellMar>
            <w:top w:w="0" w:type="dxa"/>
            <w:left w:w="108" w:type="dxa"/>
            <w:bottom w:w="0" w:type="dxa"/>
            <w:right w:w="108" w:type="dxa"/>
          </w:tblCellMar>
        </w:tblPrEx>
        <w:tc>
          <w:p w14:paraId="3C100858">
            <w:pPr>
              <w:pStyle w:val="24"/>
              <w:spacing w:after="0"/>
              <w:jc w:val="left"/>
            </w:pPr>
            <w:r>
              <w:rPr>
                <w:rFonts w:ascii="Aptos" w:hAnsi="Aptos"/>
                <w:color w:val="1F2937"/>
                <w:sz w:val="18"/>
              </w:rPr>
              <w:t>Expansión del patrón</w:t>
            </w:r>
          </w:p>
        </w:tc>
        <w:tc>
          <w:p w14:paraId="0C2530D2">
            <w:pPr>
              <w:pStyle w:val="24"/>
              <w:spacing w:after="0"/>
              <w:jc w:val="left"/>
            </w:pPr>
            <w:r>
              <w:rPr>
                <w:rFonts w:ascii="Aptos" w:hAnsi="Aptos"/>
                <w:color w:val="1F2937"/>
                <w:sz w:val="18"/>
              </w:rPr>
              <w:t>Obra por fases en Membrío y primeras réplicas regionales</w:t>
            </w:r>
          </w:p>
        </w:tc>
        <w:tc>
          <w:p w14:paraId="13E9F4C4">
            <w:pPr>
              <w:pStyle w:val="24"/>
              <w:spacing w:after="0"/>
              <w:jc w:val="left"/>
            </w:pPr>
            <w:r>
              <w:rPr>
                <w:rFonts w:ascii="Aptos" w:hAnsi="Aptos"/>
                <w:color w:val="1F2937"/>
                <w:sz w:val="18"/>
              </w:rPr>
              <w:t>G2–G3</w:t>
            </w:r>
          </w:p>
        </w:tc>
        <w:tc>
          <w:p w14:paraId="315B5A07">
            <w:pPr>
              <w:pStyle w:val="24"/>
              <w:spacing w:after="0"/>
              <w:jc w:val="left"/>
            </w:pPr>
            <w:r>
              <w:rPr>
                <w:rFonts w:ascii="Aptos" w:hAnsi="Aptos"/>
                <w:color w:val="1F2937"/>
                <w:sz w:val="18"/>
              </w:rPr>
              <w:t>~28–42 meses</w:t>
            </w:r>
          </w:p>
        </w:tc>
      </w:tr>
      <w:tr w14:paraId="0251BF99">
        <w:tblPrEx>
          <w:tblCellMar>
            <w:top w:w="0" w:type="dxa"/>
            <w:left w:w="108" w:type="dxa"/>
            <w:bottom w:w="0" w:type="dxa"/>
            <w:right w:w="108" w:type="dxa"/>
          </w:tblCellMar>
        </w:tblPrEx>
        <w:tc>
          <w:p w14:paraId="1CE8CF4D">
            <w:pPr>
              <w:pStyle w:val="24"/>
              <w:spacing w:after="0"/>
              <w:jc w:val="left"/>
            </w:pPr>
            <w:r>
              <w:rPr>
                <w:rFonts w:ascii="Aptos" w:hAnsi="Aptos"/>
                <w:color w:val="1F2937"/>
                <w:sz w:val="18"/>
              </w:rPr>
              <w:t>Escalado nacional</w:t>
            </w:r>
          </w:p>
        </w:tc>
        <w:tc>
          <w:p w14:paraId="14AB3AD6">
            <w:pPr>
              <w:pStyle w:val="24"/>
              <w:spacing w:after="0"/>
              <w:jc w:val="left"/>
            </w:pPr>
            <w:r>
              <w:rPr>
                <w:rFonts w:ascii="Aptos" w:hAnsi="Aptos"/>
                <w:color w:val="1F2937"/>
                <w:sz w:val="18"/>
              </w:rPr>
              <w:t>Alianzas con cooperativas y ayuntamientos de otras CC. AA.</w:t>
            </w:r>
          </w:p>
        </w:tc>
        <w:tc>
          <w:p w14:paraId="3B6E183C">
            <w:pPr>
              <w:pStyle w:val="24"/>
              <w:spacing w:after="0"/>
              <w:jc w:val="left"/>
            </w:pPr>
            <w:r>
              <w:rPr>
                <w:rFonts w:ascii="Aptos" w:hAnsi="Aptos"/>
                <w:color w:val="1F2937"/>
                <w:sz w:val="18"/>
              </w:rPr>
              <w:t>G4</w:t>
            </w:r>
          </w:p>
        </w:tc>
        <w:tc>
          <w:p w14:paraId="443C817E">
            <w:pPr>
              <w:pStyle w:val="24"/>
              <w:spacing w:after="0"/>
              <w:jc w:val="left"/>
            </w:pPr>
            <w:r>
              <w:rPr>
                <w:rFonts w:ascii="Aptos" w:hAnsi="Aptos"/>
                <w:color w:val="1F2937"/>
                <w:sz w:val="18"/>
              </w:rPr>
              <w:t>~54 meses</w:t>
            </w:r>
          </w:p>
        </w:tc>
      </w:tr>
      <w:tr w14:paraId="24C68397">
        <w:tblPrEx>
          <w:tblCellMar>
            <w:top w:w="0" w:type="dxa"/>
            <w:left w:w="108" w:type="dxa"/>
            <w:bottom w:w="0" w:type="dxa"/>
            <w:right w:w="108" w:type="dxa"/>
          </w:tblCellMar>
        </w:tblPrEx>
        <w:tc>
          <w:p w14:paraId="2F12CA69">
            <w:pPr>
              <w:pStyle w:val="24"/>
              <w:spacing w:after="0"/>
              <w:jc w:val="left"/>
            </w:pPr>
            <w:r>
              <w:rPr>
                <w:rFonts w:ascii="Aptos" w:hAnsi="Aptos"/>
                <w:color w:val="1F2937"/>
                <w:sz w:val="18"/>
              </w:rPr>
              <w:t>Expansión europea</w:t>
            </w:r>
          </w:p>
        </w:tc>
        <w:tc>
          <w:p w14:paraId="1E37BEC2">
            <w:pPr>
              <w:pStyle w:val="24"/>
              <w:spacing w:after="0"/>
              <w:jc w:val="left"/>
            </w:pPr>
            <w:r>
              <w:rPr>
                <w:rFonts w:ascii="Aptos" w:hAnsi="Aptos"/>
                <w:color w:val="1F2937"/>
                <w:sz w:val="18"/>
              </w:rPr>
              <w:t>Acuerdos o licenciamiento en Portugal y sur de Europa</w:t>
            </w:r>
          </w:p>
        </w:tc>
        <w:tc>
          <w:p w14:paraId="3F200826">
            <w:pPr>
              <w:pStyle w:val="24"/>
              <w:spacing w:after="0"/>
              <w:jc w:val="left"/>
            </w:pPr>
            <w:r>
              <w:rPr>
                <w:rFonts w:ascii="Aptos" w:hAnsi="Aptos"/>
                <w:color w:val="1F2937"/>
                <w:sz w:val="18"/>
              </w:rPr>
              <w:t>post-G4 / Eval. F5</w:t>
            </w:r>
          </w:p>
        </w:tc>
        <w:tc>
          <w:p w14:paraId="76617C49">
            <w:pPr>
              <w:pStyle w:val="24"/>
              <w:spacing w:after="0"/>
              <w:jc w:val="left"/>
            </w:pPr>
            <w:r>
              <w:rPr>
                <w:rFonts w:ascii="Aptos" w:hAnsi="Aptos"/>
                <w:color w:val="1F2937"/>
                <w:sz w:val="18"/>
              </w:rPr>
              <w:t>≥60 meses</w:t>
            </w:r>
          </w:p>
        </w:tc>
      </w:tr>
    </w:tbl>
    <w:p w14:paraId="5D654D81">
      <w:pPr>
        <w:pStyle w:val="3"/>
      </w:pPr>
      <w:r>
        <w:rPr>
          <w:rFonts w:ascii="Aptos" w:hAnsi="Aptos"/>
          <w:b/>
          <w:color w:val="1F2937"/>
          <w:sz w:val="21"/>
        </w:rPr>
        <w:t>Financiación escalonada:</w:t>
      </w:r>
      <w:r>
        <w:rPr>
          <w:rFonts w:ascii="Aptos" w:hAnsi="Aptos"/>
          <w:color w:val="1F2937"/>
          <w:sz w:val="21"/>
        </w:rPr>
        <w:t xml:space="preserve"> (1) programas públicos de emprendimiento e innovación rural —el premio PIE PLUS como catalizador— y </w:t>
      </w:r>
      <w:r>
        <w:rPr>
          <w:rFonts w:ascii="Aptos" w:hAnsi="Aptos"/>
          <w:b/>
          <w:color w:val="1F2937"/>
          <w:sz w:val="21"/>
        </w:rPr>
        <w:t>programas de incubación/aceleración</w:t>
      </w:r>
      <w:r>
        <w:rPr>
          <w:rFonts w:ascii="Aptos" w:hAnsi="Aptos"/>
          <w:color w:val="1F2937"/>
          <w:sz w:val="21"/>
        </w:rPr>
        <w:t xml:space="preserve"> (§8.3); (2) ingresos recurrentes propios; (3) alianzas industriales e institucionales; (4) financiación privada solo con tracción demostrada. </w:t>
      </w:r>
      <w:r>
        <w:rPr>
          <w:rFonts w:ascii="Aptos" w:hAnsi="Aptos"/>
          <w:b/>
          <w:color w:val="1F2937"/>
          <w:sz w:val="21"/>
        </w:rPr>
        <w:t>Plan B declarado:</w:t>
      </w:r>
      <w:r>
        <w:rPr>
          <w:rFonts w:ascii="Aptos" w:hAnsi="Aptos"/>
          <w:color w:val="1F2937"/>
          <w:sz w:val="21"/>
        </w:rPr>
        <w:t xml:space="preserve"> si la cofinanciación pública de F2–F4 no llega, el proyecto se consolida en su Fase 1 como núcleo digital potencialmente rentable tras superar el umbral comercial, ajustar costes y demostrar recurrencia; esa rentabilidad todavía no está acreditada (margen bruto &gt;70 %) y espera la siguiente ventana con más evidencia acumulada.</w:t>
      </w:r>
    </w:p>
    <w:p w14:paraId="00A252B8">
      <w:pPr>
        <w:pStyle w:val="4"/>
      </w:pPr>
      <w:bookmarkStart w:id="34" w:name="coherencia-y-madurez-síntesis"/>
      <w:r>
        <w:rPr>
          <w:rFonts w:ascii="Aptos Display" w:hAnsi="Aptos Display"/>
          <w:b/>
          <w:color w:val="174A2E"/>
          <w:sz w:val="21"/>
        </w:rPr>
        <w:t>4.6. Coherencia y madurez (síntesis)</w:t>
      </w:r>
      <w:bookmarkEnd w:id="34"/>
    </w:p>
    <w:p w14:paraId="4F6D1086">
      <w:pPr>
        <w:pStyle w:val="23"/>
      </w:pPr>
      <w:r>
        <w:rPr>
          <w:rFonts w:ascii="Aptos" w:hAnsi="Aptos"/>
          <w:color w:val="1F2937"/>
          <w:sz w:val="21"/>
        </w:rPr>
        <w:t>La madurez del proyecto se sustenta en el sistema de evidencias (§11), la autoevaluación y matriz de riesgos (§10) y la coherencia memoria–Excel (§4.3). No se duplican aquí para preservar la concisión.</w:t>
      </w:r>
    </w:p>
    <w:p w14:paraId="316DD033">
      <w:pPr>
        <w:pStyle w:val="4"/>
      </w:pPr>
      <w:bookmarkStart w:id="35" w:name="evolución-a-iaas-rural-línea-de-producto"/>
      <w:r>
        <w:rPr>
          <w:rFonts w:ascii="Aptos Display" w:hAnsi="Aptos Display"/>
          <w:b/>
          <w:color w:val="174A2E"/>
          <w:sz w:val="21"/>
        </w:rPr>
        <w:t>4.8. Evolución a IaaS Rural (línea de producto)</w:t>
      </w:r>
      <w:bookmarkEnd w:id="35"/>
    </w:p>
    <w:p w14:paraId="2ABDAA10">
      <w:pPr>
        <w:pStyle w:val="5"/>
      </w:pPr>
      <w:bookmarkStart w:id="36" w:name="tesis-de-evolución"/>
      <w:r>
        <w:rPr>
          <w:rFonts w:ascii="Aptos Display" w:hAnsi="Aptos Display"/>
          <w:b/>
          <w:color w:val="174A2E"/>
          <w:sz w:val="21"/>
        </w:rPr>
        <w:t>4.8.1. Tesis de evolución</w:t>
      </w:r>
      <w:bookmarkEnd w:id="36"/>
    </w:p>
    <w:p w14:paraId="708CC2F7">
      <w:pPr>
        <w:pStyle w:val="23"/>
      </w:pPr>
      <w:r>
        <w:rPr>
          <w:rFonts w:ascii="Aptos" w:hAnsi="Aptos"/>
          <w:color w:val="1F2937"/>
          <w:sz w:val="21"/>
        </w:rPr>
        <w:t xml:space="preserve">CASTÚO-SYSTEM™ no es solo una plataforma agro-digital: es un </w:t>
      </w:r>
      <w:r>
        <w:rPr>
          <w:rFonts w:ascii="Aptos" w:hAnsi="Aptos"/>
          <w:b/>
          <w:color w:val="1F2937"/>
          <w:sz w:val="21"/>
        </w:rPr>
        <w:t>patrón técnico-económico completo</w:t>
      </w:r>
      <w:r>
        <w:rPr>
          <w:rFonts w:ascii="Aptos" w:hAnsi="Aptos"/>
          <w:color w:val="1F2937"/>
          <w:sz w:val="21"/>
        </w:rPr>
        <w:t xml:space="preserve"> que, tras validar su núcleo en la Fase 1, evoluciona hacia un </w:t>
      </w:r>
      <w:r>
        <w:rPr>
          <w:rFonts w:ascii="Aptos" w:hAnsi="Aptos"/>
          <w:b/>
          <w:color w:val="1F2937"/>
          <w:sz w:val="21"/>
        </w:rPr>
        <w:t>modelo IaaS rural (Infrastructure as a Service)</w:t>
      </w:r>
      <w:r>
        <w:rPr>
          <w:rFonts w:ascii="Aptos" w:hAnsi="Aptos"/>
          <w:color w:val="1F2937"/>
          <w:sz w:val="21"/>
        </w:rPr>
        <w:t xml:space="preserve">. La evolución no altera la estrategia piloto-primero, la refuerza: primero se valida el núcleo (F1, el prototipo principal y la base de decisión), después se añaden y se </w:t>
      </w:r>
      <w:r>
        <w:rPr>
          <w:rFonts w:ascii="Aptos" w:hAnsi="Aptos"/>
          <w:i/>
          <w:color w:val="1F2937"/>
          <w:sz w:val="21"/>
        </w:rPr>
        <w:t>productizan</w:t>
      </w:r>
      <w:r>
        <w:rPr>
          <w:rFonts w:ascii="Aptos" w:hAnsi="Aptos"/>
          <w:color w:val="1F2937"/>
          <w:sz w:val="21"/>
        </w:rPr>
        <w:t xml:space="preserve"> capas de infraestructura como servicio.</w:t>
      </w:r>
    </w:p>
    <w:p w14:paraId="0BF9846C">
      <w:pPr>
        <w:pStyle w:val="5"/>
      </w:pPr>
      <w:bookmarkStart w:id="37" w:name="Xca2d33b0e5c0bb35f3dd6ea86a30c052a190326"/>
      <w:r>
        <w:rPr>
          <w:rFonts w:ascii="Aptos Display" w:hAnsi="Aptos Display"/>
          <w:b/>
          <w:color w:val="174A2E"/>
          <w:sz w:val="21"/>
        </w:rPr>
        <w:t>4.8.2. Qué es CASTÚO IaaS (definición de producto)</w:t>
      </w:r>
      <w:bookmarkEnd w:id="37"/>
    </w:p>
    <w:p w14:paraId="69627334">
      <w:pPr>
        <w:pStyle w:val="23"/>
      </w:pPr>
      <w:r>
        <w:rPr>
          <w:rFonts w:ascii="Aptos" w:hAnsi="Aptos"/>
          <w:color w:val="1F2937"/>
          <w:sz w:val="21"/>
        </w:rPr>
        <w:t xml:space="preserve">CASTÚO IaaS es la oferta del </w:t>
      </w:r>
      <w:r>
        <w:rPr>
          <w:rFonts w:ascii="Aptos" w:hAnsi="Aptos"/>
          <w:b/>
          <w:color w:val="1F2937"/>
          <w:sz w:val="21"/>
        </w:rPr>
        <w:t>patrón validado como servicio replicable</w:t>
      </w:r>
      <w:r>
        <w:rPr>
          <w:rFonts w:ascii="Aptos" w:hAnsi="Aptos"/>
          <w:color w:val="1F2937"/>
          <w:sz w:val="21"/>
        </w:rPr>
        <w:t xml:space="preserve"> para municipios pequeños, cooperativas y comarcas: en lugar de que cada territorio construya su infraestructura desde cero, CASTÚO despliega e </w:t>
      </w:r>
      <w:r>
        <w:rPr>
          <w:rFonts w:ascii="Aptos" w:hAnsi="Aptos"/>
          <w:b/>
          <w:color w:val="1F2937"/>
          <w:sz w:val="21"/>
        </w:rPr>
        <w:t>opera</w:t>
      </w:r>
      <w:r>
        <w:rPr>
          <w:rFonts w:ascii="Aptos" w:hAnsi="Aptos"/>
          <w:color w:val="1F2937"/>
          <w:sz w:val="21"/>
        </w:rPr>
        <w:t xml:space="preserve"> por ellos un stack estandarizado, multi-tenant y soberano. Se compone de:</w:t>
      </w:r>
    </w:p>
    <w:p w14:paraId="3C959CC4">
      <w:pPr>
        <w:pStyle w:val="24"/>
        <w:numPr>
          <w:ilvl w:val="0"/>
          <w:numId w:val="1"/>
        </w:numPr>
      </w:pPr>
      <w:r>
        <w:rPr>
          <w:rFonts w:ascii="Aptos" w:hAnsi="Aptos"/>
          <w:b/>
          <w:color w:val="1F2937"/>
          <w:sz w:val="21"/>
        </w:rPr>
        <w:t>Capa digital (disponible desde F1):</w:t>
      </w:r>
      <w:r>
        <w:rPr>
          <w:rFonts w:ascii="Aptos" w:hAnsi="Aptos"/>
          <w:color w:val="1F2937"/>
          <w:sz w:val="21"/>
        </w:rPr>
        <w:t xml:space="preserve"> SaaS de gestión y trazabilidad + sensórica IoT + edge local + capa de evidencias (SEV) + gemelo digital (twin) parametrizable, entregados como servicio gestionado con SLA.</w:t>
      </w:r>
    </w:p>
    <w:p w14:paraId="5EC919B5">
      <w:pPr>
        <w:pStyle w:val="24"/>
        <w:numPr>
          <w:ilvl w:val="0"/>
          <w:numId w:val="1"/>
        </w:numPr>
      </w:pPr>
      <w:r>
        <w:rPr>
          <w:rFonts w:ascii="Aptos" w:hAnsi="Aptos"/>
          <w:b/>
          <w:color w:val="1F2937"/>
          <w:sz w:val="21"/>
        </w:rPr>
        <w:t>Capa física como servicio (condicional a Gates):</w:t>
      </w:r>
      <w:r>
        <w:rPr>
          <w:rFonts w:ascii="Aptos" w:hAnsi="Aptos"/>
          <w:color w:val="1F2937"/>
          <w:sz w:val="21"/>
        </w:rPr>
        <w:t xml:space="preserve"> diseño y operación de invernadero de terracota, geotermia y agrovoltaica, ofrecidos por módulos; cada municipio contrata la capa que su Gate local autorice.</w:t>
      </w:r>
    </w:p>
    <w:p w14:paraId="5DB3650C">
      <w:pPr>
        <w:pStyle w:val="24"/>
        <w:numPr>
          <w:ilvl w:val="0"/>
          <w:numId w:val="1"/>
        </w:numPr>
      </w:pPr>
      <w:r>
        <w:rPr>
          <w:rFonts w:ascii="Aptos" w:hAnsi="Aptos"/>
          <w:b/>
          <w:color w:val="1F2937"/>
          <w:sz w:val="21"/>
        </w:rPr>
        <w:t>Capa de datos soberana:</w:t>
      </w:r>
      <w:r>
        <w:rPr>
          <w:rFonts w:ascii="Aptos" w:hAnsi="Aptos"/>
          <w:color w:val="1F2937"/>
          <w:sz w:val="21"/>
        </w:rPr>
        <w:t xml:space="preserve"> almacenamiento on-premise/UE, RGPD, GaiaChain — el dato del territorio permanece en el territorio.</w:t>
      </w:r>
    </w:p>
    <w:p w14:paraId="13A5FD77">
      <w:pPr>
        <w:pStyle w:val="5"/>
      </w:pPr>
      <w:bookmarkStart w:id="38" w:name="Xf2faa258bf470d87c4f4a31f1a3fed54d4e6506"/>
      <w:r>
        <w:rPr>
          <w:rFonts w:ascii="Aptos Display" w:hAnsi="Aptos Display"/>
          <w:b/>
          <w:color w:val="174A2E"/>
          <w:sz w:val="21"/>
        </w:rPr>
        <w:t>4.8.3. Capas de infraestructura (evolución Post-F1)</w:t>
      </w:r>
      <w:bookmarkEnd w:id="38"/>
    </w:p>
    <w:tbl>
      <w:tblPr>
        <w:tblStyle w:val="28"/>
        <w:tblW w:w="5000" w:type="pct"/>
        <w:jc w:val="center"/>
        <w:tblInd w:w="0" w:type="dxa"/>
        <w:tblLayout w:type="fixed"/>
        <w:tblCellMar>
          <w:top w:w="0" w:type="dxa"/>
          <w:left w:w="108" w:type="dxa"/>
          <w:bottom w:w="0" w:type="dxa"/>
          <w:right w:w="108" w:type="dxa"/>
        </w:tblCellMar>
      </w:tblPr>
      <w:tblGrid>
        <w:gridCol w:w="1584"/>
        <w:gridCol w:w="1584"/>
        <w:gridCol w:w="1584"/>
        <w:gridCol w:w="1584"/>
        <w:gridCol w:w="1584"/>
      </w:tblGrid>
      <w:tr w14:paraId="11E1C4DB">
        <w:tblPrEx>
          <w:tblCellMar>
            <w:top w:w="0" w:type="dxa"/>
            <w:left w:w="108" w:type="dxa"/>
            <w:bottom w:w="0" w:type="dxa"/>
            <w:right w:w="108" w:type="dxa"/>
          </w:tblCellMar>
        </w:tblPrEx>
        <w:tc>
          <w:tcPr>
            <w:tcW w:w="1872" w:type="dxa"/>
            <w:tcBorders>
              <w:bottom w:val="single" w:color="auto" w:sz="0" w:space="0"/>
            </w:tcBorders>
            <w:vAlign w:val="bottom"/>
          </w:tcPr>
          <w:p w14:paraId="79467514">
            <w:pPr>
              <w:pStyle w:val="24"/>
              <w:spacing w:after="0"/>
              <w:jc w:val="left"/>
            </w:pPr>
            <w:r>
              <w:rPr>
                <w:rFonts w:ascii="Aptos" w:hAnsi="Aptos"/>
                <w:color w:val="1F2937"/>
                <w:sz w:val="18"/>
              </w:rPr>
              <w:t>Capa</w:t>
            </w:r>
          </w:p>
        </w:tc>
        <w:tc>
          <w:tcPr>
            <w:tcW w:w="1872" w:type="dxa"/>
            <w:tcBorders>
              <w:bottom w:val="single" w:color="auto" w:sz="0" w:space="0"/>
            </w:tcBorders>
            <w:vAlign w:val="bottom"/>
          </w:tcPr>
          <w:p w14:paraId="4003B51E">
            <w:pPr>
              <w:pStyle w:val="24"/>
              <w:spacing w:after="0"/>
              <w:jc w:val="left"/>
            </w:pPr>
            <w:r>
              <w:rPr>
                <w:rFonts w:ascii="Aptos" w:hAnsi="Aptos"/>
                <w:color w:val="1F2937"/>
                <w:sz w:val="18"/>
              </w:rPr>
              <w:t>Descripción</w:t>
            </w:r>
          </w:p>
        </w:tc>
        <w:tc>
          <w:tcPr>
            <w:tcW w:w="1872" w:type="dxa"/>
            <w:tcBorders>
              <w:bottom w:val="single" w:color="auto" w:sz="0" w:space="0"/>
            </w:tcBorders>
            <w:vAlign w:val="bottom"/>
          </w:tcPr>
          <w:p w14:paraId="48CC27F3">
            <w:pPr>
              <w:pStyle w:val="24"/>
              <w:spacing w:after="0"/>
              <w:jc w:val="left"/>
            </w:pPr>
            <w:r>
              <w:rPr>
                <w:rFonts w:ascii="Aptos" w:hAnsi="Aptos"/>
                <w:color w:val="1F2937"/>
                <w:sz w:val="18"/>
              </w:rPr>
              <w:t>TRL objetivo</w:t>
            </w:r>
          </w:p>
        </w:tc>
        <w:tc>
          <w:tcPr>
            <w:tcW w:w="1872" w:type="dxa"/>
            <w:tcBorders>
              <w:bottom w:val="single" w:color="auto" w:sz="0" w:space="0"/>
            </w:tcBorders>
            <w:vAlign w:val="bottom"/>
          </w:tcPr>
          <w:p w14:paraId="5F736DD5">
            <w:pPr>
              <w:pStyle w:val="24"/>
              <w:spacing w:after="0"/>
              <w:jc w:val="left"/>
            </w:pPr>
            <w:r>
              <w:rPr>
                <w:rFonts w:ascii="Aptos" w:hAnsi="Aptos"/>
                <w:color w:val="1F2937"/>
                <w:sz w:val="18"/>
              </w:rPr>
              <w:t>Gate habilitante</w:t>
            </w:r>
          </w:p>
        </w:tc>
        <w:tc>
          <w:tcPr>
            <w:tcW w:w="1872" w:type="dxa"/>
            <w:tcBorders>
              <w:bottom w:val="single" w:color="auto" w:sz="0" w:space="0"/>
            </w:tcBorders>
            <w:vAlign w:val="bottom"/>
          </w:tcPr>
          <w:p w14:paraId="32226857">
            <w:pPr>
              <w:pStyle w:val="24"/>
              <w:spacing w:after="0"/>
              <w:jc w:val="left"/>
            </w:pPr>
            <w:r>
              <w:rPr>
                <w:rFonts w:ascii="Aptos" w:hAnsi="Aptos"/>
                <w:color w:val="1F2937"/>
                <w:sz w:val="18"/>
              </w:rPr>
              <w:t>Inversión estimada</w:t>
            </w:r>
          </w:p>
        </w:tc>
      </w:tr>
      <w:tr w14:paraId="232C4BD4">
        <w:tblPrEx>
          <w:tblCellMar>
            <w:top w:w="0" w:type="dxa"/>
            <w:left w:w="108" w:type="dxa"/>
            <w:bottom w:w="0" w:type="dxa"/>
            <w:right w:w="108" w:type="dxa"/>
          </w:tblCellMar>
        </w:tblPrEx>
        <w:tc>
          <w:p w14:paraId="29CF8707">
            <w:pPr>
              <w:pStyle w:val="24"/>
              <w:spacing w:after="0"/>
              <w:jc w:val="left"/>
            </w:pPr>
            <w:r>
              <w:rPr>
                <w:rFonts w:ascii="Aptos" w:hAnsi="Aptos"/>
                <w:color w:val="1F2937"/>
                <w:sz w:val="18"/>
              </w:rPr>
              <w:t>SaaS + IoT</w:t>
            </w:r>
          </w:p>
        </w:tc>
        <w:tc>
          <w:p w14:paraId="72F4ACB1">
            <w:pPr>
              <w:pStyle w:val="24"/>
              <w:spacing w:after="0"/>
              <w:jc w:val="left"/>
            </w:pPr>
            <w:r>
              <w:rPr>
                <w:rFonts w:ascii="Aptos" w:hAnsi="Aptos"/>
                <w:color w:val="1F2937"/>
                <w:sz w:val="18"/>
              </w:rPr>
              <w:t>Gestión agrícola, trazabilidad, cuaderno digital</w:t>
            </w:r>
          </w:p>
        </w:tc>
        <w:tc>
          <w:p w14:paraId="7649B56A">
            <w:pPr>
              <w:pStyle w:val="24"/>
              <w:spacing w:after="0"/>
              <w:jc w:val="left"/>
            </w:pPr>
            <w:r>
              <w:rPr>
                <w:rFonts w:ascii="Aptos" w:hAnsi="Aptos"/>
                <w:color w:val="1F2937"/>
                <w:sz w:val="18"/>
              </w:rPr>
              <w:t>7–8 → 9</w:t>
            </w:r>
          </w:p>
        </w:tc>
        <w:tc>
          <w:p w14:paraId="1B66D9FC">
            <w:pPr>
              <w:pStyle w:val="24"/>
              <w:spacing w:after="0"/>
              <w:jc w:val="left"/>
            </w:pPr>
            <w:r>
              <w:rPr>
                <w:rFonts w:ascii="Aptos" w:hAnsi="Aptos"/>
                <w:color w:val="1F2937"/>
                <w:sz w:val="18"/>
              </w:rPr>
              <w:t>G1</w:t>
            </w:r>
          </w:p>
        </w:tc>
        <w:tc>
          <w:p w14:paraId="39501084">
            <w:pPr>
              <w:pStyle w:val="24"/>
              <w:spacing w:after="0"/>
              <w:jc w:val="left"/>
            </w:pPr>
            <w:r>
              <w:rPr>
                <w:rFonts w:ascii="Aptos" w:hAnsi="Aptos"/>
                <w:color w:val="1F2937"/>
                <w:sz w:val="18"/>
              </w:rPr>
              <w:t>315 K€ (ya invertido)</w:t>
            </w:r>
          </w:p>
        </w:tc>
      </w:tr>
      <w:tr w14:paraId="1F60A0A6">
        <w:tblPrEx>
          <w:tblCellMar>
            <w:top w:w="0" w:type="dxa"/>
            <w:left w:w="108" w:type="dxa"/>
            <w:bottom w:w="0" w:type="dxa"/>
            <w:right w:w="108" w:type="dxa"/>
          </w:tblCellMar>
        </w:tblPrEx>
        <w:tc>
          <w:p w14:paraId="1C7DD56A">
            <w:pPr>
              <w:pStyle w:val="24"/>
              <w:spacing w:after="0"/>
              <w:jc w:val="left"/>
            </w:pPr>
            <w:r>
              <w:rPr>
                <w:rFonts w:ascii="Aptos" w:hAnsi="Aptos"/>
                <w:color w:val="1F2937"/>
                <w:sz w:val="18"/>
              </w:rPr>
              <w:t>Módulo terracota</w:t>
            </w:r>
          </w:p>
        </w:tc>
        <w:tc>
          <w:p w14:paraId="07F393A4">
            <w:pPr>
              <w:pStyle w:val="24"/>
              <w:spacing w:after="0"/>
              <w:jc w:val="left"/>
            </w:pPr>
            <w:r>
              <w:rPr>
                <w:rFonts w:ascii="Aptos" w:hAnsi="Aptos"/>
                <w:color w:val="1F2937"/>
                <w:sz w:val="18"/>
              </w:rPr>
              <w:t>Validación térmica (≈38 %)</w:t>
            </w:r>
          </w:p>
        </w:tc>
        <w:tc>
          <w:p w14:paraId="0D1E5792">
            <w:pPr>
              <w:pStyle w:val="24"/>
              <w:spacing w:after="0"/>
              <w:jc w:val="left"/>
            </w:pPr>
            <w:r>
              <w:rPr>
                <w:rFonts w:ascii="Aptos" w:hAnsi="Aptos"/>
                <w:color w:val="1F2937"/>
                <w:sz w:val="18"/>
              </w:rPr>
              <w:t>5–6 → 7</w:t>
            </w:r>
          </w:p>
        </w:tc>
        <w:tc>
          <w:p w14:paraId="1B97F1FE">
            <w:pPr>
              <w:pStyle w:val="24"/>
              <w:spacing w:after="0"/>
              <w:jc w:val="left"/>
            </w:pPr>
            <w:r>
              <w:rPr>
                <w:rFonts w:ascii="Aptos" w:hAnsi="Aptos"/>
                <w:color w:val="1F2937"/>
                <w:sz w:val="18"/>
              </w:rPr>
              <w:t>G1</w:t>
            </w:r>
          </w:p>
        </w:tc>
        <w:tc>
          <w:p w14:paraId="16C25A9E">
            <w:pPr>
              <w:pStyle w:val="24"/>
              <w:spacing w:after="0"/>
              <w:jc w:val="left"/>
            </w:pPr>
            <w:r>
              <w:rPr>
                <w:rFonts w:ascii="Aptos" w:hAnsi="Aptos"/>
                <w:color w:val="1F2937"/>
                <w:sz w:val="18"/>
              </w:rPr>
              <w:t>20–45 K€ (ya invertido)</w:t>
            </w:r>
          </w:p>
        </w:tc>
      </w:tr>
      <w:tr w14:paraId="306B5000">
        <w:tblPrEx>
          <w:tblCellMar>
            <w:top w:w="0" w:type="dxa"/>
            <w:left w:w="108" w:type="dxa"/>
            <w:bottom w:w="0" w:type="dxa"/>
            <w:right w:w="108" w:type="dxa"/>
          </w:tblCellMar>
        </w:tblPrEx>
        <w:tc>
          <w:p w14:paraId="2F09109F">
            <w:pPr>
              <w:pStyle w:val="24"/>
              <w:spacing w:after="0"/>
              <w:jc w:val="left"/>
            </w:pPr>
            <w:r>
              <w:rPr>
                <w:rFonts w:ascii="Aptos" w:hAnsi="Aptos"/>
                <w:color w:val="1F2937"/>
                <w:sz w:val="18"/>
              </w:rPr>
              <w:t>Geotermia</w:t>
            </w:r>
          </w:p>
        </w:tc>
        <w:tc>
          <w:p w14:paraId="20234928">
            <w:pPr>
              <w:pStyle w:val="24"/>
              <w:spacing w:after="0"/>
              <w:jc w:val="left"/>
            </w:pPr>
            <w:r>
              <w:rPr>
                <w:rFonts w:ascii="Aptos" w:hAnsi="Aptos"/>
                <w:color w:val="1F2937"/>
                <w:sz w:val="18"/>
              </w:rPr>
              <w:t>Sondeos verticales + bombas de calor</w:t>
            </w:r>
          </w:p>
        </w:tc>
        <w:tc>
          <w:p w14:paraId="4F2ACA40">
            <w:pPr>
              <w:pStyle w:val="24"/>
              <w:spacing w:after="0"/>
              <w:jc w:val="left"/>
            </w:pPr>
            <w:r>
              <w:rPr>
                <w:rFonts w:ascii="Aptos" w:hAnsi="Aptos"/>
                <w:color w:val="1F2937"/>
                <w:sz w:val="18"/>
              </w:rPr>
              <w:t>5 → 7–8</w:t>
            </w:r>
          </w:p>
        </w:tc>
        <w:tc>
          <w:p w14:paraId="01FFBCDB">
            <w:pPr>
              <w:pStyle w:val="24"/>
              <w:spacing w:after="0"/>
              <w:jc w:val="left"/>
            </w:pPr>
            <w:r>
              <w:rPr>
                <w:rFonts w:ascii="Aptos" w:hAnsi="Aptos"/>
                <w:color w:val="1F2937"/>
                <w:sz w:val="18"/>
              </w:rPr>
              <w:t>G2</w:t>
            </w:r>
          </w:p>
        </w:tc>
        <w:tc>
          <w:p w14:paraId="13861889">
            <w:pPr>
              <w:pStyle w:val="24"/>
              <w:spacing w:after="0"/>
              <w:jc w:val="left"/>
            </w:pPr>
            <w:r>
              <w:rPr>
                <w:rFonts w:ascii="Aptos" w:hAnsi="Aptos"/>
                <w:color w:val="1F2937"/>
                <w:sz w:val="18"/>
              </w:rPr>
              <w:t>0,5–1 M€</w:t>
            </w:r>
          </w:p>
        </w:tc>
      </w:tr>
      <w:tr w14:paraId="60FADC66">
        <w:tblPrEx>
          <w:tblCellMar>
            <w:top w:w="0" w:type="dxa"/>
            <w:left w:w="108" w:type="dxa"/>
            <w:bottom w:w="0" w:type="dxa"/>
            <w:right w:w="108" w:type="dxa"/>
          </w:tblCellMar>
        </w:tblPrEx>
        <w:tc>
          <w:p w14:paraId="0EF8BDD8">
            <w:pPr>
              <w:pStyle w:val="24"/>
              <w:spacing w:after="0"/>
              <w:jc w:val="left"/>
            </w:pPr>
            <w:r>
              <w:rPr>
                <w:rFonts w:ascii="Aptos" w:hAnsi="Aptos"/>
                <w:color w:val="1F2937"/>
                <w:sz w:val="18"/>
              </w:rPr>
              <w:t>Almacenamiento de datos soberano</w:t>
            </w:r>
          </w:p>
        </w:tc>
        <w:tc>
          <w:p w14:paraId="026B4F14">
            <w:pPr>
              <w:pStyle w:val="24"/>
              <w:spacing w:after="0"/>
              <w:jc w:val="left"/>
            </w:pPr>
            <w:r>
              <w:rPr>
                <w:rFonts w:ascii="Aptos" w:hAnsi="Aptos"/>
                <w:color w:val="1F2937"/>
                <w:sz w:val="18"/>
              </w:rPr>
              <w:t>Infraestructura on-premise, RGPD</w:t>
            </w:r>
          </w:p>
        </w:tc>
        <w:tc>
          <w:p w14:paraId="5AF64F90">
            <w:pPr>
              <w:pStyle w:val="24"/>
              <w:spacing w:after="0"/>
              <w:jc w:val="left"/>
            </w:pPr>
            <w:r>
              <w:rPr>
                <w:rFonts w:ascii="Aptos" w:hAnsi="Aptos"/>
                <w:color w:val="1F2937"/>
                <w:sz w:val="18"/>
              </w:rPr>
              <w:t>4 → 7–8</w:t>
            </w:r>
          </w:p>
        </w:tc>
        <w:tc>
          <w:p w14:paraId="18EEF9B4">
            <w:pPr>
              <w:pStyle w:val="24"/>
              <w:spacing w:after="0"/>
              <w:jc w:val="left"/>
            </w:pPr>
            <w:r>
              <w:rPr>
                <w:rFonts w:ascii="Aptos" w:hAnsi="Aptos"/>
                <w:color w:val="1F2937"/>
                <w:sz w:val="18"/>
              </w:rPr>
              <w:t>G2</w:t>
            </w:r>
          </w:p>
        </w:tc>
        <w:tc>
          <w:p w14:paraId="7893A09B">
            <w:pPr>
              <w:pStyle w:val="24"/>
              <w:spacing w:after="0"/>
              <w:jc w:val="left"/>
            </w:pPr>
            <w:r>
              <w:rPr>
                <w:rFonts w:ascii="Aptos" w:hAnsi="Aptos"/>
                <w:color w:val="1F2937"/>
                <w:sz w:val="18"/>
              </w:rPr>
              <w:t>0,2–0,3 M€</w:t>
            </w:r>
          </w:p>
        </w:tc>
      </w:tr>
      <w:tr w14:paraId="19EA731C">
        <w:tblPrEx>
          <w:tblCellMar>
            <w:top w:w="0" w:type="dxa"/>
            <w:left w:w="108" w:type="dxa"/>
            <w:bottom w:w="0" w:type="dxa"/>
            <w:right w:w="108" w:type="dxa"/>
          </w:tblCellMar>
        </w:tblPrEx>
        <w:tc>
          <w:p w14:paraId="1FB9B6CF">
            <w:pPr>
              <w:pStyle w:val="24"/>
              <w:spacing w:after="0"/>
              <w:jc w:val="left"/>
            </w:pPr>
            <w:r>
              <w:rPr>
                <w:rFonts w:ascii="Aptos" w:hAnsi="Aptos"/>
                <w:color w:val="1F2937"/>
                <w:sz w:val="18"/>
              </w:rPr>
              <w:t>Agrovoltaica</w:t>
            </w:r>
          </w:p>
        </w:tc>
        <w:tc>
          <w:p w14:paraId="43803044">
            <w:pPr>
              <w:pStyle w:val="24"/>
              <w:spacing w:after="0"/>
              <w:jc w:val="left"/>
            </w:pPr>
            <w:r>
              <w:rPr>
                <w:rFonts w:ascii="Aptos" w:hAnsi="Aptos"/>
                <w:color w:val="1F2937"/>
                <w:sz w:val="18"/>
              </w:rPr>
              <w:t>1,3 MWp sobre invernadero</w:t>
            </w:r>
          </w:p>
        </w:tc>
        <w:tc>
          <w:p w14:paraId="11DD8660">
            <w:pPr>
              <w:pStyle w:val="24"/>
              <w:spacing w:after="0"/>
              <w:jc w:val="left"/>
            </w:pPr>
            <w:r>
              <w:rPr>
                <w:rFonts w:ascii="Aptos" w:hAnsi="Aptos"/>
                <w:color w:val="1F2937"/>
                <w:sz w:val="18"/>
              </w:rPr>
              <w:t>3 → 7–8</w:t>
            </w:r>
          </w:p>
        </w:tc>
        <w:tc>
          <w:p w14:paraId="55C1CB47">
            <w:pPr>
              <w:pStyle w:val="24"/>
              <w:spacing w:after="0"/>
              <w:jc w:val="left"/>
            </w:pPr>
            <w:r>
              <w:rPr>
                <w:rFonts w:ascii="Aptos" w:hAnsi="Aptos"/>
                <w:color w:val="1F2937"/>
                <w:sz w:val="18"/>
              </w:rPr>
              <w:t>G3</w:t>
            </w:r>
          </w:p>
        </w:tc>
        <w:tc>
          <w:p w14:paraId="783E09CC">
            <w:pPr>
              <w:pStyle w:val="24"/>
              <w:spacing w:after="0"/>
              <w:jc w:val="left"/>
            </w:pPr>
            <w:r>
              <w:rPr>
                <w:rFonts w:ascii="Aptos" w:hAnsi="Aptos"/>
                <w:color w:val="1F2937"/>
                <w:sz w:val="18"/>
              </w:rPr>
              <w:t>2,1–2,3 M€</w:t>
            </w:r>
          </w:p>
        </w:tc>
      </w:tr>
      <w:tr w14:paraId="4E2E969C">
        <w:tblPrEx>
          <w:tblCellMar>
            <w:top w:w="0" w:type="dxa"/>
            <w:left w:w="108" w:type="dxa"/>
            <w:bottom w:w="0" w:type="dxa"/>
            <w:right w:w="108" w:type="dxa"/>
          </w:tblCellMar>
        </w:tblPrEx>
        <w:tc>
          <w:p w14:paraId="3BF17EA5">
            <w:pPr>
              <w:pStyle w:val="24"/>
              <w:spacing w:after="0"/>
              <w:jc w:val="left"/>
            </w:pPr>
            <w:r>
              <w:rPr>
                <w:rFonts w:ascii="Aptos" w:hAnsi="Aptos"/>
                <w:color w:val="1F2937"/>
                <w:sz w:val="18"/>
              </w:rPr>
              <w:t>Almacenamiento energético</w:t>
            </w:r>
          </w:p>
        </w:tc>
        <w:tc>
          <w:p w14:paraId="03F45008">
            <w:pPr>
              <w:pStyle w:val="24"/>
              <w:spacing w:after="0"/>
              <w:jc w:val="left"/>
            </w:pPr>
            <w:r>
              <w:rPr>
                <w:rFonts w:ascii="Aptos" w:hAnsi="Aptos"/>
                <w:color w:val="1F2937"/>
                <w:sz w:val="18"/>
              </w:rPr>
              <w:t>Baterías para gestión de excedentes</w:t>
            </w:r>
          </w:p>
        </w:tc>
        <w:tc>
          <w:p w14:paraId="176CD5A9">
            <w:pPr>
              <w:pStyle w:val="24"/>
              <w:spacing w:after="0"/>
              <w:jc w:val="left"/>
            </w:pPr>
            <w:r>
              <w:rPr>
                <w:rFonts w:ascii="Aptos" w:hAnsi="Aptos"/>
                <w:color w:val="1F2937"/>
                <w:sz w:val="18"/>
              </w:rPr>
              <w:t>2 → 6–7</w:t>
            </w:r>
          </w:p>
        </w:tc>
        <w:tc>
          <w:p w14:paraId="25ADBEC8">
            <w:pPr>
              <w:pStyle w:val="24"/>
              <w:spacing w:after="0"/>
              <w:jc w:val="left"/>
            </w:pPr>
            <w:r>
              <w:rPr>
                <w:rFonts w:ascii="Aptos" w:hAnsi="Aptos"/>
                <w:color w:val="1F2937"/>
                <w:sz w:val="18"/>
              </w:rPr>
              <w:t>G4</w:t>
            </w:r>
          </w:p>
        </w:tc>
        <w:tc>
          <w:p w14:paraId="72DD08C9">
            <w:pPr>
              <w:pStyle w:val="24"/>
              <w:spacing w:after="0"/>
              <w:jc w:val="left"/>
            </w:pPr>
            <w:r>
              <w:rPr>
                <w:rFonts w:ascii="Aptos" w:hAnsi="Aptos"/>
                <w:color w:val="1F2937"/>
                <w:sz w:val="18"/>
              </w:rPr>
              <w:t>0,1–0,2 M€</w:t>
            </w:r>
          </w:p>
        </w:tc>
      </w:tr>
    </w:tbl>
    <w:p w14:paraId="6410A9A8">
      <w:pPr>
        <w:pStyle w:val="3"/>
      </w:pPr>
      <w:r>
        <w:rPr>
          <w:rFonts w:ascii="Aptos" w:hAnsi="Aptos"/>
          <w:b/>
          <w:color w:val="1F2937"/>
          <w:sz w:val="21"/>
        </w:rPr>
        <w:t>Regla de oro:</w:t>
      </w:r>
      <w:r>
        <w:rPr>
          <w:rFonts w:ascii="Aptos" w:hAnsi="Aptos"/>
          <w:color w:val="1F2937"/>
          <w:sz w:val="21"/>
        </w:rPr>
        <w:t xml:space="preserve"> ninguna capa mayor se activa sin validar primero el núcleo (F1) y demostrar tracción técnica y comercial.</w:t>
      </w:r>
    </w:p>
    <w:p w14:paraId="3A56704D">
      <w:pPr>
        <w:pStyle w:val="5"/>
      </w:pPr>
      <w:bookmarkStart w:id="39" w:name="X7ce64b22bf058cb1579ef85827bc78285d45816"/>
      <w:r>
        <w:rPr>
          <w:rFonts w:ascii="Aptos Display" w:hAnsi="Aptos Display"/>
          <w:b/>
          <w:color w:val="174A2E"/>
          <w:sz w:val="21"/>
        </w:rPr>
        <w:t>4.8.4. Modelo de ingresos IaaS (recurrente y escalable)</w:t>
      </w:r>
      <w:bookmarkEnd w:id="39"/>
    </w:p>
    <w:p w14:paraId="0CE7508F">
      <w:pPr>
        <w:pStyle w:val="23"/>
      </w:pPr>
      <w:r>
        <w:rPr>
          <w:rFonts w:ascii="Aptos" w:hAnsi="Aptos"/>
          <w:color w:val="1F2937"/>
          <w:sz w:val="21"/>
        </w:rPr>
        <w:t xml:space="preserve">El IaaS convierte un piloto en un </w:t>
      </w:r>
      <w:r>
        <w:rPr>
          <w:rFonts w:ascii="Aptos" w:hAnsi="Aptos"/>
          <w:b/>
          <w:color w:val="1F2937"/>
          <w:sz w:val="21"/>
        </w:rPr>
        <w:t>producto replicable con ingresos recurrentes</w:t>
      </w:r>
      <w:r>
        <w:rPr>
          <w:rFonts w:ascii="Aptos" w:hAnsi="Aptos"/>
          <w:color w:val="1F2937"/>
          <w:sz w:val="21"/>
        </w:rPr>
        <w:t>, lo que eleva legítimamente la escalabilidad (dimensión R) y la solidez financiera (F) del proyecto:</w:t>
      </w:r>
    </w:p>
    <w:tbl>
      <w:tblPr>
        <w:tblStyle w:val="28"/>
        <w:tblW w:w="5000" w:type="pct"/>
        <w:jc w:val="center"/>
        <w:tblInd w:w="0" w:type="dxa"/>
        <w:tblLayout w:type="fixed"/>
        <w:tblCellMar>
          <w:top w:w="0" w:type="dxa"/>
          <w:left w:w="108" w:type="dxa"/>
          <w:bottom w:w="0" w:type="dxa"/>
          <w:right w:w="108" w:type="dxa"/>
        </w:tblCellMar>
      </w:tblPr>
      <w:tblGrid>
        <w:gridCol w:w="2640"/>
        <w:gridCol w:w="2640"/>
        <w:gridCol w:w="2640"/>
      </w:tblGrid>
      <w:tr w14:paraId="155887AB">
        <w:tblPrEx>
          <w:tblCellMar>
            <w:top w:w="0" w:type="dxa"/>
            <w:left w:w="108" w:type="dxa"/>
            <w:bottom w:w="0" w:type="dxa"/>
            <w:right w:w="108" w:type="dxa"/>
          </w:tblCellMar>
        </w:tblPrEx>
        <w:tc>
          <w:tcPr>
            <w:tcW w:w="3120" w:type="dxa"/>
            <w:tcBorders>
              <w:bottom w:val="single" w:color="auto" w:sz="0" w:space="0"/>
            </w:tcBorders>
            <w:vAlign w:val="bottom"/>
          </w:tcPr>
          <w:p w14:paraId="514FDC05">
            <w:pPr>
              <w:pStyle w:val="24"/>
              <w:spacing w:after="0"/>
              <w:jc w:val="left"/>
            </w:pPr>
            <w:r>
              <w:rPr>
                <w:rFonts w:ascii="Aptos" w:hAnsi="Aptos"/>
                <w:color w:val="1F2937"/>
                <w:sz w:val="18"/>
              </w:rPr>
              <w:t>Componente IaaS</w:t>
            </w:r>
          </w:p>
        </w:tc>
        <w:tc>
          <w:tcPr>
            <w:tcW w:w="3120" w:type="dxa"/>
            <w:tcBorders>
              <w:bottom w:val="single" w:color="auto" w:sz="0" w:space="0"/>
            </w:tcBorders>
            <w:vAlign w:val="bottom"/>
          </w:tcPr>
          <w:p w14:paraId="046E5D02">
            <w:pPr>
              <w:pStyle w:val="24"/>
              <w:spacing w:after="0"/>
              <w:jc w:val="left"/>
            </w:pPr>
            <w:r>
              <w:rPr>
                <w:rFonts w:ascii="Aptos" w:hAnsi="Aptos"/>
                <w:color w:val="1F2937"/>
                <w:sz w:val="18"/>
              </w:rPr>
              <w:t>Mecanismo</w:t>
            </w:r>
          </w:p>
        </w:tc>
        <w:tc>
          <w:tcPr>
            <w:tcW w:w="3120" w:type="dxa"/>
            <w:tcBorders>
              <w:bottom w:val="single" w:color="auto" w:sz="0" w:space="0"/>
            </w:tcBorders>
            <w:vAlign w:val="bottom"/>
          </w:tcPr>
          <w:p w14:paraId="1D84753A">
            <w:pPr>
              <w:pStyle w:val="24"/>
              <w:spacing w:after="0"/>
              <w:jc w:val="left"/>
            </w:pPr>
            <w:r>
              <w:rPr>
                <w:rFonts w:ascii="Aptos" w:hAnsi="Aptos"/>
                <w:color w:val="1F2937"/>
                <w:sz w:val="18"/>
              </w:rPr>
              <w:t>Naturaleza</w:t>
            </w:r>
          </w:p>
        </w:tc>
      </w:tr>
      <w:tr w14:paraId="6FD1A9FC">
        <w:tblPrEx>
          <w:tblCellMar>
            <w:top w:w="0" w:type="dxa"/>
            <w:left w:w="108" w:type="dxa"/>
            <w:bottom w:w="0" w:type="dxa"/>
            <w:right w:w="108" w:type="dxa"/>
          </w:tblCellMar>
        </w:tblPrEx>
        <w:tc>
          <w:p w14:paraId="6E84A386">
            <w:pPr>
              <w:pStyle w:val="24"/>
              <w:spacing w:after="0"/>
              <w:jc w:val="left"/>
            </w:pPr>
            <w:r>
              <w:rPr>
                <w:rFonts w:ascii="Aptos" w:hAnsi="Aptos"/>
                <w:color w:val="1F2937"/>
                <w:sz w:val="18"/>
              </w:rPr>
              <w:t>Implantación (setup)</w:t>
            </w:r>
          </w:p>
        </w:tc>
        <w:tc>
          <w:p w14:paraId="3514368B">
            <w:pPr>
              <w:pStyle w:val="24"/>
              <w:spacing w:after="0"/>
              <w:jc w:val="left"/>
            </w:pPr>
            <w:r>
              <w:rPr>
                <w:rFonts w:ascii="Aptos" w:hAnsi="Aptos"/>
                <w:color w:val="1F2937"/>
                <w:sz w:val="18"/>
              </w:rPr>
              <w:t>Cuota única por instancia/municipio (ingeniería de instanciación)</w:t>
            </w:r>
          </w:p>
        </w:tc>
        <w:tc>
          <w:p w14:paraId="56E9F0AE">
            <w:pPr>
              <w:pStyle w:val="24"/>
              <w:spacing w:after="0"/>
              <w:jc w:val="left"/>
            </w:pPr>
            <w:r>
              <w:rPr>
                <w:rFonts w:ascii="Aptos" w:hAnsi="Aptos"/>
                <w:color w:val="1F2937"/>
                <w:sz w:val="18"/>
              </w:rPr>
              <w:t>Puntual</w:t>
            </w:r>
          </w:p>
        </w:tc>
      </w:tr>
      <w:tr w14:paraId="0B956AA0">
        <w:tblPrEx>
          <w:tblCellMar>
            <w:top w:w="0" w:type="dxa"/>
            <w:left w:w="108" w:type="dxa"/>
            <w:bottom w:w="0" w:type="dxa"/>
            <w:right w:w="108" w:type="dxa"/>
          </w:tblCellMar>
        </w:tblPrEx>
        <w:tc>
          <w:p w14:paraId="378F52D8">
            <w:pPr>
              <w:pStyle w:val="24"/>
              <w:spacing w:after="0"/>
              <w:jc w:val="left"/>
            </w:pPr>
            <w:r>
              <w:rPr>
                <w:rFonts w:ascii="Aptos" w:hAnsi="Aptos"/>
                <w:color w:val="1F2937"/>
                <w:sz w:val="18"/>
              </w:rPr>
              <w:t>Suscripción de infraestructura</w:t>
            </w:r>
          </w:p>
        </w:tc>
        <w:tc>
          <w:p w14:paraId="710CF643">
            <w:pPr>
              <w:pStyle w:val="24"/>
              <w:spacing w:after="0"/>
              <w:jc w:val="left"/>
            </w:pPr>
            <w:r>
              <w:rPr>
                <w:rFonts w:ascii="Aptos" w:hAnsi="Aptos"/>
                <w:color w:val="1F2937"/>
                <w:sz w:val="18"/>
              </w:rPr>
              <w:t>Cuota por módulo/municipio (digital desde F1; física por Gates)</w:t>
            </w:r>
          </w:p>
        </w:tc>
        <w:tc>
          <w:p w14:paraId="400743A6">
            <w:pPr>
              <w:pStyle w:val="24"/>
              <w:spacing w:after="0"/>
              <w:jc w:val="left"/>
            </w:pPr>
            <w:r>
              <w:rPr>
                <w:rFonts w:ascii="Aptos" w:hAnsi="Aptos"/>
                <w:color w:val="1F2937"/>
                <w:sz w:val="18"/>
              </w:rPr>
              <w:t>Recurrente</w:t>
            </w:r>
          </w:p>
        </w:tc>
      </w:tr>
      <w:tr w14:paraId="388DE7D5">
        <w:tblPrEx>
          <w:tblCellMar>
            <w:top w:w="0" w:type="dxa"/>
            <w:left w:w="108" w:type="dxa"/>
            <w:bottom w:w="0" w:type="dxa"/>
            <w:right w:w="108" w:type="dxa"/>
          </w:tblCellMar>
        </w:tblPrEx>
        <w:tc>
          <w:p w14:paraId="4D493FC4">
            <w:pPr>
              <w:pStyle w:val="24"/>
              <w:spacing w:after="0"/>
              <w:jc w:val="left"/>
            </w:pPr>
            <w:r>
              <w:rPr>
                <w:rFonts w:ascii="Aptos" w:hAnsi="Aptos"/>
                <w:color w:val="1F2937"/>
                <w:sz w:val="18"/>
              </w:rPr>
              <w:t>Operación gestionada (SLA)</w:t>
            </w:r>
          </w:p>
        </w:tc>
        <w:tc>
          <w:p w14:paraId="7F0530BB">
            <w:pPr>
              <w:pStyle w:val="24"/>
              <w:spacing w:after="0"/>
              <w:jc w:val="left"/>
            </w:pPr>
            <w:r>
              <w:rPr>
                <w:rFonts w:ascii="Aptos" w:hAnsi="Aptos"/>
                <w:color w:val="1F2937"/>
                <w:sz w:val="18"/>
              </w:rPr>
              <w:t>Soporte, mantenimiento, actualizaciones seguras, observabilidad</w:t>
            </w:r>
          </w:p>
        </w:tc>
        <w:tc>
          <w:p w14:paraId="1F43F1AC">
            <w:pPr>
              <w:pStyle w:val="24"/>
              <w:spacing w:after="0"/>
              <w:jc w:val="left"/>
            </w:pPr>
            <w:r>
              <w:rPr>
                <w:rFonts w:ascii="Aptos" w:hAnsi="Aptos"/>
                <w:color w:val="1F2937"/>
                <w:sz w:val="18"/>
              </w:rPr>
              <w:t>Recurrente</w:t>
            </w:r>
          </w:p>
        </w:tc>
      </w:tr>
      <w:tr w14:paraId="03CE3B99">
        <w:tblPrEx>
          <w:tblCellMar>
            <w:top w:w="0" w:type="dxa"/>
            <w:left w:w="108" w:type="dxa"/>
            <w:bottom w:w="0" w:type="dxa"/>
            <w:right w:w="108" w:type="dxa"/>
          </w:tblCellMar>
        </w:tblPrEx>
        <w:tc>
          <w:p w14:paraId="6574902A">
            <w:pPr>
              <w:pStyle w:val="24"/>
              <w:spacing w:after="0"/>
              <w:jc w:val="left"/>
            </w:pPr>
            <w:r>
              <w:rPr>
                <w:rFonts w:ascii="Aptos" w:hAnsi="Aptos"/>
                <w:color w:val="1F2937"/>
                <w:sz w:val="18"/>
              </w:rPr>
              <w:t>Licencia del patrón de réplica</w:t>
            </w:r>
          </w:p>
        </w:tc>
        <w:tc>
          <w:p w14:paraId="462CF3E5">
            <w:pPr>
              <w:pStyle w:val="24"/>
              <w:spacing w:after="0"/>
              <w:jc w:val="left"/>
            </w:pPr>
            <w:r>
              <w:rPr>
                <w:rFonts w:ascii="Aptos" w:hAnsi="Aptos"/>
                <w:color w:val="1F2937"/>
                <w:sz w:val="18"/>
              </w:rPr>
              <w:t>Twin calibrado + checklist + SOP + capa SEV</w:t>
            </w:r>
          </w:p>
        </w:tc>
        <w:tc>
          <w:p w14:paraId="153FBF0E">
            <w:pPr>
              <w:pStyle w:val="24"/>
              <w:spacing w:after="0"/>
              <w:jc w:val="left"/>
            </w:pPr>
            <w:r>
              <w:rPr>
                <w:rFonts w:ascii="Aptos" w:hAnsi="Aptos"/>
                <w:color w:val="1F2937"/>
                <w:sz w:val="18"/>
              </w:rPr>
              <w:t>Recurrente</w:t>
            </w:r>
          </w:p>
        </w:tc>
      </w:tr>
      <w:tr w14:paraId="37F5C903">
        <w:tblPrEx>
          <w:tblCellMar>
            <w:top w:w="0" w:type="dxa"/>
            <w:left w:w="108" w:type="dxa"/>
            <w:bottom w:w="0" w:type="dxa"/>
            <w:right w:w="108" w:type="dxa"/>
          </w:tblCellMar>
        </w:tblPrEx>
        <w:tc>
          <w:p w14:paraId="756E56AC">
            <w:pPr>
              <w:pStyle w:val="24"/>
              <w:spacing w:after="0"/>
              <w:jc w:val="left"/>
            </w:pPr>
            <w:r>
              <w:rPr>
                <w:rFonts w:ascii="Aptos" w:hAnsi="Aptos"/>
                <w:color w:val="1F2937"/>
                <w:sz w:val="18"/>
              </w:rPr>
              <w:t>Datos agro-energéticos B2B</w:t>
            </w:r>
          </w:p>
        </w:tc>
        <w:tc>
          <w:p w14:paraId="18FC6874">
            <w:pPr>
              <w:pStyle w:val="24"/>
              <w:spacing w:after="0"/>
              <w:jc w:val="left"/>
            </w:pPr>
            <w:r>
              <w:rPr>
                <w:rFonts w:ascii="Aptos" w:hAnsi="Aptos"/>
                <w:color w:val="1F2937"/>
                <w:sz w:val="18"/>
              </w:rPr>
              <w:t>Servicios de datos sobre la base instalada (condicional)</w:t>
            </w:r>
          </w:p>
        </w:tc>
        <w:tc>
          <w:p w14:paraId="2817F33B">
            <w:pPr>
              <w:pStyle w:val="24"/>
              <w:spacing w:after="0"/>
              <w:jc w:val="left"/>
            </w:pPr>
            <w:r>
              <w:rPr>
                <w:rFonts w:ascii="Aptos" w:hAnsi="Aptos"/>
                <w:color w:val="1F2937"/>
                <w:sz w:val="18"/>
              </w:rPr>
              <w:t>Recurrente</w:t>
            </w:r>
          </w:p>
        </w:tc>
      </w:tr>
    </w:tbl>
    <w:p w14:paraId="731AF24F">
      <w:pPr>
        <w:pStyle w:val="3"/>
      </w:pPr>
      <w:r>
        <w:rPr>
          <w:rFonts w:ascii="Aptos" w:hAnsi="Aptos"/>
          <w:color w:val="1F2937"/>
          <w:sz w:val="21"/>
        </w:rPr>
        <w:t xml:space="preserve">Cada réplica hereda datos, SOP y twin calibrado: </w:t>
      </w:r>
      <w:r>
        <w:rPr>
          <w:rFonts w:ascii="Aptos" w:hAnsi="Aptos"/>
          <w:b/>
          <w:color w:val="1F2937"/>
          <w:sz w:val="21"/>
        </w:rPr>
        <w:t>el primero paga el aprendizaje, los siguientes lo heredan</w:t>
      </w:r>
      <w:r>
        <w:rPr>
          <w:rFonts w:ascii="Aptos" w:hAnsi="Aptos"/>
          <w:color w:val="1F2937"/>
          <w:sz w:val="21"/>
        </w:rPr>
        <w:t>. La economía de escala es de datos, no de hormigón.</w:t>
      </w:r>
    </w:p>
    <w:p w14:paraId="225761DF">
      <w:pPr>
        <w:pStyle w:val="5"/>
      </w:pPr>
      <w:bookmarkStart w:id="40" w:name="Xabae92b903e26f2558ffd372c2c862e86328727"/>
      <w:r>
        <w:rPr>
          <w:rFonts w:ascii="Aptos Display" w:hAnsi="Aptos Display"/>
          <w:b/>
          <w:color w:val="174A2E"/>
          <w:sz w:val="21"/>
        </w:rPr>
        <w:t>4.8.5. Por qué el IaaS aumenta la nota y la probabilidad de éxito</w:t>
      </w:r>
      <w:bookmarkEnd w:id="40"/>
    </w:p>
    <w:p w14:paraId="414756FF">
      <w:pPr>
        <w:pStyle w:val="24"/>
        <w:numPr>
          <w:ilvl w:val="0"/>
          <w:numId w:val="2"/>
        </w:numPr>
      </w:pPr>
      <w:r>
        <w:rPr>
          <w:rFonts w:ascii="Aptos" w:hAnsi="Aptos"/>
          <w:b/>
          <w:color w:val="1F2937"/>
          <w:sz w:val="21"/>
        </w:rPr>
        <w:t>Convierte un caso local en un producto nacional/europeo</w:t>
      </w:r>
      <w:r>
        <w:rPr>
          <w:rFonts w:ascii="Aptos" w:hAnsi="Aptos"/>
          <w:color w:val="1F2937"/>
          <w:sz w:val="21"/>
        </w:rPr>
        <w:t xml:space="preserve"> sin perder el anclaje territorial (el 84 % de municipios &lt;5.000 hab como mercado de réplica).</w:t>
      </w:r>
    </w:p>
    <w:p w14:paraId="6F3FB426">
      <w:pPr>
        <w:pStyle w:val="24"/>
        <w:numPr>
          <w:ilvl w:val="0"/>
          <w:numId w:val="2"/>
        </w:numPr>
      </w:pPr>
      <w:r>
        <w:rPr>
          <w:rFonts w:ascii="Aptos" w:hAnsi="Aptos"/>
          <w:b/>
          <w:color w:val="1F2937"/>
          <w:sz w:val="21"/>
        </w:rPr>
        <w:t>Ingresos recurrentes y márgenes de software</w:t>
      </w:r>
      <w:r>
        <w:rPr>
          <w:rFonts w:ascii="Aptos" w:hAnsi="Aptos"/>
          <w:color w:val="1F2937"/>
          <w:sz w:val="21"/>
        </w:rPr>
        <w:t xml:space="preserve"> (&gt;70 %) sobre una base de infraestructura validada — mejor perfil financiero que un proyecto de obra única.</w:t>
      </w:r>
    </w:p>
    <w:p w14:paraId="651C9ABD">
      <w:pPr>
        <w:pStyle w:val="24"/>
        <w:numPr>
          <w:ilvl w:val="0"/>
          <w:numId w:val="2"/>
        </w:numPr>
      </w:pPr>
      <w:r>
        <w:rPr>
          <w:rFonts w:ascii="Aptos" w:hAnsi="Aptos"/>
          <w:b/>
          <w:color w:val="1F2937"/>
          <w:sz w:val="21"/>
        </w:rPr>
        <w:t>Soberanía del dato como diferencial estructural</w:t>
      </w:r>
      <w:r>
        <w:rPr>
          <w:rFonts w:ascii="Aptos" w:hAnsi="Aptos"/>
          <w:color w:val="1F2937"/>
          <w:sz w:val="21"/>
        </w:rPr>
        <w:t xml:space="preserve"> frente a plataformas cloud extracomunitarias.</w:t>
      </w:r>
    </w:p>
    <w:p w14:paraId="22E4C2DF">
      <w:pPr>
        <w:pStyle w:val="24"/>
        <w:numPr>
          <w:ilvl w:val="0"/>
          <w:numId w:val="2"/>
        </w:numPr>
      </w:pPr>
      <w:r>
        <w:rPr>
          <w:rFonts w:ascii="Aptos" w:hAnsi="Aptos"/>
          <w:b/>
          <w:color w:val="1F2937"/>
          <w:sz w:val="21"/>
        </w:rPr>
        <w:t>Mantiene la disciplina piloto-primero:</w:t>
      </w:r>
      <w:r>
        <w:rPr>
          <w:rFonts w:ascii="Aptos" w:hAnsi="Aptos"/>
          <w:color w:val="1F2937"/>
          <w:sz w:val="21"/>
        </w:rPr>
        <w:t xml:space="preserve"> el IaaS solo comercializa capas ya validadas; no promete infraestructura no probada.</w:t>
      </w:r>
    </w:p>
    <w:p w14:paraId="36A83792">
      <w:pPr>
        <w:pStyle w:val="24"/>
        <w:numPr>
          <w:ilvl w:val="0"/>
          <w:numId w:val="2"/>
        </w:numPr>
      </w:pPr>
      <w:r>
        <w:rPr>
          <w:rFonts w:ascii="Aptos" w:hAnsi="Aptos"/>
          <w:b/>
          <w:color w:val="1F2937"/>
          <w:sz w:val="21"/>
        </w:rPr>
        <w:t>Encaja con instrumentos de escala</w:t>
      </w:r>
      <w:r>
        <w:rPr>
          <w:rFonts w:ascii="Aptos" w:hAnsi="Aptos"/>
          <w:color w:val="1F2937"/>
          <w:sz w:val="21"/>
        </w:rPr>
        <w:t xml:space="preserve"> (NextGen, FEADER, PPP) porque ofrece un modelo replicable y medible, no un gasto irrepetible.</w:t>
      </w:r>
    </w:p>
    <w:p w14:paraId="1E93A125">
      <w:pPr>
        <w:pStyle w:val="5"/>
      </w:pPr>
      <w:bookmarkStart w:id="41" w:name="alcance-y-límites-honestidad"/>
      <w:r>
        <w:rPr>
          <w:rFonts w:ascii="Aptos Display" w:hAnsi="Aptos Display"/>
          <w:b/>
          <w:color w:val="174A2E"/>
          <w:sz w:val="21"/>
        </w:rPr>
        <w:t>4.8.6. Alcance y límites (honestidad)</w:t>
      </w:r>
      <w:bookmarkEnd w:id="41"/>
    </w:p>
    <w:p w14:paraId="6E2730EF">
      <w:pPr>
        <w:pStyle w:val="23"/>
      </w:pPr>
      <w:r>
        <w:rPr>
          <w:rFonts w:ascii="Aptos" w:hAnsi="Aptos"/>
          <w:color w:val="1F2937"/>
          <w:sz w:val="21"/>
        </w:rPr>
        <w:t xml:space="preserve">La evolución a IaaS </w:t>
      </w:r>
      <w:r>
        <w:rPr>
          <w:rFonts w:ascii="Aptos" w:hAnsi="Aptos"/>
          <w:b/>
          <w:color w:val="1F2937"/>
          <w:sz w:val="21"/>
        </w:rPr>
        <w:t>no forma parte de la inversión inicial de la Fase 1</w:t>
      </w:r>
      <w:r>
        <w:rPr>
          <w:rFonts w:ascii="Aptos" w:hAnsi="Aptos"/>
          <w:color w:val="1F2937"/>
          <w:sz w:val="21"/>
        </w:rPr>
        <w:t xml:space="preserve"> ni se declara operativa: es una </w:t>
      </w:r>
      <w:r>
        <w:rPr>
          <w:rFonts w:ascii="Aptos" w:hAnsi="Aptos"/>
          <w:b/>
          <w:color w:val="1F2937"/>
          <w:sz w:val="21"/>
        </w:rPr>
        <w:t>línea de producto en diseño</w:t>
      </w:r>
      <w:r>
        <w:rPr>
          <w:rFonts w:ascii="Aptos" w:hAnsi="Aptos"/>
          <w:color w:val="1F2937"/>
          <w:sz w:val="21"/>
        </w:rPr>
        <w:t xml:space="preserve">, condicionada a (a) la validación de F1 —el prototipo—, (b) la superación de los Gates G2–G4 y (c) financiación específica. CASTÚO-SYSTEM no propone construir una infraestructura total desde el inicio, sino </w:t>
      </w:r>
      <w:r>
        <w:rPr>
          <w:rFonts w:ascii="Aptos" w:hAnsi="Aptos"/>
          <w:b/>
          <w:color w:val="1F2937"/>
          <w:sz w:val="21"/>
        </w:rPr>
        <w:t>diseñar una ruta de crecimiento donde cada ampliación tenga justificación técnica y económica</w:t>
      </w:r>
      <w:r>
        <w:rPr>
          <w:rFonts w:ascii="Aptos" w:hAnsi="Aptos"/>
          <w:color w:val="1F2937"/>
          <w:sz w:val="21"/>
        </w:rPr>
        <w:t>.</w:t>
      </w:r>
    </w:p>
    <w:p w14:paraId="64A51277">
      <w:pPr>
        <w:pStyle w:val="4"/>
      </w:pPr>
      <w:bookmarkStart w:id="42" w:name="X0be2cbf83b8d9589dd6ef90a6d8074651d2dc6a"/>
      <w:r>
        <w:rPr>
          <w:rFonts w:ascii="Aptos Display" w:hAnsi="Aptos Display"/>
          <w:b/>
          <w:color w:val="174A2E"/>
          <w:sz w:val="21"/>
        </w:rPr>
        <w:t>4.9. Modelos de cliente y catálogo de servicios por segmento (B2C · B2B · B2B2C · B2G · IaaS)</w:t>
      </w:r>
      <w:bookmarkEnd w:id="42"/>
    </w:p>
    <w:p w14:paraId="6B29FA74">
      <w:pPr>
        <w:pStyle w:val="23"/>
      </w:pPr>
      <w:r>
        <w:rPr>
          <w:rFonts w:ascii="Aptos" w:hAnsi="Aptos"/>
          <w:color w:val="1F2937"/>
          <w:sz w:val="21"/>
        </w:rPr>
        <w:t xml:space="preserve">CASTÚO-SYSTEM opera un </w:t>
      </w:r>
      <w:r>
        <w:rPr>
          <w:rFonts w:ascii="Aptos" w:hAnsi="Aptos"/>
          <w:b/>
          <w:color w:val="1F2937"/>
          <w:sz w:val="21"/>
        </w:rPr>
        <w:t>modelo multi-segmento</w:t>
      </w:r>
      <w:r>
        <w:rPr>
          <w:rFonts w:ascii="Aptos" w:hAnsi="Aptos"/>
          <w:color w:val="1F2937"/>
          <w:sz w:val="21"/>
        </w:rPr>
        <w:t xml:space="preserve">: el mismo núcleo tecnológico da lugar a servicios distintos según a quién se venda y en qué fase. Este apartado enumera </w:t>
      </w:r>
      <w:r>
        <w:rPr>
          <w:rFonts w:ascii="Aptos" w:hAnsi="Aptos"/>
          <w:b/>
          <w:color w:val="1F2937"/>
          <w:sz w:val="21"/>
        </w:rPr>
        <w:t>todos los tipos de relación comercial y de servicio</w:t>
      </w:r>
      <w:r>
        <w:rPr>
          <w:rFonts w:ascii="Aptos" w:hAnsi="Aptos"/>
          <w:color w:val="1F2937"/>
          <w:sz w:val="21"/>
        </w:rPr>
        <w:t xml:space="preserve"> posibles, separando lo que ya es vendible en la </w:t>
      </w:r>
      <w:r>
        <w:rPr>
          <w:rFonts w:ascii="Aptos" w:hAnsi="Aptos"/>
          <w:b/>
          <w:color w:val="1F2937"/>
          <w:sz w:val="21"/>
        </w:rPr>
        <w:t>Fase 1</w:t>
      </w:r>
      <w:r>
        <w:rPr>
          <w:rFonts w:ascii="Aptos" w:hAnsi="Aptos"/>
          <w:color w:val="1F2937"/>
          <w:sz w:val="21"/>
        </w:rPr>
        <w:t xml:space="preserve"> (capa digital, disponible) de lo que se activa en el </w:t>
      </w:r>
      <w:r>
        <w:rPr>
          <w:rFonts w:ascii="Aptos" w:hAnsi="Aptos"/>
          <w:b/>
          <w:color w:val="1F2937"/>
          <w:sz w:val="21"/>
        </w:rPr>
        <w:t>proyecto completo</w:t>
      </w:r>
      <w:r>
        <w:rPr>
          <w:rFonts w:ascii="Aptos" w:hAnsi="Aptos"/>
          <w:color w:val="1F2937"/>
          <w:sz w:val="21"/>
        </w:rPr>
        <w:t xml:space="preserve"> (capas física, energética, de datos e IaaS, condicionadas a Gates). Principio rector: </w:t>
      </w:r>
      <w:r>
        <w:rPr>
          <w:rFonts w:ascii="Aptos" w:hAnsi="Aptos"/>
          <w:b/>
          <w:color w:val="1F2937"/>
          <w:sz w:val="21"/>
        </w:rPr>
        <w:t>en F1 solo se comercializa lo validado</w:t>
      </w:r>
      <w:r>
        <w:rPr>
          <w:rFonts w:ascii="Aptos" w:hAnsi="Aptos"/>
          <w:color w:val="1F2937"/>
          <w:sz w:val="21"/>
        </w:rPr>
        <w:t xml:space="preserve"> (digital); los servicios físicos, energéticos y de infraestructura se activan por Gates y con su instrumento jurídico.</w:t>
      </w:r>
    </w:p>
    <w:p w14:paraId="70DD1919">
      <w:pPr>
        <w:pStyle w:val="5"/>
      </w:pPr>
      <w:bookmarkStart w:id="43" w:name="tipologías-de-relación-comercial"/>
      <w:r>
        <w:rPr>
          <w:rFonts w:ascii="Aptos Display" w:hAnsi="Aptos Display"/>
          <w:b/>
          <w:color w:val="174A2E"/>
          <w:sz w:val="21"/>
        </w:rPr>
        <w:t>4.9.1. Tipologías de relación comercial</w:t>
      </w:r>
      <w:bookmarkEnd w:id="43"/>
    </w:p>
    <w:p w14:paraId="63377E1B">
      <w:pPr>
        <w:pStyle w:val="24"/>
        <w:numPr>
          <w:ilvl w:val="0"/>
          <w:numId w:val="1"/>
        </w:numPr>
      </w:pPr>
      <w:r>
        <w:rPr>
          <w:rFonts w:ascii="Aptos" w:hAnsi="Aptos"/>
          <w:b/>
          <w:color w:val="1F2937"/>
          <w:sz w:val="21"/>
        </w:rPr>
        <w:t>B2C — Titular de explotación pequeña (5–20 ha).</w:t>
      </w:r>
      <w:r>
        <w:rPr>
          <w:rFonts w:ascii="Aptos" w:hAnsi="Aptos"/>
          <w:color w:val="1F2937"/>
          <w:sz w:val="21"/>
        </w:rPr>
        <w:t xml:space="preserve"> El agricultor como cliente final: SaaS, sensórica y formación.</w:t>
      </w:r>
    </w:p>
    <w:p w14:paraId="27FF474A">
      <w:pPr>
        <w:pStyle w:val="24"/>
        <w:numPr>
          <w:ilvl w:val="0"/>
          <w:numId w:val="1"/>
        </w:numPr>
      </w:pPr>
      <w:r>
        <w:rPr>
          <w:rFonts w:ascii="Aptos" w:hAnsi="Aptos"/>
          <w:b/>
          <w:color w:val="1F2937"/>
          <w:sz w:val="21"/>
        </w:rPr>
        <w:t>B2B — Empresas y organizaciones.</w:t>
      </w:r>
      <w:r>
        <w:rPr>
          <w:rFonts w:ascii="Aptos" w:hAnsi="Aptos"/>
          <w:color w:val="1F2937"/>
          <w:sz w:val="21"/>
        </w:rPr>
        <w:t xml:space="preserve"> Cooperativas, comunidades de regantes, agroindustria, distribuidores, ingenierías e instaladores.</w:t>
      </w:r>
    </w:p>
    <w:p w14:paraId="185409A9">
      <w:pPr>
        <w:pStyle w:val="24"/>
        <w:numPr>
          <w:ilvl w:val="0"/>
          <w:numId w:val="1"/>
        </w:numPr>
      </w:pPr>
      <w:r>
        <w:rPr>
          <w:rFonts w:ascii="Aptos" w:hAnsi="Aptos"/>
          <w:b/>
          <w:color w:val="1F2937"/>
          <w:sz w:val="21"/>
        </w:rPr>
        <w:t>B2B2C — A través de cooperativas.</w:t>
      </w:r>
      <w:r>
        <w:rPr>
          <w:rFonts w:ascii="Aptos" w:hAnsi="Aptos"/>
          <w:color w:val="1F2937"/>
          <w:sz w:val="21"/>
        </w:rPr>
        <w:t xml:space="preserve"> La cooperativa contrata y sirve el producto a sus socios; CASTÚO factura a la organización y el valor llega al agricultor.</w:t>
      </w:r>
    </w:p>
    <w:p w14:paraId="20FA5F1A">
      <w:pPr>
        <w:pStyle w:val="24"/>
        <w:numPr>
          <w:ilvl w:val="0"/>
          <w:numId w:val="1"/>
        </w:numPr>
      </w:pPr>
      <w:r>
        <w:rPr>
          <w:rFonts w:ascii="Aptos" w:hAnsi="Aptos"/>
          <w:b/>
          <w:color w:val="1F2937"/>
          <w:sz w:val="21"/>
        </w:rPr>
        <w:t>B2G — Administración pública como cliente.</w:t>
      </w:r>
      <w:r>
        <w:rPr>
          <w:rFonts w:ascii="Aptos" w:hAnsi="Aptos"/>
          <w:color w:val="1F2937"/>
          <w:sz w:val="21"/>
        </w:rPr>
        <w:t xml:space="preserve"> Ayuntamientos y mancomunidades, Diputación de Cáceres, Junta de Extremadura y administración estatal (reto demográfico).</w:t>
      </w:r>
    </w:p>
    <w:p w14:paraId="526D8DFE">
      <w:pPr>
        <w:pStyle w:val="24"/>
        <w:numPr>
          <w:ilvl w:val="0"/>
          <w:numId w:val="1"/>
        </w:numPr>
      </w:pPr>
      <w:r>
        <w:rPr>
          <w:rFonts w:ascii="Aptos" w:hAnsi="Aptos"/>
          <w:b/>
          <w:color w:val="1F2937"/>
          <w:sz w:val="21"/>
        </w:rPr>
        <w:t>B2B (IaaS / licencia) — Otros territorios.</w:t>
      </w:r>
      <w:r>
        <w:rPr>
          <w:rFonts w:ascii="Aptos" w:hAnsi="Aptos"/>
          <w:color w:val="1F2937"/>
          <w:sz w:val="21"/>
        </w:rPr>
        <w:t xml:space="preserve"> Municipios, cooperativas y operadores de otras comarcas o CC. AA. que contratan el patrón replicable (IaaS rural, §4.8).</w:t>
      </w:r>
    </w:p>
    <w:p w14:paraId="3F7DE694">
      <w:pPr>
        <w:pStyle w:val="24"/>
        <w:numPr>
          <w:ilvl w:val="0"/>
          <w:numId w:val="1"/>
        </w:numPr>
      </w:pPr>
      <w:r>
        <w:rPr>
          <w:rFonts w:ascii="Aptos" w:hAnsi="Aptos"/>
          <w:b/>
          <w:color w:val="1F2937"/>
          <w:sz w:val="21"/>
        </w:rPr>
        <w:t>Data B2B / B2G — Servicios de datos.</w:t>
      </w:r>
      <w:r>
        <w:rPr>
          <w:rFonts w:ascii="Aptos" w:hAnsi="Aptos"/>
          <w:color w:val="1F2937"/>
          <w:sz w:val="21"/>
        </w:rPr>
        <w:t xml:space="preserve"> Datos agro-energéticos y de impacto para agroindustria y administración.</w:t>
      </w:r>
    </w:p>
    <w:p w14:paraId="2B023D3D">
      <w:pPr>
        <w:pStyle w:val="5"/>
      </w:pPr>
      <w:bookmarkStart w:id="44" w:name="X92a3d20b7da151e5ad4a80164e72299aad9b3f7"/>
      <w:r>
        <w:rPr>
          <w:rFonts w:ascii="Aptos Display" w:hAnsi="Aptos Display"/>
          <w:b/>
          <w:color w:val="174A2E"/>
          <w:sz w:val="21"/>
        </w:rPr>
        <w:t>4.9.2. Catálogo de servicios en la Fase 1 (disponible — capa digital)</w:t>
      </w:r>
      <w:bookmarkEnd w:id="44"/>
    </w:p>
    <w:tbl>
      <w:tblPr>
        <w:tblStyle w:val="28"/>
        <w:tblW w:w="5000" w:type="pct"/>
        <w:jc w:val="center"/>
        <w:tblInd w:w="0" w:type="dxa"/>
        <w:tblLayout w:type="fixed"/>
        <w:tblCellMar>
          <w:top w:w="0" w:type="dxa"/>
          <w:left w:w="108" w:type="dxa"/>
          <w:bottom w:w="0" w:type="dxa"/>
          <w:right w:w="108" w:type="dxa"/>
        </w:tblCellMar>
      </w:tblPr>
      <w:tblGrid>
        <w:gridCol w:w="1980"/>
        <w:gridCol w:w="1980"/>
        <w:gridCol w:w="1980"/>
        <w:gridCol w:w="1980"/>
      </w:tblGrid>
      <w:tr w14:paraId="44855689">
        <w:tblPrEx>
          <w:tblCellMar>
            <w:top w:w="0" w:type="dxa"/>
            <w:left w:w="108" w:type="dxa"/>
            <w:bottom w:w="0" w:type="dxa"/>
            <w:right w:w="108" w:type="dxa"/>
          </w:tblCellMar>
        </w:tblPrEx>
        <w:tc>
          <w:tcPr>
            <w:tcW w:w="2340" w:type="dxa"/>
            <w:tcBorders>
              <w:bottom w:val="single" w:color="auto" w:sz="0" w:space="0"/>
            </w:tcBorders>
            <w:vAlign w:val="bottom"/>
          </w:tcPr>
          <w:p w14:paraId="6EBBA51B">
            <w:pPr>
              <w:pStyle w:val="24"/>
              <w:spacing w:after="0"/>
              <w:jc w:val="left"/>
            </w:pPr>
            <w:r>
              <w:rPr>
                <w:rFonts w:ascii="Aptos" w:hAnsi="Aptos"/>
                <w:color w:val="1F2937"/>
                <w:sz w:val="18"/>
              </w:rPr>
              <w:t>Segmento</w:t>
            </w:r>
          </w:p>
        </w:tc>
        <w:tc>
          <w:tcPr>
            <w:tcW w:w="2340" w:type="dxa"/>
            <w:tcBorders>
              <w:bottom w:val="single" w:color="auto" w:sz="0" w:space="0"/>
            </w:tcBorders>
            <w:vAlign w:val="bottom"/>
          </w:tcPr>
          <w:p w14:paraId="7B291E22">
            <w:pPr>
              <w:pStyle w:val="24"/>
              <w:spacing w:after="0"/>
              <w:jc w:val="left"/>
            </w:pPr>
            <w:r>
              <w:rPr>
                <w:rFonts w:ascii="Aptos" w:hAnsi="Aptos"/>
                <w:color w:val="1F2937"/>
                <w:sz w:val="18"/>
              </w:rPr>
              <w:t>Servicio en F1</w:t>
            </w:r>
          </w:p>
        </w:tc>
        <w:tc>
          <w:tcPr>
            <w:tcW w:w="2340" w:type="dxa"/>
            <w:tcBorders>
              <w:bottom w:val="single" w:color="auto" w:sz="0" w:space="0"/>
            </w:tcBorders>
            <w:vAlign w:val="bottom"/>
          </w:tcPr>
          <w:p w14:paraId="4EAE22A5">
            <w:pPr>
              <w:pStyle w:val="24"/>
              <w:spacing w:after="0"/>
              <w:jc w:val="left"/>
            </w:pPr>
            <w:r>
              <w:rPr>
                <w:rFonts w:ascii="Aptos" w:hAnsi="Aptos"/>
                <w:color w:val="1F2937"/>
                <w:sz w:val="18"/>
              </w:rPr>
              <w:t>Tipo</w:t>
            </w:r>
          </w:p>
        </w:tc>
        <w:tc>
          <w:tcPr>
            <w:tcW w:w="2340" w:type="dxa"/>
            <w:tcBorders>
              <w:bottom w:val="single" w:color="auto" w:sz="0" w:space="0"/>
            </w:tcBorders>
            <w:vAlign w:val="bottom"/>
          </w:tcPr>
          <w:p w14:paraId="2D9399D0">
            <w:pPr>
              <w:pStyle w:val="24"/>
              <w:spacing w:after="0"/>
              <w:jc w:val="left"/>
            </w:pPr>
            <w:r>
              <w:rPr>
                <w:rFonts w:ascii="Aptos" w:hAnsi="Aptos"/>
                <w:color w:val="1F2937"/>
                <w:sz w:val="18"/>
              </w:rPr>
              <w:t>Mecanismo de cobro</w:t>
            </w:r>
          </w:p>
        </w:tc>
      </w:tr>
      <w:tr w14:paraId="2E30407A">
        <w:tblPrEx>
          <w:tblCellMar>
            <w:top w:w="0" w:type="dxa"/>
            <w:left w:w="108" w:type="dxa"/>
            <w:bottom w:w="0" w:type="dxa"/>
            <w:right w:w="108" w:type="dxa"/>
          </w:tblCellMar>
        </w:tblPrEx>
        <w:tc>
          <w:p w14:paraId="202F6C7A">
            <w:pPr>
              <w:pStyle w:val="24"/>
              <w:spacing w:after="0"/>
              <w:jc w:val="left"/>
            </w:pPr>
            <w:r>
              <w:rPr>
                <w:rFonts w:ascii="Aptos" w:hAnsi="Aptos"/>
                <w:color w:val="1F2937"/>
                <w:sz w:val="18"/>
              </w:rPr>
              <w:t>B2C · Agricultor</w:t>
            </w:r>
          </w:p>
        </w:tc>
        <w:tc>
          <w:p w14:paraId="5AECFCC0">
            <w:pPr>
              <w:pStyle w:val="24"/>
              <w:spacing w:after="0"/>
              <w:jc w:val="left"/>
            </w:pPr>
            <w:r>
              <w:rPr>
                <w:rFonts w:ascii="Aptos" w:hAnsi="Aptos"/>
                <w:color w:val="1F2937"/>
                <w:sz w:val="18"/>
              </w:rPr>
              <w:t>SaaS (trazabilidad, cuaderno digital, riego/clima)</w:t>
            </w:r>
          </w:p>
        </w:tc>
        <w:tc>
          <w:p w14:paraId="79558EAB">
            <w:pPr>
              <w:pStyle w:val="24"/>
              <w:spacing w:after="0"/>
              <w:jc w:val="left"/>
            </w:pPr>
            <w:r>
              <w:rPr>
                <w:rFonts w:ascii="Aptos" w:hAnsi="Aptos"/>
                <w:color w:val="1F2937"/>
                <w:sz w:val="18"/>
              </w:rPr>
              <w:t>B2C</w:t>
            </w:r>
          </w:p>
        </w:tc>
        <w:tc>
          <w:p w14:paraId="33904811">
            <w:pPr>
              <w:pStyle w:val="24"/>
              <w:spacing w:after="0"/>
              <w:jc w:val="left"/>
            </w:pPr>
            <w:r>
              <w:rPr>
                <w:rFonts w:ascii="Aptos" w:hAnsi="Aptos"/>
                <w:color w:val="1F2937"/>
                <w:sz w:val="18"/>
              </w:rPr>
              <w:t>Suscripción 250–350 €/mes</w:t>
            </w:r>
          </w:p>
        </w:tc>
      </w:tr>
      <w:tr w14:paraId="16D24303">
        <w:tblPrEx>
          <w:tblCellMar>
            <w:top w:w="0" w:type="dxa"/>
            <w:left w:w="108" w:type="dxa"/>
            <w:bottom w:w="0" w:type="dxa"/>
            <w:right w:w="108" w:type="dxa"/>
          </w:tblCellMar>
        </w:tblPrEx>
        <w:tc>
          <w:p w14:paraId="0BCDBB3B">
            <w:pPr>
              <w:pStyle w:val="24"/>
              <w:spacing w:after="0"/>
              <w:jc w:val="left"/>
            </w:pPr>
            <w:r>
              <w:rPr>
                <w:rFonts w:ascii="Aptos" w:hAnsi="Aptos"/>
                <w:color w:val="1F2937"/>
                <w:sz w:val="18"/>
              </w:rPr>
              <w:t>B2C · Agricultor</w:t>
            </w:r>
          </w:p>
        </w:tc>
        <w:tc>
          <w:p w14:paraId="59387FB6">
            <w:pPr>
              <w:pStyle w:val="24"/>
              <w:spacing w:after="0"/>
              <w:jc w:val="left"/>
            </w:pPr>
            <w:r>
              <w:rPr>
                <w:rFonts w:ascii="Aptos" w:hAnsi="Aptos"/>
                <w:color w:val="1F2937"/>
                <w:sz w:val="18"/>
              </w:rPr>
              <w:t>Kit IoT + instalación y calibración</w:t>
            </w:r>
          </w:p>
        </w:tc>
        <w:tc>
          <w:p w14:paraId="07039570">
            <w:pPr>
              <w:pStyle w:val="24"/>
              <w:spacing w:after="0"/>
              <w:jc w:val="left"/>
            </w:pPr>
            <w:r>
              <w:rPr>
                <w:rFonts w:ascii="Aptos" w:hAnsi="Aptos"/>
                <w:color w:val="1F2937"/>
                <w:sz w:val="18"/>
              </w:rPr>
              <w:t>B2C</w:t>
            </w:r>
          </w:p>
        </w:tc>
        <w:tc>
          <w:p w14:paraId="571E3A18">
            <w:pPr>
              <w:pStyle w:val="24"/>
              <w:spacing w:after="0"/>
              <w:jc w:val="left"/>
            </w:pPr>
            <w:r>
              <w:rPr>
                <w:rFonts w:ascii="Aptos" w:hAnsi="Aptos"/>
                <w:color w:val="1F2937"/>
                <w:sz w:val="18"/>
              </w:rPr>
              <w:t>Pago único</w:t>
            </w:r>
          </w:p>
        </w:tc>
      </w:tr>
      <w:tr w14:paraId="47C3B770">
        <w:tblPrEx>
          <w:tblCellMar>
            <w:top w:w="0" w:type="dxa"/>
            <w:left w:w="108" w:type="dxa"/>
            <w:bottom w:w="0" w:type="dxa"/>
            <w:right w:w="108" w:type="dxa"/>
          </w:tblCellMar>
        </w:tblPrEx>
        <w:tc>
          <w:p w14:paraId="69BC11D5">
            <w:pPr>
              <w:pStyle w:val="24"/>
              <w:spacing w:after="0"/>
              <w:jc w:val="left"/>
            </w:pPr>
            <w:r>
              <w:rPr>
                <w:rFonts w:ascii="Aptos" w:hAnsi="Aptos"/>
                <w:color w:val="1F2937"/>
                <w:sz w:val="18"/>
              </w:rPr>
              <w:t>B2C · Agricultor</w:t>
            </w:r>
          </w:p>
        </w:tc>
        <w:tc>
          <w:p w14:paraId="54494C22">
            <w:pPr>
              <w:pStyle w:val="24"/>
              <w:spacing w:after="0"/>
              <w:jc w:val="left"/>
            </w:pPr>
            <w:r>
              <w:rPr>
                <w:rFonts w:ascii="Aptos" w:hAnsi="Aptos"/>
                <w:color w:val="1F2937"/>
                <w:sz w:val="18"/>
              </w:rPr>
              <w:t>Consultoría y formación (digitalización, APPCC)</w:t>
            </w:r>
          </w:p>
        </w:tc>
        <w:tc>
          <w:p w14:paraId="1CF051A8">
            <w:pPr>
              <w:pStyle w:val="24"/>
              <w:spacing w:after="0"/>
              <w:jc w:val="left"/>
            </w:pPr>
            <w:r>
              <w:rPr>
                <w:rFonts w:ascii="Aptos" w:hAnsi="Aptos"/>
                <w:color w:val="1F2937"/>
                <w:sz w:val="18"/>
              </w:rPr>
              <w:t>B2C</w:t>
            </w:r>
          </w:p>
        </w:tc>
        <w:tc>
          <w:p w14:paraId="56C6761F">
            <w:pPr>
              <w:pStyle w:val="24"/>
              <w:spacing w:after="0"/>
              <w:jc w:val="left"/>
            </w:pPr>
            <w:r>
              <w:rPr>
                <w:rFonts w:ascii="Aptos" w:hAnsi="Aptos"/>
                <w:color w:val="1F2937"/>
                <w:sz w:val="18"/>
              </w:rPr>
              <w:t>Por horas / proyecto</w:t>
            </w:r>
          </w:p>
        </w:tc>
      </w:tr>
      <w:tr w14:paraId="63595A1D">
        <w:tblPrEx>
          <w:tblCellMar>
            <w:top w:w="0" w:type="dxa"/>
            <w:left w:w="108" w:type="dxa"/>
            <w:bottom w:w="0" w:type="dxa"/>
            <w:right w:w="108" w:type="dxa"/>
          </w:tblCellMar>
        </w:tblPrEx>
        <w:tc>
          <w:p w14:paraId="0C8746F0">
            <w:pPr>
              <w:pStyle w:val="24"/>
              <w:spacing w:after="0"/>
              <w:jc w:val="left"/>
            </w:pPr>
            <w:r>
              <w:rPr>
                <w:rFonts w:ascii="Aptos" w:hAnsi="Aptos"/>
                <w:color w:val="1F2937"/>
                <w:sz w:val="18"/>
              </w:rPr>
              <w:t>B2B · Cooperativa</w:t>
            </w:r>
          </w:p>
        </w:tc>
        <w:tc>
          <w:p w14:paraId="1226685B">
            <w:pPr>
              <w:pStyle w:val="24"/>
              <w:spacing w:after="0"/>
              <w:jc w:val="left"/>
            </w:pPr>
            <w:r>
              <w:rPr>
                <w:rFonts w:ascii="Aptos" w:hAnsi="Aptos"/>
                <w:color w:val="1F2937"/>
                <w:sz w:val="18"/>
              </w:rPr>
              <w:t>SaaS multi-socio (adopción colectiva) + trazabilidad colectiva</w:t>
            </w:r>
          </w:p>
        </w:tc>
        <w:tc>
          <w:p w14:paraId="41BF699E">
            <w:pPr>
              <w:pStyle w:val="24"/>
              <w:spacing w:after="0"/>
              <w:jc w:val="left"/>
            </w:pPr>
            <w:r>
              <w:rPr>
                <w:rFonts w:ascii="Aptos" w:hAnsi="Aptos"/>
                <w:color w:val="1F2937"/>
                <w:sz w:val="18"/>
              </w:rPr>
              <w:t>B2B / B2B2C</w:t>
            </w:r>
          </w:p>
        </w:tc>
        <w:tc>
          <w:p w14:paraId="276E4400">
            <w:pPr>
              <w:pStyle w:val="24"/>
              <w:spacing w:after="0"/>
              <w:jc w:val="left"/>
            </w:pPr>
            <w:r>
              <w:rPr>
                <w:rFonts w:ascii="Aptos" w:hAnsi="Aptos"/>
                <w:color w:val="1F2937"/>
                <w:sz w:val="18"/>
              </w:rPr>
              <w:t>Suscripción por volumen</w:t>
            </w:r>
          </w:p>
        </w:tc>
      </w:tr>
      <w:tr w14:paraId="4DFB7F11">
        <w:tblPrEx>
          <w:tblCellMar>
            <w:top w:w="0" w:type="dxa"/>
            <w:left w:w="108" w:type="dxa"/>
            <w:bottom w:w="0" w:type="dxa"/>
            <w:right w:w="108" w:type="dxa"/>
          </w:tblCellMar>
        </w:tblPrEx>
        <w:tc>
          <w:p w14:paraId="668A0D6B">
            <w:pPr>
              <w:pStyle w:val="24"/>
              <w:spacing w:after="0"/>
              <w:jc w:val="left"/>
            </w:pPr>
            <w:r>
              <w:rPr>
                <w:rFonts w:ascii="Aptos" w:hAnsi="Aptos"/>
                <w:color w:val="1F2937"/>
                <w:sz w:val="18"/>
              </w:rPr>
              <w:t>B2B · Cooperativa</w:t>
            </w:r>
          </w:p>
        </w:tc>
        <w:tc>
          <w:p w14:paraId="0214C426">
            <w:pPr>
              <w:pStyle w:val="24"/>
              <w:spacing w:after="0"/>
              <w:jc w:val="left"/>
            </w:pPr>
            <w:r>
              <w:rPr>
                <w:rFonts w:ascii="Aptos" w:hAnsi="Aptos"/>
                <w:color w:val="1F2937"/>
                <w:sz w:val="18"/>
              </w:rPr>
              <w:t>Formación grupal y acompañamiento</w:t>
            </w:r>
          </w:p>
        </w:tc>
        <w:tc>
          <w:p w14:paraId="6485B5F2">
            <w:pPr>
              <w:pStyle w:val="24"/>
              <w:spacing w:after="0"/>
              <w:jc w:val="left"/>
            </w:pPr>
            <w:r>
              <w:rPr>
                <w:rFonts w:ascii="Aptos" w:hAnsi="Aptos"/>
                <w:color w:val="1F2937"/>
                <w:sz w:val="18"/>
              </w:rPr>
              <w:t>B2B</w:t>
            </w:r>
          </w:p>
        </w:tc>
        <w:tc>
          <w:p w14:paraId="539C174D">
            <w:pPr>
              <w:pStyle w:val="24"/>
              <w:spacing w:after="0"/>
              <w:jc w:val="left"/>
            </w:pPr>
            <w:r>
              <w:rPr>
                <w:rFonts w:ascii="Aptos" w:hAnsi="Aptos"/>
                <w:color w:val="1F2937"/>
                <w:sz w:val="18"/>
              </w:rPr>
              <w:t>Por proyecto</w:t>
            </w:r>
          </w:p>
        </w:tc>
      </w:tr>
      <w:tr w14:paraId="3D0820D9">
        <w:tblPrEx>
          <w:tblCellMar>
            <w:top w:w="0" w:type="dxa"/>
            <w:left w:w="108" w:type="dxa"/>
            <w:bottom w:w="0" w:type="dxa"/>
            <w:right w:w="108" w:type="dxa"/>
          </w:tblCellMar>
        </w:tblPrEx>
        <w:tc>
          <w:p w14:paraId="64A2E906">
            <w:pPr>
              <w:pStyle w:val="24"/>
              <w:spacing w:after="0"/>
              <w:jc w:val="left"/>
            </w:pPr>
            <w:r>
              <w:rPr>
                <w:rFonts w:ascii="Aptos" w:hAnsi="Aptos"/>
                <w:color w:val="1F2937"/>
                <w:sz w:val="18"/>
              </w:rPr>
              <w:t>B2G · Ayuntamiento (piloto)</w:t>
            </w:r>
          </w:p>
        </w:tc>
        <w:tc>
          <w:p w14:paraId="4D340062">
            <w:pPr>
              <w:pStyle w:val="24"/>
              <w:spacing w:after="0"/>
              <w:jc w:val="left"/>
            </w:pPr>
            <w:r>
              <w:rPr>
                <w:rFonts w:ascii="Aptos" w:hAnsi="Aptos"/>
                <w:color w:val="1F2937"/>
                <w:sz w:val="18"/>
              </w:rPr>
              <w:t>Panel municipal básico; acompañamiento en el diseño del vehículo de autoconsumo; convenio de datos/suelo</w:t>
            </w:r>
          </w:p>
        </w:tc>
        <w:tc>
          <w:p w14:paraId="37CD551A">
            <w:pPr>
              <w:pStyle w:val="24"/>
              <w:spacing w:after="0"/>
              <w:jc w:val="left"/>
            </w:pPr>
            <w:r>
              <w:rPr>
                <w:rFonts w:ascii="Aptos" w:hAnsi="Aptos"/>
                <w:color w:val="1F2937"/>
                <w:sz w:val="18"/>
              </w:rPr>
              <w:t>B2G (piloto/institucional)</w:t>
            </w:r>
          </w:p>
        </w:tc>
        <w:tc>
          <w:p w14:paraId="0C682DBF">
            <w:pPr>
              <w:pStyle w:val="24"/>
              <w:spacing w:after="0"/>
              <w:jc w:val="left"/>
            </w:pPr>
            <w:r>
              <w:rPr>
                <w:rFonts w:ascii="Aptos" w:hAnsi="Aptos"/>
                <w:color w:val="1F2937"/>
                <w:sz w:val="18"/>
              </w:rPr>
              <w:t>Servicio / convenio</w:t>
            </w:r>
          </w:p>
        </w:tc>
      </w:tr>
      <w:tr w14:paraId="1C38DD9B">
        <w:tblPrEx>
          <w:tblCellMar>
            <w:top w:w="0" w:type="dxa"/>
            <w:left w:w="108" w:type="dxa"/>
            <w:bottom w:w="0" w:type="dxa"/>
            <w:right w:w="108" w:type="dxa"/>
          </w:tblCellMar>
        </w:tblPrEx>
        <w:tc>
          <w:p w14:paraId="344D60B8">
            <w:pPr>
              <w:pStyle w:val="24"/>
              <w:spacing w:after="0"/>
              <w:jc w:val="left"/>
            </w:pPr>
            <w:r>
              <w:rPr>
                <w:rFonts w:ascii="Aptos" w:hAnsi="Aptos"/>
                <w:color w:val="1F2937"/>
                <w:sz w:val="18"/>
              </w:rPr>
              <w:t>B2B · Ingenierías e instaladores</w:t>
            </w:r>
          </w:p>
        </w:tc>
        <w:tc>
          <w:p w14:paraId="5972C522">
            <w:pPr>
              <w:pStyle w:val="24"/>
              <w:spacing w:after="0"/>
              <w:jc w:val="left"/>
            </w:pPr>
            <w:r>
              <w:rPr>
                <w:rFonts w:ascii="Aptos" w:hAnsi="Aptos"/>
                <w:color w:val="1F2937"/>
                <w:sz w:val="18"/>
              </w:rPr>
              <w:t>Integración de datos y acceso a API (NGSI-LD)</w:t>
            </w:r>
          </w:p>
        </w:tc>
        <w:tc>
          <w:p w14:paraId="4028D614">
            <w:pPr>
              <w:pStyle w:val="24"/>
              <w:spacing w:after="0"/>
              <w:jc w:val="left"/>
            </w:pPr>
            <w:r>
              <w:rPr>
                <w:rFonts w:ascii="Aptos" w:hAnsi="Aptos"/>
                <w:color w:val="1F2937"/>
                <w:sz w:val="18"/>
              </w:rPr>
              <w:t>B2B</w:t>
            </w:r>
          </w:p>
        </w:tc>
        <w:tc>
          <w:p w14:paraId="0E8E17C4">
            <w:pPr>
              <w:pStyle w:val="24"/>
              <w:spacing w:after="0"/>
              <w:jc w:val="left"/>
            </w:pPr>
            <w:r>
              <w:rPr>
                <w:rFonts w:ascii="Aptos" w:hAnsi="Aptos"/>
                <w:color w:val="1F2937"/>
                <w:sz w:val="18"/>
              </w:rPr>
              <w:t>Licencia / integración</w:t>
            </w:r>
          </w:p>
        </w:tc>
      </w:tr>
    </w:tbl>
    <w:p w14:paraId="1B6BD282">
      <w:pPr>
        <w:pStyle w:val="3"/>
      </w:pPr>
      <w:r>
        <w:rPr>
          <w:rFonts w:ascii="Aptos" w:hAnsi="Aptos"/>
          <w:color w:val="1F2937"/>
          <w:sz w:val="21"/>
        </w:rPr>
        <w:t xml:space="preserve">En F1 el ayuntamiento es, sobre todo, </w:t>
      </w:r>
      <w:r>
        <w:rPr>
          <w:rFonts w:ascii="Aptos" w:hAnsi="Aptos"/>
          <w:b/>
          <w:color w:val="1F2937"/>
          <w:sz w:val="21"/>
        </w:rPr>
        <w:t>socio institucional y prescriptor</w:t>
      </w:r>
      <w:r>
        <w:rPr>
          <w:rFonts w:ascii="Aptos" w:hAnsi="Aptos"/>
          <w:color w:val="1F2937"/>
          <w:sz w:val="21"/>
        </w:rPr>
        <w:t xml:space="preserve"> y cliente piloto de servicios digitales; </w:t>
      </w:r>
      <w:r>
        <w:rPr>
          <w:rFonts w:ascii="Aptos" w:hAnsi="Aptos"/>
          <w:b/>
          <w:color w:val="1F2937"/>
          <w:sz w:val="21"/>
        </w:rPr>
        <w:t>no</w:t>
      </w:r>
      <w:r>
        <w:rPr>
          <w:rFonts w:ascii="Aptos" w:hAnsi="Aptos"/>
          <w:color w:val="1F2937"/>
          <w:sz w:val="21"/>
        </w:rPr>
        <w:t xml:space="preserve"> es aún cliente de infraestructura.</w:t>
      </w:r>
    </w:p>
    <w:p w14:paraId="486B9F4B">
      <w:pPr>
        <w:pStyle w:val="5"/>
      </w:pPr>
      <w:bookmarkStart w:id="45" w:name="X16cbeed3ea179b9946a4aa24290ac8ebdf4b9e5"/>
      <w:r>
        <w:rPr>
          <w:rFonts w:ascii="Aptos Display" w:hAnsi="Aptos Display"/>
          <w:b/>
          <w:color w:val="174A2E"/>
          <w:sz w:val="21"/>
        </w:rPr>
        <w:t>4.9.3. Catálogo de servicios en el proyecto completo (F2–F5 + IaaS — condicionado a Gates)</w:t>
      </w:r>
      <w:bookmarkEnd w:id="45"/>
    </w:p>
    <w:tbl>
      <w:tblPr>
        <w:tblStyle w:val="28"/>
        <w:tblW w:w="5000" w:type="pct"/>
        <w:jc w:val="center"/>
        <w:tblInd w:w="0" w:type="dxa"/>
        <w:tblLayout w:type="fixed"/>
        <w:tblCellMar>
          <w:top w:w="0" w:type="dxa"/>
          <w:left w:w="108" w:type="dxa"/>
          <w:bottom w:w="0" w:type="dxa"/>
          <w:right w:w="108" w:type="dxa"/>
        </w:tblCellMar>
      </w:tblPr>
      <w:tblGrid>
        <w:gridCol w:w="1980"/>
        <w:gridCol w:w="1980"/>
        <w:gridCol w:w="1980"/>
        <w:gridCol w:w="1980"/>
      </w:tblGrid>
      <w:tr w14:paraId="51DF1E75">
        <w:tc>
          <w:tcPr>
            <w:tcW w:w="2340" w:type="dxa"/>
            <w:tcBorders>
              <w:bottom w:val="single" w:color="auto" w:sz="0" w:space="0"/>
            </w:tcBorders>
            <w:vAlign w:val="bottom"/>
          </w:tcPr>
          <w:p w14:paraId="7EC3B565">
            <w:pPr>
              <w:pStyle w:val="24"/>
              <w:spacing w:after="0"/>
              <w:jc w:val="left"/>
            </w:pPr>
            <w:r>
              <w:rPr>
                <w:rFonts w:ascii="Aptos" w:hAnsi="Aptos"/>
                <w:color w:val="1F2937"/>
                <w:sz w:val="18"/>
              </w:rPr>
              <w:t>Segmento</w:t>
            </w:r>
          </w:p>
        </w:tc>
        <w:tc>
          <w:tcPr>
            <w:tcW w:w="2340" w:type="dxa"/>
            <w:tcBorders>
              <w:bottom w:val="single" w:color="auto" w:sz="0" w:space="0"/>
            </w:tcBorders>
            <w:vAlign w:val="bottom"/>
          </w:tcPr>
          <w:p w14:paraId="3ECE17E1">
            <w:pPr>
              <w:pStyle w:val="24"/>
              <w:spacing w:after="0"/>
              <w:jc w:val="left"/>
            </w:pPr>
            <w:r>
              <w:rPr>
                <w:rFonts w:ascii="Aptos" w:hAnsi="Aptos"/>
                <w:color w:val="1F2937"/>
                <w:sz w:val="18"/>
              </w:rPr>
              <w:t>Servicio en el proyecto completo</w:t>
            </w:r>
          </w:p>
        </w:tc>
        <w:tc>
          <w:tcPr>
            <w:tcW w:w="2340" w:type="dxa"/>
            <w:tcBorders>
              <w:bottom w:val="single" w:color="auto" w:sz="0" w:space="0"/>
            </w:tcBorders>
            <w:vAlign w:val="bottom"/>
          </w:tcPr>
          <w:p w14:paraId="6A092008">
            <w:pPr>
              <w:pStyle w:val="24"/>
              <w:spacing w:after="0"/>
              <w:jc w:val="left"/>
            </w:pPr>
            <w:r>
              <w:rPr>
                <w:rFonts w:ascii="Aptos" w:hAnsi="Aptos"/>
                <w:color w:val="1F2937"/>
                <w:sz w:val="18"/>
              </w:rPr>
              <w:t>Tipo</w:t>
            </w:r>
          </w:p>
        </w:tc>
        <w:tc>
          <w:tcPr>
            <w:tcW w:w="2340" w:type="dxa"/>
            <w:tcBorders>
              <w:bottom w:val="single" w:color="auto" w:sz="0" w:space="0"/>
            </w:tcBorders>
            <w:vAlign w:val="bottom"/>
          </w:tcPr>
          <w:p w14:paraId="724EEE73">
            <w:pPr>
              <w:pStyle w:val="24"/>
              <w:spacing w:after="0"/>
              <w:jc w:val="left"/>
            </w:pPr>
            <w:r>
              <w:rPr>
                <w:rFonts w:ascii="Aptos" w:hAnsi="Aptos"/>
                <w:color w:val="1F2937"/>
                <w:sz w:val="18"/>
              </w:rPr>
              <w:t>Gate / condición</w:t>
            </w:r>
          </w:p>
        </w:tc>
      </w:tr>
      <w:tr w14:paraId="70BA7534">
        <w:tblPrEx>
          <w:tblCellMar>
            <w:top w:w="0" w:type="dxa"/>
            <w:left w:w="108" w:type="dxa"/>
            <w:bottom w:w="0" w:type="dxa"/>
            <w:right w:w="108" w:type="dxa"/>
          </w:tblCellMar>
        </w:tblPrEx>
        <w:tc>
          <w:p w14:paraId="56F4FE12">
            <w:pPr>
              <w:pStyle w:val="24"/>
              <w:spacing w:after="0"/>
              <w:jc w:val="left"/>
            </w:pPr>
            <w:r>
              <w:rPr>
                <w:rFonts w:ascii="Aptos" w:hAnsi="Aptos"/>
                <w:color w:val="1F2937"/>
                <w:sz w:val="18"/>
              </w:rPr>
              <w:t>B2C · Agricultor</w:t>
            </w:r>
          </w:p>
        </w:tc>
        <w:tc>
          <w:p w14:paraId="02631CA3">
            <w:pPr>
              <w:pStyle w:val="24"/>
              <w:spacing w:after="0"/>
              <w:jc w:val="left"/>
            </w:pPr>
            <w:r>
              <w:rPr>
                <w:rFonts w:ascii="Aptos" w:hAnsi="Aptos"/>
                <w:color w:val="1F2937"/>
                <w:sz w:val="18"/>
              </w:rPr>
              <w:t>Hortaliza trazada de proximidad (venta directa)</w:t>
            </w:r>
          </w:p>
        </w:tc>
        <w:tc>
          <w:p w14:paraId="2D84F819">
            <w:pPr>
              <w:pStyle w:val="24"/>
              <w:spacing w:after="0"/>
              <w:jc w:val="left"/>
            </w:pPr>
            <w:r>
              <w:rPr>
                <w:rFonts w:ascii="Aptos" w:hAnsi="Aptos"/>
                <w:color w:val="1F2937"/>
                <w:sz w:val="18"/>
              </w:rPr>
              <w:t>B2C</w:t>
            </w:r>
          </w:p>
        </w:tc>
        <w:tc>
          <w:p w14:paraId="4F82763D">
            <w:pPr>
              <w:pStyle w:val="24"/>
              <w:spacing w:after="0"/>
              <w:jc w:val="left"/>
            </w:pPr>
            <w:r>
              <w:rPr>
                <w:rFonts w:ascii="Aptos" w:hAnsi="Aptos"/>
                <w:color w:val="1F2937"/>
                <w:sz w:val="18"/>
              </w:rPr>
              <w:t>G3</w:t>
            </w:r>
          </w:p>
        </w:tc>
      </w:tr>
      <w:tr w14:paraId="16128A1B">
        <w:tblPrEx>
          <w:tblCellMar>
            <w:top w:w="0" w:type="dxa"/>
            <w:left w:w="108" w:type="dxa"/>
            <w:bottom w:w="0" w:type="dxa"/>
            <w:right w:w="108" w:type="dxa"/>
          </w:tblCellMar>
        </w:tblPrEx>
        <w:tc>
          <w:p w14:paraId="0E3CBFE6">
            <w:pPr>
              <w:pStyle w:val="24"/>
              <w:spacing w:after="0"/>
              <w:jc w:val="left"/>
            </w:pPr>
            <w:r>
              <w:rPr>
                <w:rFonts w:ascii="Aptos" w:hAnsi="Aptos"/>
                <w:color w:val="1F2937"/>
                <w:sz w:val="18"/>
              </w:rPr>
              <w:t>B2C · Agricultor</w:t>
            </w:r>
          </w:p>
        </w:tc>
        <w:tc>
          <w:p w14:paraId="61D32C78">
            <w:pPr>
              <w:pStyle w:val="24"/>
              <w:spacing w:after="0"/>
              <w:jc w:val="left"/>
            </w:pPr>
            <w:r>
              <w:rPr>
                <w:rFonts w:ascii="Aptos" w:hAnsi="Aptos"/>
                <w:color w:val="1F2937"/>
                <w:sz w:val="18"/>
              </w:rPr>
              <w:t>Gestión energética del autoconsumo del titular</w:t>
            </w:r>
          </w:p>
        </w:tc>
        <w:tc>
          <w:p w14:paraId="3404981C">
            <w:pPr>
              <w:pStyle w:val="24"/>
              <w:spacing w:after="0"/>
              <w:jc w:val="left"/>
            </w:pPr>
            <w:r>
              <w:rPr>
                <w:rFonts w:ascii="Aptos" w:hAnsi="Aptos"/>
                <w:color w:val="1F2937"/>
                <w:sz w:val="18"/>
              </w:rPr>
              <w:t>B2C</w:t>
            </w:r>
          </w:p>
        </w:tc>
        <w:tc>
          <w:p w14:paraId="4C5A3238">
            <w:pPr>
              <w:pStyle w:val="24"/>
              <w:spacing w:after="0"/>
              <w:jc w:val="left"/>
            </w:pPr>
            <w:r>
              <w:rPr>
                <w:rFonts w:ascii="Aptos" w:hAnsi="Aptos"/>
                <w:color w:val="1F2937"/>
                <w:sz w:val="18"/>
              </w:rPr>
              <w:t>G4</w:t>
            </w:r>
          </w:p>
        </w:tc>
      </w:tr>
      <w:tr w14:paraId="1EA7C428">
        <w:tblPrEx>
          <w:tblCellMar>
            <w:top w:w="0" w:type="dxa"/>
            <w:left w:w="108" w:type="dxa"/>
            <w:bottom w:w="0" w:type="dxa"/>
            <w:right w:w="108" w:type="dxa"/>
          </w:tblCellMar>
        </w:tblPrEx>
        <w:tc>
          <w:p w14:paraId="49F05197">
            <w:pPr>
              <w:pStyle w:val="24"/>
              <w:spacing w:after="0"/>
              <w:jc w:val="left"/>
            </w:pPr>
            <w:r>
              <w:rPr>
                <w:rFonts w:ascii="Aptos" w:hAnsi="Aptos"/>
                <w:color w:val="1F2937"/>
                <w:sz w:val="18"/>
              </w:rPr>
              <w:t>B2B · Cooperativa</w:t>
            </w:r>
          </w:p>
        </w:tc>
        <w:tc>
          <w:p w14:paraId="7075CA03">
            <w:pPr>
              <w:pStyle w:val="24"/>
              <w:spacing w:after="0"/>
              <w:jc w:val="left"/>
            </w:pPr>
            <w:r>
              <w:rPr>
                <w:rFonts w:ascii="Aptos" w:hAnsi="Aptos"/>
                <w:color w:val="1F2937"/>
                <w:sz w:val="18"/>
              </w:rPr>
              <w:t>Compra agregada de energía; trazabilidad de canal premium; datos</w:t>
            </w:r>
          </w:p>
        </w:tc>
        <w:tc>
          <w:p w14:paraId="3DE36931">
            <w:pPr>
              <w:pStyle w:val="24"/>
              <w:spacing w:after="0"/>
              <w:jc w:val="left"/>
            </w:pPr>
            <w:r>
              <w:rPr>
                <w:rFonts w:ascii="Aptos" w:hAnsi="Aptos"/>
                <w:color w:val="1F2937"/>
                <w:sz w:val="18"/>
              </w:rPr>
              <w:t>B2B</w:t>
            </w:r>
          </w:p>
        </w:tc>
        <w:tc>
          <w:p w14:paraId="6071E6CF">
            <w:pPr>
              <w:pStyle w:val="24"/>
              <w:spacing w:after="0"/>
              <w:jc w:val="left"/>
            </w:pPr>
            <w:r>
              <w:rPr>
                <w:rFonts w:ascii="Aptos" w:hAnsi="Aptos"/>
                <w:color w:val="1F2937"/>
                <w:sz w:val="18"/>
              </w:rPr>
              <w:t>G3–G4</w:t>
            </w:r>
          </w:p>
        </w:tc>
      </w:tr>
      <w:tr w14:paraId="7108E041">
        <w:tblPrEx>
          <w:tblCellMar>
            <w:top w:w="0" w:type="dxa"/>
            <w:left w:w="108" w:type="dxa"/>
            <w:bottom w:w="0" w:type="dxa"/>
            <w:right w:w="108" w:type="dxa"/>
          </w:tblCellMar>
        </w:tblPrEx>
        <w:tc>
          <w:p w14:paraId="2AED3A92">
            <w:pPr>
              <w:pStyle w:val="24"/>
              <w:spacing w:after="0"/>
              <w:jc w:val="left"/>
            </w:pPr>
            <w:r>
              <w:rPr>
                <w:rFonts w:ascii="Aptos" w:hAnsi="Aptos"/>
                <w:color w:val="1F2937"/>
                <w:sz w:val="18"/>
              </w:rPr>
              <w:t>B2G · Ayuntamiento</w:t>
            </w:r>
          </w:p>
        </w:tc>
        <w:tc>
          <w:p w14:paraId="15F1DE2A">
            <w:pPr>
              <w:pStyle w:val="24"/>
              <w:spacing w:after="0"/>
              <w:jc w:val="left"/>
            </w:pPr>
            <w:r>
              <w:rPr>
                <w:rFonts w:ascii="Aptos" w:hAnsi="Aptos"/>
                <w:b/>
                <w:color w:val="1F2937"/>
                <w:sz w:val="18"/>
              </w:rPr>
              <w:t>Vehículo de autoconsumo colectivo gestionado</w:t>
            </w:r>
            <w:r>
              <w:rPr>
                <w:rFonts w:ascii="Aptos" w:hAnsi="Aptos"/>
                <w:color w:val="1F2937"/>
                <w:sz w:val="18"/>
              </w:rPr>
              <w:t xml:space="preserve"> (reduce el término de energía municipal)</w:t>
            </w:r>
          </w:p>
        </w:tc>
        <w:tc>
          <w:p w14:paraId="61DCC67A">
            <w:pPr>
              <w:pStyle w:val="24"/>
              <w:spacing w:after="0"/>
              <w:jc w:val="left"/>
            </w:pPr>
            <w:r>
              <w:rPr>
                <w:rFonts w:ascii="Aptos" w:hAnsi="Aptos"/>
                <w:color w:val="1F2937"/>
                <w:sz w:val="18"/>
              </w:rPr>
              <w:t>B2G</w:t>
            </w:r>
          </w:p>
        </w:tc>
        <w:tc>
          <w:p w14:paraId="55137D73">
            <w:pPr>
              <w:pStyle w:val="24"/>
              <w:spacing w:after="0"/>
              <w:jc w:val="left"/>
            </w:pPr>
            <w:r>
              <w:rPr>
                <w:rFonts w:ascii="Aptos" w:hAnsi="Aptos"/>
                <w:color w:val="1F2937"/>
                <w:sz w:val="18"/>
              </w:rPr>
              <w:t>G4 + vehículo jurídico</w:t>
            </w:r>
          </w:p>
        </w:tc>
      </w:tr>
      <w:tr w14:paraId="041F8606">
        <w:tblPrEx>
          <w:tblCellMar>
            <w:top w:w="0" w:type="dxa"/>
            <w:left w:w="108" w:type="dxa"/>
            <w:bottom w:w="0" w:type="dxa"/>
            <w:right w:w="108" w:type="dxa"/>
          </w:tblCellMar>
        </w:tblPrEx>
        <w:tc>
          <w:p w14:paraId="7D07F402">
            <w:pPr>
              <w:pStyle w:val="24"/>
              <w:spacing w:after="0"/>
              <w:jc w:val="left"/>
            </w:pPr>
            <w:r>
              <w:rPr>
                <w:rFonts w:ascii="Aptos" w:hAnsi="Aptos"/>
                <w:color w:val="1F2937"/>
                <w:sz w:val="18"/>
              </w:rPr>
              <w:t>B2G · Ayuntamiento</w:t>
            </w:r>
          </w:p>
        </w:tc>
        <w:tc>
          <w:p w14:paraId="0024E39B">
            <w:pPr>
              <w:pStyle w:val="24"/>
              <w:spacing w:after="0"/>
              <w:jc w:val="left"/>
            </w:pPr>
            <w:r>
              <w:rPr>
                <w:rFonts w:ascii="Aptos" w:hAnsi="Aptos"/>
                <w:color w:val="1F2937"/>
                <w:sz w:val="18"/>
              </w:rPr>
              <w:t>Panel municipal completo (energía, agua, trazabilidad, KPIs MISV)</w:t>
            </w:r>
          </w:p>
        </w:tc>
        <w:tc>
          <w:p w14:paraId="39841AD6">
            <w:pPr>
              <w:pStyle w:val="24"/>
              <w:spacing w:after="0"/>
              <w:jc w:val="left"/>
            </w:pPr>
            <w:r>
              <w:rPr>
                <w:rFonts w:ascii="Aptos" w:hAnsi="Aptos"/>
                <w:color w:val="1F2937"/>
                <w:sz w:val="18"/>
              </w:rPr>
              <w:t>B2G</w:t>
            </w:r>
          </w:p>
        </w:tc>
        <w:tc>
          <w:p w14:paraId="6E90E282">
            <w:pPr>
              <w:pStyle w:val="24"/>
              <w:spacing w:after="0"/>
              <w:jc w:val="left"/>
            </w:pPr>
            <w:r>
              <w:rPr>
                <w:rFonts w:ascii="Aptos" w:hAnsi="Aptos"/>
                <w:color w:val="1F2937"/>
                <w:sz w:val="18"/>
              </w:rPr>
              <w:t>G3–G4</w:t>
            </w:r>
          </w:p>
        </w:tc>
      </w:tr>
      <w:tr w14:paraId="29D1445D">
        <w:tblPrEx>
          <w:tblCellMar>
            <w:top w:w="0" w:type="dxa"/>
            <w:left w:w="108" w:type="dxa"/>
            <w:bottom w:w="0" w:type="dxa"/>
            <w:right w:w="108" w:type="dxa"/>
          </w:tblCellMar>
        </w:tblPrEx>
        <w:tc>
          <w:p w14:paraId="0642E463">
            <w:pPr>
              <w:pStyle w:val="24"/>
              <w:spacing w:after="0"/>
              <w:jc w:val="left"/>
            </w:pPr>
            <w:r>
              <w:rPr>
                <w:rFonts w:ascii="Aptos" w:hAnsi="Aptos"/>
                <w:color w:val="1F2937"/>
                <w:sz w:val="18"/>
              </w:rPr>
              <w:t>B2G · Ayuntamiento</w:t>
            </w:r>
          </w:p>
        </w:tc>
        <w:tc>
          <w:p w14:paraId="59F17792">
            <w:pPr>
              <w:pStyle w:val="24"/>
              <w:spacing w:after="0"/>
              <w:jc w:val="left"/>
            </w:pPr>
            <w:r>
              <w:rPr>
                <w:rFonts w:ascii="Aptos" w:hAnsi="Aptos"/>
                <w:b/>
                <w:color w:val="1F2937"/>
                <w:sz w:val="18"/>
              </w:rPr>
              <w:t>IaaS rural municipal</w:t>
            </w:r>
            <w:r>
              <w:rPr>
                <w:rFonts w:ascii="Aptos" w:hAnsi="Aptos"/>
                <w:color w:val="1F2937"/>
                <w:sz w:val="18"/>
              </w:rPr>
              <w:t>: invernadero + energía + datos, implantados y operados por CASTÚO</w:t>
            </w:r>
          </w:p>
        </w:tc>
        <w:tc>
          <w:p w14:paraId="4CDDA5CD">
            <w:pPr>
              <w:pStyle w:val="24"/>
              <w:spacing w:after="0"/>
              <w:jc w:val="left"/>
            </w:pPr>
            <w:r>
              <w:rPr>
                <w:rFonts w:ascii="Aptos" w:hAnsi="Aptos"/>
                <w:color w:val="1F2937"/>
                <w:sz w:val="18"/>
              </w:rPr>
              <w:t>B2G / IaaS</w:t>
            </w:r>
          </w:p>
        </w:tc>
        <w:tc>
          <w:p w14:paraId="5298FD7A">
            <w:pPr>
              <w:pStyle w:val="24"/>
              <w:spacing w:after="0"/>
              <w:jc w:val="left"/>
            </w:pPr>
            <w:r>
              <w:rPr>
                <w:rFonts w:ascii="Aptos" w:hAnsi="Aptos"/>
                <w:color w:val="1F2937"/>
                <w:sz w:val="18"/>
              </w:rPr>
              <w:t>G2–G4</w:t>
            </w:r>
          </w:p>
        </w:tc>
      </w:tr>
      <w:tr w14:paraId="0EF3562D">
        <w:tblPrEx>
          <w:tblCellMar>
            <w:top w:w="0" w:type="dxa"/>
            <w:left w:w="108" w:type="dxa"/>
            <w:bottom w:w="0" w:type="dxa"/>
            <w:right w:w="108" w:type="dxa"/>
          </w:tblCellMar>
        </w:tblPrEx>
        <w:tc>
          <w:p w14:paraId="19986292">
            <w:pPr>
              <w:pStyle w:val="24"/>
              <w:spacing w:after="0"/>
              <w:jc w:val="left"/>
            </w:pPr>
            <w:r>
              <w:rPr>
                <w:rFonts w:ascii="Aptos" w:hAnsi="Aptos"/>
                <w:color w:val="1F2937"/>
                <w:sz w:val="18"/>
              </w:rPr>
              <w:t>B2G · Ayuntamiento</w:t>
            </w:r>
          </w:p>
        </w:tc>
        <w:tc>
          <w:p w14:paraId="23AA8179">
            <w:pPr>
              <w:pStyle w:val="24"/>
              <w:spacing w:after="0"/>
              <w:jc w:val="left"/>
            </w:pPr>
            <w:r>
              <w:rPr>
                <w:rFonts w:ascii="Aptos" w:hAnsi="Aptos"/>
                <w:color w:val="1F2937"/>
                <w:sz w:val="18"/>
              </w:rPr>
              <w:t>Observatorio de datos del municipio</w:t>
            </w:r>
          </w:p>
        </w:tc>
        <w:tc>
          <w:p w14:paraId="5AF72214">
            <w:pPr>
              <w:pStyle w:val="24"/>
              <w:spacing w:after="0"/>
              <w:jc w:val="left"/>
            </w:pPr>
            <w:r>
              <w:rPr>
                <w:rFonts w:ascii="Aptos" w:hAnsi="Aptos"/>
                <w:color w:val="1F2937"/>
                <w:sz w:val="18"/>
              </w:rPr>
              <w:t>B2G / Data</w:t>
            </w:r>
          </w:p>
        </w:tc>
        <w:tc>
          <w:p w14:paraId="6CDE8F94">
            <w:pPr>
              <w:pStyle w:val="24"/>
              <w:spacing w:after="0"/>
              <w:jc w:val="left"/>
            </w:pPr>
            <w:r>
              <w:rPr>
                <w:rFonts w:ascii="Aptos" w:hAnsi="Aptos"/>
                <w:color w:val="1F2937"/>
                <w:sz w:val="18"/>
              </w:rPr>
              <w:t>G4</w:t>
            </w:r>
          </w:p>
        </w:tc>
      </w:tr>
      <w:tr w14:paraId="05097070">
        <w:tblPrEx>
          <w:tblCellMar>
            <w:top w:w="0" w:type="dxa"/>
            <w:left w:w="108" w:type="dxa"/>
            <w:bottom w:w="0" w:type="dxa"/>
            <w:right w:w="108" w:type="dxa"/>
          </w:tblCellMar>
        </w:tblPrEx>
        <w:tc>
          <w:p w14:paraId="166370A6">
            <w:pPr>
              <w:pStyle w:val="24"/>
              <w:spacing w:after="0"/>
              <w:jc w:val="left"/>
            </w:pPr>
            <w:r>
              <w:rPr>
                <w:rFonts w:ascii="Aptos" w:hAnsi="Aptos"/>
                <w:color w:val="1F2937"/>
                <w:sz w:val="18"/>
              </w:rPr>
              <w:t>B2G · Diputación / Junta / Estado</w:t>
            </w:r>
          </w:p>
        </w:tc>
        <w:tc>
          <w:p w14:paraId="435CF2FC">
            <w:pPr>
              <w:pStyle w:val="24"/>
              <w:spacing w:after="0"/>
              <w:jc w:val="left"/>
            </w:pPr>
            <w:r>
              <w:rPr>
                <w:rFonts w:ascii="Aptos" w:hAnsi="Aptos"/>
                <w:b/>
                <w:color w:val="1F2937"/>
                <w:sz w:val="18"/>
              </w:rPr>
              <w:t>Licencia del patrón de réplica</w:t>
            </w:r>
            <w:r>
              <w:rPr>
                <w:rFonts w:ascii="Aptos" w:hAnsi="Aptos"/>
                <w:color w:val="1F2937"/>
                <w:sz w:val="18"/>
              </w:rPr>
              <w:t xml:space="preserve"> para despliegue comarcal/regional</w:t>
            </w:r>
          </w:p>
        </w:tc>
        <w:tc>
          <w:p w14:paraId="2CAC429E">
            <w:pPr>
              <w:pStyle w:val="24"/>
              <w:spacing w:after="0"/>
              <w:jc w:val="left"/>
            </w:pPr>
            <w:r>
              <w:rPr>
                <w:rFonts w:ascii="Aptos" w:hAnsi="Aptos"/>
                <w:color w:val="1F2937"/>
                <w:sz w:val="18"/>
              </w:rPr>
              <w:t>B2G / IaaS</w:t>
            </w:r>
          </w:p>
        </w:tc>
        <w:tc>
          <w:p w14:paraId="33C9CFE9">
            <w:pPr>
              <w:pStyle w:val="24"/>
              <w:spacing w:after="0"/>
              <w:jc w:val="left"/>
            </w:pPr>
            <w:r>
              <w:rPr>
                <w:rFonts w:ascii="Aptos" w:hAnsi="Aptos"/>
                <w:color w:val="1F2937"/>
                <w:sz w:val="18"/>
              </w:rPr>
              <w:t>Post-G4</w:t>
            </w:r>
          </w:p>
        </w:tc>
      </w:tr>
      <w:tr w14:paraId="7AC14F20">
        <w:tblPrEx>
          <w:tblCellMar>
            <w:top w:w="0" w:type="dxa"/>
            <w:left w:w="108" w:type="dxa"/>
            <w:bottom w:w="0" w:type="dxa"/>
            <w:right w:w="108" w:type="dxa"/>
          </w:tblCellMar>
        </w:tblPrEx>
        <w:tc>
          <w:p w14:paraId="3E0925B4">
            <w:pPr>
              <w:pStyle w:val="24"/>
              <w:spacing w:after="0"/>
              <w:jc w:val="left"/>
            </w:pPr>
            <w:r>
              <w:rPr>
                <w:rFonts w:ascii="Aptos" w:hAnsi="Aptos"/>
                <w:color w:val="1F2937"/>
                <w:sz w:val="18"/>
              </w:rPr>
              <w:t>B2G · Diputación / Junta / Estado</w:t>
            </w:r>
          </w:p>
        </w:tc>
        <w:tc>
          <w:p w14:paraId="29159838">
            <w:pPr>
              <w:pStyle w:val="24"/>
              <w:spacing w:after="0"/>
              <w:jc w:val="left"/>
            </w:pPr>
            <w:r>
              <w:rPr>
                <w:rFonts w:ascii="Aptos" w:hAnsi="Aptos"/>
                <w:color w:val="1F2937"/>
                <w:sz w:val="18"/>
              </w:rPr>
              <w:t>Observatorio rural agregado (datos anonimizados para políticas de reto demográfico)</w:t>
            </w:r>
          </w:p>
        </w:tc>
        <w:tc>
          <w:p w14:paraId="60C6284D">
            <w:pPr>
              <w:pStyle w:val="24"/>
              <w:spacing w:after="0"/>
              <w:jc w:val="left"/>
            </w:pPr>
            <w:r>
              <w:rPr>
                <w:rFonts w:ascii="Aptos" w:hAnsi="Aptos"/>
                <w:color w:val="1F2937"/>
                <w:sz w:val="18"/>
              </w:rPr>
              <w:t>B2G / Data</w:t>
            </w:r>
          </w:p>
        </w:tc>
        <w:tc>
          <w:p w14:paraId="4A52B27A">
            <w:pPr>
              <w:pStyle w:val="24"/>
              <w:spacing w:after="0"/>
              <w:jc w:val="left"/>
            </w:pPr>
            <w:r>
              <w:rPr>
                <w:rFonts w:ascii="Aptos" w:hAnsi="Aptos"/>
                <w:color w:val="1F2937"/>
                <w:sz w:val="18"/>
              </w:rPr>
              <w:t>Post-G4</w:t>
            </w:r>
          </w:p>
        </w:tc>
      </w:tr>
      <w:tr w14:paraId="3C481E87">
        <w:tblPrEx>
          <w:tblCellMar>
            <w:top w:w="0" w:type="dxa"/>
            <w:left w:w="108" w:type="dxa"/>
            <w:bottom w:w="0" w:type="dxa"/>
            <w:right w:w="108" w:type="dxa"/>
          </w:tblCellMar>
        </w:tblPrEx>
        <w:tc>
          <w:p w14:paraId="0EF3D2F5">
            <w:pPr>
              <w:pStyle w:val="24"/>
              <w:spacing w:after="0"/>
              <w:jc w:val="left"/>
            </w:pPr>
            <w:r>
              <w:rPr>
                <w:rFonts w:ascii="Aptos" w:hAnsi="Aptos"/>
                <w:color w:val="1F2937"/>
                <w:sz w:val="18"/>
              </w:rPr>
              <w:t>B2G · Diputación / Junta / Estado</w:t>
            </w:r>
          </w:p>
        </w:tc>
        <w:tc>
          <w:p w14:paraId="2D4B15E5">
            <w:pPr>
              <w:pStyle w:val="24"/>
              <w:spacing w:after="0"/>
              <w:jc w:val="left"/>
            </w:pPr>
            <w:r>
              <w:rPr>
                <w:rFonts w:ascii="Aptos" w:hAnsi="Aptos"/>
                <w:color w:val="1F2937"/>
                <w:sz w:val="18"/>
              </w:rPr>
              <w:t xml:space="preserve">Servicios de </w:t>
            </w:r>
            <w:r>
              <w:rPr>
                <w:rFonts w:ascii="Aptos" w:hAnsi="Aptos"/>
                <w:b/>
                <w:color w:val="1F2937"/>
                <w:sz w:val="18"/>
              </w:rPr>
              <w:t>medición de impacto (MISV)</w:t>
            </w:r>
            <w:r>
              <w:rPr>
                <w:rFonts w:ascii="Aptos" w:hAnsi="Aptos"/>
                <w:color w:val="1F2937"/>
                <w:sz w:val="18"/>
              </w:rPr>
              <w:t xml:space="preserve"> para justificar fondos y cohesión territorial</w:t>
            </w:r>
          </w:p>
        </w:tc>
        <w:tc>
          <w:p w14:paraId="0C3D3D96">
            <w:pPr>
              <w:pStyle w:val="24"/>
              <w:spacing w:after="0"/>
              <w:jc w:val="left"/>
            </w:pPr>
            <w:r>
              <w:rPr>
                <w:rFonts w:ascii="Aptos" w:hAnsi="Aptos"/>
                <w:color w:val="1F2937"/>
                <w:sz w:val="18"/>
              </w:rPr>
              <w:t>B2G</w:t>
            </w:r>
          </w:p>
        </w:tc>
        <w:tc>
          <w:p w14:paraId="5214DC2D">
            <w:pPr>
              <w:pStyle w:val="24"/>
              <w:spacing w:after="0"/>
              <w:jc w:val="left"/>
            </w:pPr>
            <w:r>
              <w:rPr>
                <w:rFonts w:ascii="Aptos" w:hAnsi="Aptos"/>
                <w:color w:val="1F2937"/>
                <w:sz w:val="18"/>
              </w:rPr>
              <w:t>G1→</w:t>
            </w:r>
          </w:p>
        </w:tc>
      </w:tr>
      <w:tr w14:paraId="106F431F">
        <w:tblPrEx>
          <w:tblCellMar>
            <w:top w:w="0" w:type="dxa"/>
            <w:left w:w="108" w:type="dxa"/>
            <w:bottom w:w="0" w:type="dxa"/>
            <w:right w:w="108" w:type="dxa"/>
          </w:tblCellMar>
        </w:tblPrEx>
        <w:tc>
          <w:p w14:paraId="08FCCBDA">
            <w:pPr>
              <w:pStyle w:val="24"/>
              <w:spacing w:after="0"/>
              <w:jc w:val="left"/>
            </w:pPr>
            <w:r>
              <w:rPr>
                <w:rFonts w:ascii="Aptos" w:hAnsi="Aptos"/>
                <w:color w:val="1F2937"/>
                <w:sz w:val="18"/>
              </w:rPr>
              <w:t>B2B · Otros territorios</w:t>
            </w:r>
          </w:p>
        </w:tc>
        <w:tc>
          <w:p w14:paraId="5ECCFB44">
            <w:pPr>
              <w:pStyle w:val="24"/>
              <w:spacing w:after="0"/>
              <w:jc w:val="left"/>
            </w:pPr>
            <w:r>
              <w:rPr>
                <w:rFonts w:ascii="Aptos" w:hAnsi="Aptos"/>
                <w:color w:val="1F2937"/>
                <w:sz w:val="18"/>
              </w:rPr>
              <w:t>Implantación (setup) + suscripción de infraestructura + operación gestionada (SLA) + licencia del twin/checklist</w:t>
            </w:r>
          </w:p>
        </w:tc>
        <w:tc>
          <w:p w14:paraId="2420C226">
            <w:pPr>
              <w:pStyle w:val="24"/>
              <w:spacing w:after="0"/>
              <w:jc w:val="left"/>
            </w:pPr>
            <w:r>
              <w:rPr>
                <w:rFonts w:ascii="Aptos" w:hAnsi="Aptos"/>
                <w:color w:val="1F2937"/>
                <w:sz w:val="18"/>
              </w:rPr>
              <w:t>B2B / IaaS</w:t>
            </w:r>
          </w:p>
        </w:tc>
        <w:tc>
          <w:p w14:paraId="458E3492">
            <w:pPr>
              <w:pStyle w:val="24"/>
              <w:spacing w:after="0"/>
              <w:jc w:val="left"/>
            </w:pPr>
            <w:r>
              <w:rPr>
                <w:rFonts w:ascii="Aptos" w:hAnsi="Aptos"/>
                <w:color w:val="1F2937"/>
                <w:sz w:val="18"/>
              </w:rPr>
              <w:t>Post-G4</w:t>
            </w:r>
          </w:p>
        </w:tc>
      </w:tr>
      <w:tr w14:paraId="26CC052F">
        <w:tblPrEx>
          <w:tblCellMar>
            <w:top w:w="0" w:type="dxa"/>
            <w:left w:w="108" w:type="dxa"/>
            <w:bottom w:w="0" w:type="dxa"/>
            <w:right w:w="108" w:type="dxa"/>
          </w:tblCellMar>
        </w:tblPrEx>
        <w:tc>
          <w:p w14:paraId="7DACED82">
            <w:pPr>
              <w:pStyle w:val="24"/>
              <w:spacing w:after="0"/>
              <w:jc w:val="left"/>
            </w:pPr>
            <w:r>
              <w:rPr>
                <w:rFonts w:ascii="Aptos" w:hAnsi="Aptos"/>
                <w:color w:val="1F2937"/>
                <w:sz w:val="18"/>
              </w:rPr>
              <w:t>Data · B2B / B2G</w:t>
            </w:r>
          </w:p>
        </w:tc>
        <w:tc>
          <w:p w14:paraId="23B6925F">
            <w:pPr>
              <w:pStyle w:val="24"/>
              <w:spacing w:after="0"/>
              <w:jc w:val="left"/>
            </w:pPr>
            <w:r>
              <w:rPr>
                <w:rFonts w:ascii="Aptos" w:hAnsi="Aptos"/>
                <w:color w:val="1F2937"/>
                <w:sz w:val="18"/>
              </w:rPr>
              <w:t>Servicios de datos agro-energéticos (2–5 clientes)</w:t>
            </w:r>
          </w:p>
        </w:tc>
        <w:tc>
          <w:p w14:paraId="33386E2D">
            <w:pPr>
              <w:pStyle w:val="24"/>
              <w:spacing w:after="0"/>
              <w:jc w:val="left"/>
            </w:pPr>
            <w:r>
              <w:rPr>
                <w:rFonts w:ascii="Aptos" w:hAnsi="Aptos"/>
                <w:color w:val="1F2937"/>
                <w:sz w:val="18"/>
              </w:rPr>
              <w:t>B2B / B2G</w:t>
            </w:r>
          </w:p>
        </w:tc>
        <w:tc>
          <w:p w14:paraId="601E576F">
            <w:pPr>
              <w:pStyle w:val="24"/>
              <w:spacing w:after="0"/>
              <w:jc w:val="left"/>
            </w:pPr>
            <w:r>
              <w:rPr>
                <w:rFonts w:ascii="Aptos" w:hAnsi="Aptos"/>
                <w:color w:val="1F2937"/>
                <w:sz w:val="18"/>
              </w:rPr>
              <w:t>F5 / Eval. F5</w:t>
            </w:r>
          </w:p>
        </w:tc>
      </w:tr>
      <w:tr w14:paraId="602BF42D">
        <w:tblPrEx>
          <w:tblCellMar>
            <w:top w:w="0" w:type="dxa"/>
            <w:left w:w="108" w:type="dxa"/>
            <w:bottom w:w="0" w:type="dxa"/>
            <w:right w:w="108" w:type="dxa"/>
          </w:tblCellMar>
        </w:tblPrEx>
        <w:tc>
          <w:p w14:paraId="6D87F3FF">
            <w:pPr>
              <w:pStyle w:val="24"/>
              <w:spacing w:after="0"/>
              <w:jc w:val="left"/>
            </w:pPr>
            <w:r>
              <w:rPr>
                <w:rFonts w:ascii="Aptos" w:hAnsi="Aptos"/>
                <w:color w:val="1F2937"/>
                <w:sz w:val="18"/>
              </w:rPr>
              <w:t>Energía · B2B</w:t>
            </w:r>
          </w:p>
        </w:tc>
        <w:tc>
          <w:p w14:paraId="06005F42">
            <w:pPr>
              <w:pStyle w:val="24"/>
              <w:spacing w:after="0"/>
              <w:jc w:val="left"/>
            </w:pPr>
            <w:r>
              <w:rPr>
                <w:rFonts w:ascii="Aptos" w:hAnsi="Aptos"/>
                <w:color w:val="1F2937"/>
                <w:sz w:val="18"/>
              </w:rPr>
              <w:t>Valorización de excedentes de la agrovoltaica</w:t>
            </w:r>
          </w:p>
        </w:tc>
        <w:tc>
          <w:p w14:paraId="1E077602">
            <w:pPr>
              <w:pStyle w:val="24"/>
              <w:spacing w:after="0"/>
              <w:jc w:val="left"/>
            </w:pPr>
            <w:r>
              <w:rPr>
                <w:rFonts w:ascii="Aptos" w:hAnsi="Aptos"/>
                <w:color w:val="1F2937"/>
                <w:sz w:val="18"/>
              </w:rPr>
              <w:t>B2B</w:t>
            </w:r>
          </w:p>
        </w:tc>
        <w:tc>
          <w:p w14:paraId="233A1811">
            <w:pPr>
              <w:pStyle w:val="24"/>
              <w:spacing w:after="0"/>
              <w:jc w:val="left"/>
            </w:pPr>
            <w:r>
              <w:rPr>
                <w:rFonts w:ascii="Aptos" w:hAnsi="Aptos"/>
                <w:color w:val="1F2937"/>
                <w:sz w:val="18"/>
              </w:rPr>
              <w:t>G4</w:t>
            </w:r>
          </w:p>
        </w:tc>
      </w:tr>
    </w:tbl>
    <w:p w14:paraId="48518035">
      <w:pPr>
        <w:pStyle w:val="5"/>
      </w:pPr>
      <w:bookmarkStart w:id="46" w:name="Xc605c44d2664a55e7db3a4c6c616860060de85f"/>
      <w:r>
        <w:rPr>
          <w:rFonts w:ascii="Aptos Display" w:hAnsi="Aptos Display"/>
          <w:b/>
          <w:color w:val="174A2E"/>
          <w:sz w:val="21"/>
        </w:rPr>
        <w:t>4.9.4. Encaje con las vías de ingreso y regla de honestidad</w:t>
      </w:r>
      <w:bookmarkEnd w:id="46"/>
    </w:p>
    <w:p w14:paraId="02AAB6FB">
      <w:pPr>
        <w:pStyle w:val="23"/>
      </w:pPr>
      <w:r>
        <w:rPr>
          <w:rFonts w:ascii="Aptos" w:hAnsi="Aptos"/>
          <w:color w:val="1F2937"/>
          <w:sz w:val="21"/>
        </w:rPr>
        <w:t xml:space="preserve">Correspondencia con las vías del §4: B2C/B2B digital = vías 1–3 (F1); hortícola B2C/B2B = vía 4 (F3); energía y B2G energético = vía 5 (F4); datos e IaaS/licencia = vía 6 e IaaS (§4.8, F5/post-G4). </w:t>
      </w:r>
      <w:r>
        <w:rPr>
          <w:rFonts w:ascii="Aptos" w:hAnsi="Aptos"/>
          <w:b/>
          <w:color w:val="1F2937"/>
          <w:sz w:val="21"/>
        </w:rPr>
        <w:t>Separación estricta (coherente con §4.3):</w:t>
      </w:r>
      <w:r>
        <w:rPr>
          <w:rFonts w:ascii="Aptos" w:hAnsi="Aptos"/>
          <w:color w:val="1F2937"/>
          <w:sz w:val="21"/>
        </w:rPr>
        <w:t xml:space="preserve"> el </w:t>
      </w:r>
      <w:r>
        <w:rPr>
          <w:rFonts w:ascii="Aptos" w:hAnsi="Aptos"/>
          <w:i/>
          <w:color w:val="1F2937"/>
          <w:sz w:val="21"/>
        </w:rPr>
        <w:t>ahorro</w:t>
      </w:r>
      <w:r>
        <w:rPr>
          <w:rFonts w:ascii="Aptos" w:hAnsi="Aptos"/>
          <w:color w:val="1F2937"/>
          <w:sz w:val="21"/>
        </w:rPr>
        <w:t xml:space="preserve"> del ayuntamiento en el vehículo de autoconsumo </w:t>
      </w:r>
      <w:r>
        <w:rPr>
          <w:rFonts w:ascii="Aptos" w:hAnsi="Aptos"/>
          <w:b/>
          <w:color w:val="1F2937"/>
          <w:sz w:val="21"/>
        </w:rPr>
        <w:t>no es ingreso de CASTÚO</w:t>
      </w:r>
      <w:r>
        <w:rPr>
          <w:rFonts w:ascii="Aptos" w:hAnsi="Aptos"/>
          <w:color w:val="1F2937"/>
          <w:sz w:val="21"/>
        </w:rPr>
        <w:t xml:space="preserve">; el ingreso B2G procede de la </w:t>
      </w:r>
      <w:r>
        <w:rPr>
          <w:rFonts w:ascii="Aptos" w:hAnsi="Aptos"/>
          <w:b/>
          <w:color w:val="1F2937"/>
          <w:sz w:val="21"/>
        </w:rPr>
        <w:t>operación gestionada, la licencia IaaS y los servicios de datos/impacto</w:t>
      </w:r>
      <w:r>
        <w:rPr>
          <w:rFonts w:ascii="Aptos" w:hAnsi="Aptos"/>
          <w:color w:val="1F2937"/>
          <w:sz w:val="21"/>
        </w:rPr>
        <w:t xml:space="preserve">, no del ahorro del municipio. La administración como </w:t>
      </w:r>
      <w:r>
        <w:rPr>
          <w:rFonts w:ascii="Aptos" w:hAnsi="Aptos"/>
          <w:b/>
          <w:color w:val="1F2937"/>
          <w:sz w:val="21"/>
        </w:rPr>
        <w:t>cliente de infraestructura</w:t>
      </w:r>
      <w:r>
        <w:rPr>
          <w:rFonts w:ascii="Aptos" w:hAnsi="Aptos"/>
          <w:color w:val="1F2937"/>
          <w:sz w:val="21"/>
        </w:rPr>
        <w:t xml:space="preserve"> (B2G IaaS, vehículo de autoconsumo) es un objetivo </w:t>
      </w:r>
      <w:r>
        <w:rPr>
          <w:rFonts w:ascii="Aptos" w:hAnsi="Aptos"/>
          <w:b/>
          <w:color w:val="1F2937"/>
          <w:sz w:val="21"/>
        </w:rPr>
        <w:t>condicionado a G3–G4</w:t>
      </w:r>
      <w:r>
        <w:rPr>
          <w:rFonts w:ascii="Aptos" w:hAnsi="Aptos"/>
          <w:color w:val="1F2937"/>
          <w:sz w:val="21"/>
        </w:rPr>
        <w:t xml:space="preserve"> y a la definición del vehículo jurídico (§1.5); ningún ingreso público se presupone sin su instrumento contractual y su Gate. En F1, la relación con las administraciones es </w:t>
      </w:r>
      <w:r>
        <w:rPr>
          <w:rFonts w:ascii="Aptos" w:hAnsi="Aptos"/>
          <w:b/>
          <w:color w:val="1F2937"/>
          <w:sz w:val="21"/>
        </w:rPr>
        <w:t>institucional y de servicios digitales</w:t>
      </w:r>
      <w:r>
        <w:rPr>
          <w:rFonts w:ascii="Aptos" w:hAnsi="Aptos"/>
          <w:color w:val="1F2937"/>
          <w:sz w:val="21"/>
        </w:rPr>
        <w:t>, declarada con su estado real en el SEV.</w:t>
      </w:r>
    </w:p>
    <w:p w14:paraId="322F47C9">
      <w:pPr>
        <w:pStyle w:val="22"/>
      </w:pPr>
      <w:r>
        <w:rPr>
          <w:rFonts w:ascii="Aptos" w:hAnsi="Aptos"/>
          <w:b/>
          <w:color w:val="1F2937"/>
          <w:sz w:val="21"/>
        </w:rPr>
        <w:t>Evidencias asociadas (§4):</w:t>
      </w:r>
      <w:r>
        <w:rPr>
          <w:rFonts w:ascii="Aptos" w:hAnsi="Aptos"/>
          <w:color w:val="1F2937"/>
          <w:sz w:val="21"/>
        </w:rPr>
        <w:t xml:space="preserve"> Plan Económico-Financiero (Excel), hoja </w:t>
      </w:r>
      <w:r>
        <w:rPr>
          <w:rFonts w:ascii="Aptos" w:hAnsi="Aptos"/>
          <w:i/>
          <w:color w:val="1F2937"/>
          <w:sz w:val="21"/>
        </w:rPr>
        <w:t>Trazabilidad_Economica</w:t>
      </w:r>
      <w:r>
        <w:rPr>
          <w:rFonts w:ascii="Aptos" w:hAnsi="Aptos"/>
          <w:color w:val="1F2937"/>
          <w:sz w:val="21"/>
        </w:rPr>
        <w:t>, SEV-F1-FIN-MODEL-001 · Nivel: documento (§11.6).</w:t>
      </w:r>
    </w:p>
    <w:p w14:paraId="066DE565">
      <w:pPr>
        <w:pStyle w:val="2"/>
      </w:pPr>
      <w:bookmarkStart w:id="47" w:name="Xff1c0af1080c3857f0002aebb88d9725c5a0083"/>
      <w:r>
        <w:rPr>
          <w:rFonts w:ascii="Aptos Display" w:hAnsi="Aptos Display"/>
          <w:b/>
          <w:color w:val="174A2E"/>
          <w:sz w:val="21"/>
        </w:rPr>
        <w:t>5. Análisis de mercado y demanda híbrida (local y global)</w:t>
      </w:r>
      <w:bookmarkEnd w:id="47"/>
    </w:p>
    <w:p w14:paraId="393F5DA0">
      <w:pPr>
        <w:pStyle w:val="4"/>
      </w:pPr>
      <w:bookmarkStart w:id="48" w:name="Xb7fa83ca5abef35487f2f408971f39ed39c2425"/>
      <w:r>
        <w:rPr>
          <w:rFonts w:ascii="Aptos Display" w:hAnsi="Aptos Display"/>
          <w:b/>
          <w:color w:val="174A2E"/>
          <w:sz w:val="21"/>
        </w:rPr>
        <w:t>5.1. Características del sector y las tendencias</w:t>
      </w:r>
      <w:bookmarkEnd w:id="48"/>
    </w:p>
    <w:p w14:paraId="5EE3E24D">
      <w:pPr>
        <w:pStyle w:val="23"/>
      </w:pPr>
      <w:r>
        <w:rPr>
          <w:rFonts w:ascii="Aptos" w:hAnsi="Aptos"/>
          <w:color w:val="1F2937"/>
          <w:sz w:val="21"/>
        </w:rPr>
        <w:t xml:space="preserve">El proyecto opera en la intersección de dos sectores en crecimiento: la </w:t>
      </w:r>
      <w:r>
        <w:rPr>
          <w:rFonts w:ascii="Aptos" w:hAnsi="Aptos"/>
          <w:b/>
          <w:color w:val="1F2937"/>
          <w:sz w:val="21"/>
        </w:rPr>
        <w:t>digitalización agraria (agrotech)</w:t>
      </w:r>
      <w:r>
        <w:rPr>
          <w:rFonts w:ascii="Aptos" w:hAnsi="Aptos"/>
          <w:color w:val="1F2937"/>
          <w:sz w:val="21"/>
        </w:rPr>
        <w:t xml:space="preserve"> y la </w:t>
      </w:r>
      <w:r>
        <w:rPr>
          <w:rFonts w:ascii="Aptos" w:hAnsi="Aptos"/>
          <w:b/>
          <w:color w:val="1F2937"/>
          <w:sz w:val="21"/>
        </w:rPr>
        <w:t>energía renovable distribuida</w:t>
      </w:r>
      <w:r>
        <w:rPr>
          <w:rFonts w:ascii="Aptos" w:hAnsi="Aptos"/>
          <w:color w:val="1F2937"/>
          <w:sz w:val="21"/>
        </w:rPr>
        <w:t>. Tendencias que definen el momento: (1) el cuaderno digital de explotación convierte la digitalización en obligación normativa; (2) los marcos de autoconsumo colectivo y comunidades energéticas permiten por primera vez que un municipio pequeño capture su renta solar; (3) los fondos de transición justa, reto demográfico y desarrollo rural cofinancian este tipo de proyecto; (4) la madurez tecnológica simultánea de IoT, agrovoltaica, hidroponía y geotermia (TRL 9) deja la integración como el hueco no cubierto. El segmento de la explotación pequeña y el municipio rural es mercado emergente con penetración baja.</w:t>
      </w:r>
    </w:p>
    <w:p w14:paraId="11225D36">
      <w:pPr>
        <w:pStyle w:val="4"/>
      </w:pPr>
      <w:bookmarkStart w:id="49" w:name="análisis-del-entorno-de-mercado"/>
      <w:r>
        <w:rPr>
          <w:rFonts w:ascii="Aptos Display" w:hAnsi="Aptos Display"/>
          <w:b/>
          <w:color w:val="174A2E"/>
          <w:sz w:val="21"/>
        </w:rPr>
        <w:t>5.2. Análisis del entorno de mercado</w:t>
      </w:r>
      <w:bookmarkEnd w:id="49"/>
    </w:p>
    <w:p w14:paraId="5D2B23E3">
      <w:pPr>
        <w:pStyle w:val="23"/>
      </w:pPr>
      <w:r>
        <w:rPr>
          <w:rFonts w:ascii="Aptos" w:hAnsi="Aptos"/>
          <w:b/>
          <w:color w:val="1F2937"/>
          <w:sz w:val="21"/>
        </w:rPr>
        <w:t>Demográfico:</w:t>
      </w:r>
      <w:r>
        <w:rPr>
          <w:rFonts w:ascii="Aptos" w:hAnsi="Aptos"/>
          <w:color w:val="1F2937"/>
          <w:sz w:val="21"/>
        </w:rPr>
        <w:t xml:space="preserve"> el titular medio tiene 45–65 años y baja afinidad tecnológica inicial — el producto se diseña para él (interfaz simple, formación incluida, soporte presencial). </w:t>
      </w:r>
      <w:r>
        <w:rPr>
          <w:rFonts w:ascii="Aptos" w:hAnsi="Aptos"/>
          <w:b/>
          <w:color w:val="1F2937"/>
          <w:sz w:val="21"/>
        </w:rPr>
        <w:t>Tecnológico:</w:t>
      </w:r>
      <w:r>
        <w:rPr>
          <w:rFonts w:ascii="Aptos" w:hAnsi="Aptos"/>
          <w:color w:val="1F2937"/>
          <w:sz w:val="21"/>
        </w:rPr>
        <w:t xml:space="preserve"> conectividad rural desigual; resuelto con control local (edge). </w:t>
      </w:r>
      <w:r>
        <w:rPr>
          <w:rFonts w:ascii="Aptos" w:hAnsi="Aptos"/>
          <w:b/>
          <w:color w:val="1F2937"/>
          <w:sz w:val="21"/>
        </w:rPr>
        <w:t>Legal/administrativo:</w:t>
      </w:r>
      <w:r>
        <w:rPr>
          <w:rFonts w:ascii="Aptos" w:hAnsi="Aptos"/>
          <w:color w:val="1F2937"/>
          <w:sz w:val="21"/>
        </w:rPr>
        <w:t xml:space="preserve"> licencias, autorización de sondeo geotérmico, legalización del autoconsumo, consulta previa PAC y registro de operador alimentario — toda la tramitación se abre en F1. </w:t>
      </w:r>
      <w:r>
        <w:rPr>
          <w:rFonts w:ascii="Aptos" w:hAnsi="Aptos"/>
          <w:b/>
          <w:color w:val="1F2937"/>
          <w:sz w:val="21"/>
        </w:rPr>
        <w:t>Económico:</w:t>
      </w:r>
      <w:r>
        <w:rPr>
          <w:rFonts w:ascii="Aptos" w:hAnsi="Aptos"/>
          <w:color w:val="1F2937"/>
          <w:sz w:val="21"/>
        </w:rPr>
        <w:t xml:space="preserve"> renta media baja y sensibilidad al precio; de ahí la cuota de entrada contenida y los pilotos remunerados.</w:t>
      </w:r>
    </w:p>
    <w:p w14:paraId="523CAE60">
      <w:pPr>
        <w:pStyle w:val="4"/>
      </w:pPr>
      <w:bookmarkStart w:id="50" w:name="Xe7f459b86b41589ad1a382fd810119db5ada039"/>
      <w:r>
        <w:rPr>
          <w:rFonts w:ascii="Aptos Display" w:hAnsi="Aptos Display"/>
          <w:b/>
          <w:color w:val="174A2E"/>
          <w:sz w:val="21"/>
        </w:rPr>
        <w:t>5.3. Análisis de la demanda, público objetivo y segmentación</w:t>
      </w:r>
      <w:bookmarkEnd w:id="50"/>
    </w:p>
    <w:p w14:paraId="45900FDC">
      <w:pPr>
        <w:pStyle w:val="23"/>
      </w:pPr>
      <w:r>
        <w:rPr>
          <w:rFonts w:ascii="Aptos" w:hAnsi="Aptos"/>
          <w:b/>
          <w:color w:val="1F2937"/>
          <w:sz w:val="21"/>
        </w:rPr>
        <w:t>Dimensión (Extremadura):</w:t>
      </w:r>
      <w:r>
        <w:rPr>
          <w:rFonts w:ascii="Aptos" w:hAnsi="Aptos"/>
          <w:color w:val="1F2937"/>
          <w:sz w:val="21"/>
        </w:rPr>
        <w:t xml:space="preserve"> 6.000–9.000 explotaciones digitalizables; ~200 cooperativas; ~340 municipios de menos de 5.000 habitantes. </w:t>
      </w:r>
      <w:r>
        <w:rPr>
          <w:rFonts w:ascii="Aptos" w:hAnsi="Aptos"/>
          <w:b/>
          <w:color w:val="1F2937"/>
          <w:sz w:val="21"/>
        </w:rPr>
        <w:t>Demanda física local (fases posteriores):</w:t>
      </w:r>
      <w:r>
        <w:rPr>
          <w:rFonts w:ascii="Aptos" w:hAnsi="Aptos"/>
          <w:color w:val="1F2937"/>
          <w:sz w:val="21"/>
        </w:rPr>
        <w:t xml:space="preserve"> radio 60 km ≈ 135.000 personas ≈ 7.000–8.000 t/año; cuota objetivo 1,5–2,5 %. </w:t>
      </w:r>
      <w:r>
        <w:rPr>
          <w:rFonts w:ascii="Aptos" w:hAnsi="Aptos"/>
          <w:b/>
          <w:color w:val="1F2937"/>
          <w:sz w:val="21"/>
        </w:rPr>
        <w:t>Objetivo comercial año 5:</w:t>
      </w:r>
      <w:r>
        <w:rPr>
          <w:rFonts w:ascii="Aptos" w:hAnsi="Aptos"/>
          <w:color w:val="1F2937"/>
          <w:sz w:val="21"/>
        </w:rPr>
        <w:t xml:space="preserve"> 10–40 clientes SaaS (penetración &lt;1 %).</w:t>
      </w:r>
    </w:p>
    <w:tbl>
      <w:tblPr>
        <w:tblStyle w:val="28"/>
        <w:tblW w:w="5000" w:type="pct"/>
        <w:jc w:val="center"/>
        <w:tblInd w:w="0" w:type="dxa"/>
        <w:tblLayout w:type="fixed"/>
        <w:tblCellMar>
          <w:top w:w="0" w:type="dxa"/>
          <w:left w:w="108" w:type="dxa"/>
          <w:bottom w:w="0" w:type="dxa"/>
          <w:right w:w="108" w:type="dxa"/>
        </w:tblCellMar>
      </w:tblPr>
      <w:tblGrid>
        <w:gridCol w:w="1584"/>
        <w:gridCol w:w="1584"/>
        <w:gridCol w:w="1584"/>
        <w:gridCol w:w="1584"/>
        <w:gridCol w:w="1584"/>
      </w:tblGrid>
      <w:tr w14:paraId="00D4B579">
        <w:tblPrEx>
          <w:tblCellMar>
            <w:top w:w="0" w:type="dxa"/>
            <w:left w:w="108" w:type="dxa"/>
            <w:bottom w:w="0" w:type="dxa"/>
            <w:right w:w="108" w:type="dxa"/>
          </w:tblCellMar>
        </w:tblPrEx>
        <w:tc>
          <w:tcPr>
            <w:tcW w:w="1872" w:type="dxa"/>
            <w:tcBorders>
              <w:bottom w:val="single" w:color="auto" w:sz="0" w:space="0"/>
            </w:tcBorders>
            <w:vAlign w:val="bottom"/>
          </w:tcPr>
          <w:p w14:paraId="33FE1C11">
            <w:pPr>
              <w:pStyle w:val="24"/>
              <w:spacing w:after="0"/>
              <w:jc w:val="left"/>
            </w:pPr>
            <w:r>
              <w:rPr>
                <w:rFonts w:ascii="Aptos" w:hAnsi="Aptos"/>
                <w:color w:val="1F2937"/>
                <w:sz w:val="18"/>
              </w:rPr>
              <w:t>Persona</w:t>
            </w:r>
          </w:p>
        </w:tc>
        <w:tc>
          <w:tcPr>
            <w:tcW w:w="1872" w:type="dxa"/>
            <w:tcBorders>
              <w:bottom w:val="single" w:color="auto" w:sz="0" w:space="0"/>
            </w:tcBorders>
            <w:vAlign w:val="bottom"/>
          </w:tcPr>
          <w:p w14:paraId="5A503570">
            <w:pPr>
              <w:pStyle w:val="24"/>
              <w:spacing w:after="0"/>
              <w:jc w:val="left"/>
            </w:pPr>
            <w:r>
              <w:rPr>
                <w:rFonts w:ascii="Aptos" w:hAnsi="Aptos"/>
                <w:color w:val="1F2937"/>
                <w:sz w:val="18"/>
              </w:rPr>
              <w:t>Perfil</w:t>
            </w:r>
          </w:p>
        </w:tc>
        <w:tc>
          <w:tcPr>
            <w:tcW w:w="1872" w:type="dxa"/>
            <w:tcBorders>
              <w:bottom w:val="single" w:color="auto" w:sz="0" w:space="0"/>
            </w:tcBorders>
            <w:vAlign w:val="bottom"/>
          </w:tcPr>
          <w:p w14:paraId="6E368A31">
            <w:pPr>
              <w:pStyle w:val="24"/>
              <w:spacing w:after="0"/>
              <w:jc w:val="left"/>
            </w:pPr>
            <w:r>
              <w:rPr>
                <w:rFonts w:ascii="Aptos" w:hAnsi="Aptos"/>
                <w:color w:val="1F2937"/>
                <w:sz w:val="18"/>
              </w:rPr>
              <w:t>Dolor principal</w:t>
            </w:r>
          </w:p>
        </w:tc>
        <w:tc>
          <w:tcPr>
            <w:tcW w:w="1872" w:type="dxa"/>
            <w:tcBorders>
              <w:bottom w:val="single" w:color="auto" w:sz="0" w:space="0"/>
            </w:tcBorders>
            <w:vAlign w:val="bottom"/>
          </w:tcPr>
          <w:p w14:paraId="30E2076E">
            <w:pPr>
              <w:pStyle w:val="24"/>
              <w:spacing w:after="0"/>
              <w:jc w:val="left"/>
            </w:pPr>
            <w:r>
              <w:rPr>
                <w:rFonts w:ascii="Aptos" w:hAnsi="Aptos"/>
                <w:color w:val="1F2937"/>
                <w:sz w:val="18"/>
              </w:rPr>
              <w:t>Objeción típica</w:t>
            </w:r>
          </w:p>
        </w:tc>
        <w:tc>
          <w:tcPr>
            <w:tcW w:w="1872" w:type="dxa"/>
            <w:tcBorders>
              <w:bottom w:val="single" w:color="auto" w:sz="0" w:space="0"/>
            </w:tcBorders>
            <w:vAlign w:val="bottom"/>
          </w:tcPr>
          <w:p w14:paraId="1F155CBA">
            <w:pPr>
              <w:pStyle w:val="24"/>
              <w:spacing w:after="0"/>
              <w:jc w:val="left"/>
            </w:pPr>
            <w:r>
              <w:rPr>
                <w:rFonts w:ascii="Aptos" w:hAnsi="Aptos"/>
                <w:color w:val="1F2937"/>
                <w:sz w:val="18"/>
              </w:rPr>
              <w:t>Nuestra respuesta</w:t>
            </w:r>
          </w:p>
        </w:tc>
      </w:tr>
      <w:tr w14:paraId="2C47C949">
        <w:tblPrEx>
          <w:tblCellMar>
            <w:top w:w="0" w:type="dxa"/>
            <w:left w:w="108" w:type="dxa"/>
            <w:bottom w:w="0" w:type="dxa"/>
            <w:right w:w="108" w:type="dxa"/>
          </w:tblCellMar>
        </w:tblPrEx>
        <w:tc>
          <w:p w14:paraId="2C29CF52">
            <w:pPr>
              <w:pStyle w:val="24"/>
              <w:spacing w:after="0"/>
              <w:jc w:val="left"/>
            </w:pPr>
            <w:r>
              <w:rPr>
                <w:rFonts w:ascii="Aptos" w:hAnsi="Aptos"/>
                <w:color w:val="1F2937"/>
                <w:sz w:val="18"/>
              </w:rPr>
              <w:t>Titular de explotación (5–20 ha)</w:t>
            </w:r>
          </w:p>
        </w:tc>
        <w:tc>
          <w:p w14:paraId="1A31D057">
            <w:pPr>
              <w:pStyle w:val="24"/>
              <w:spacing w:after="0"/>
              <w:jc w:val="left"/>
            </w:pPr>
            <w:r>
              <w:rPr>
                <w:rFonts w:ascii="Aptos" w:hAnsi="Aptos"/>
                <w:color w:val="1F2937"/>
                <w:sz w:val="18"/>
              </w:rPr>
              <w:t>45–65 años, papel/Excel, presionado por el cuaderno digital</w:t>
            </w:r>
          </w:p>
        </w:tc>
        <w:tc>
          <w:p w14:paraId="17FA191E">
            <w:pPr>
              <w:pStyle w:val="24"/>
              <w:spacing w:after="0"/>
              <w:jc w:val="left"/>
            </w:pPr>
            <w:r>
              <w:rPr>
                <w:rFonts w:ascii="Aptos" w:hAnsi="Aptos"/>
                <w:color w:val="1F2937"/>
                <w:sz w:val="18"/>
              </w:rPr>
              <w:t>Obligación normativa sin herramienta a su escala</w:t>
            </w:r>
          </w:p>
        </w:tc>
        <w:tc>
          <w:p w14:paraId="6555EECD">
            <w:pPr>
              <w:pStyle w:val="24"/>
              <w:spacing w:after="0"/>
              <w:jc w:val="left"/>
            </w:pPr>
            <w:r>
              <w:rPr>
                <w:rFonts w:ascii="Aptos" w:hAnsi="Aptos"/>
                <w:color w:val="1F2937"/>
                <w:sz w:val="18"/>
              </w:rPr>
              <w:t>“Es caro”, “no sé usar tecnología”, “no veo el retorno”</w:t>
            </w:r>
          </w:p>
        </w:tc>
        <w:tc>
          <w:p w14:paraId="674D9B93">
            <w:pPr>
              <w:pStyle w:val="24"/>
              <w:spacing w:after="0"/>
              <w:jc w:val="left"/>
            </w:pPr>
            <w:r>
              <w:rPr>
                <w:rFonts w:ascii="Aptos" w:hAnsi="Aptos"/>
                <w:color w:val="1F2937"/>
                <w:sz w:val="18"/>
              </w:rPr>
              <w:t>Piloto remunerado; 250–350 €/mes; formación y soporte; demostrador a &lt;1 h</w:t>
            </w:r>
          </w:p>
        </w:tc>
      </w:tr>
      <w:tr w14:paraId="309E64F7">
        <w:tblPrEx>
          <w:tblCellMar>
            <w:top w:w="0" w:type="dxa"/>
            <w:left w:w="108" w:type="dxa"/>
            <w:bottom w:w="0" w:type="dxa"/>
            <w:right w:w="108" w:type="dxa"/>
          </w:tblCellMar>
        </w:tblPrEx>
        <w:tc>
          <w:p w14:paraId="0AD6C6C1">
            <w:pPr>
              <w:pStyle w:val="24"/>
              <w:spacing w:after="0"/>
              <w:jc w:val="left"/>
            </w:pPr>
            <w:r>
              <w:rPr>
                <w:rFonts w:ascii="Aptos" w:hAnsi="Aptos"/>
                <w:color w:val="1F2937"/>
                <w:sz w:val="18"/>
              </w:rPr>
              <w:t>Cooperativa</w:t>
            </w:r>
          </w:p>
        </w:tc>
        <w:tc>
          <w:p w14:paraId="3E0F7B1F">
            <w:pPr>
              <w:pStyle w:val="24"/>
              <w:spacing w:after="0"/>
              <w:jc w:val="left"/>
            </w:pPr>
            <w:r>
              <w:rPr>
                <w:rFonts w:ascii="Aptos" w:hAnsi="Aptos"/>
                <w:color w:val="1F2937"/>
                <w:sz w:val="18"/>
              </w:rPr>
              <w:t>50–100 socios; necesita trazabilidad colectiva</w:t>
            </w:r>
          </w:p>
        </w:tc>
        <w:tc>
          <w:p w14:paraId="65B1378E">
            <w:pPr>
              <w:pStyle w:val="24"/>
              <w:spacing w:after="0"/>
              <w:jc w:val="left"/>
            </w:pPr>
            <w:r>
              <w:rPr>
                <w:rFonts w:ascii="Aptos" w:hAnsi="Aptos"/>
                <w:color w:val="1F2937"/>
                <w:sz w:val="18"/>
              </w:rPr>
              <w:t>Sin herramienta integrada para todos los socios</w:t>
            </w:r>
          </w:p>
        </w:tc>
        <w:tc>
          <w:p w14:paraId="3E42E77A">
            <w:pPr>
              <w:pStyle w:val="24"/>
              <w:spacing w:after="0"/>
              <w:jc w:val="left"/>
            </w:pPr>
            <w:r>
              <w:rPr>
                <w:rFonts w:ascii="Aptos" w:hAnsi="Aptos"/>
                <w:color w:val="1F2937"/>
                <w:sz w:val="18"/>
              </w:rPr>
              <w:t>“¿Cómo lo implantamos?”</w:t>
            </w:r>
          </w:p>
        </w:tc>
        <w:tc>
          <w:p w14:paraId="34E6AAB7">
            <w:pPr>
              <w:pStyle w:val="24"/>
              <w:spacing w:after="0"/>
              <w:jc w:val="left"/>
            </w:pPr>
            <w:r>
              <w:rPr>
                <w:rFonts w:ascii="Aptos" w:hAnsi="Aptos"/>
                <w:color w:val="1F2937"/>
                <w:sz w:val="18"/>
              </w:rPr>
              <w:t>Adopción colectiva con descuento por volumen, un solo interlocutor local</w:t>
            </w:r>
          </w:p>
        </w:tc>
      </w:tr>
      <w:tr w14:paraId="06E41334">
        <w:tblPrEx>
          <w:tblCellMar>
            <w:top w:w="0" w:type="dxa"/>
            <w:left w:w="108" w:type="dxa"/>
            <w:bottom w:w="0" w:type="dxa"/>
            <w:right w:w="108" w:type="dxa"/>
          </w:tblCellMar>
        </w:tblPrEx>
        <w:tc>
          <w:p w14:paraId="5148FFC3">
            <w:pPr>
              <w:pStyle w:val="24"/>
              <w:spacing w:after="0"/>
              <w:jc w:val="left"/>
            </w:pPr>
            <w:r>
              <w:rPr>
                <w:rFonts w:ascii="Aptos" w:hAnsi="Aptos"/>
                <w:color w:val="1F2937"/>
                <w:sz w:val="18"/>
              </w:rPr>
              <w:t>Ayuntamiento &lt;5.000 hab</w:t>
            </w:r>
          </w:p>
        </w:tc>
        <w:tc>
          <w:p w14:paraId="22A9FA41">
            <w:pPr>
              <w:pStyle w:val="24"/>
              <w:spacing w:after="0"/>
              <w:jc w:val="left"/>
            </w:pPr>
            <w:r>
              <w:rPr>
                <w:rFonts w:ascii="Aptos" w:hAnsi="Aptos"/>
                <w:color w:val="1F2937"/>
                <w:sz w:val="18"/>
              </w:rPr>
              <w:t>Factura energética significativa</w:t>
            </w:r>
          </w:p>
        </w:tc>
        <w:tc>
          <w:p w14:paraId="0940343E">
            <w:pPr>
              <w:pStyle w:val="24"/>
              <w:spacing w:after="0"/>
              <w:jc w:val="left"/>
            </w:pPr>
            <w:r>
              <w:rPr>
                <w:rFonts w:ascii="Aptos" w:hAnsi="Aptos"/>
                <w:color w:val="1F2937"/>
                <w:sz w:val="18"/>
              </w:rPr>
              <w:t>Quiere ahorro sin asumir riesgo</w:t>
            </w:r>
          </w:p>
        </w:tc>
        <w:tc>
          <w:p w14:paraId="56B524FC">
            <w:pPr>
              <w:pStyle w:val="24"/>
              <w:spacing w:after="0"/>
              <w:jc w:val="left"/>
            </w:pPr>
            <w:r>
              <w:rPr>
                <w:rFonts w:ascii="Aptos" w:hAnsi="Aptos"/>
                <w:color w:val="1F2937"/>
                <w:sz w:val="18"/>
              </w:rPr>
              <w:t>“No tenemos presupuesto”</w:t>
            </w:r>
          </w:p>
        </w:tc>
        <w:tc>
          <w:p w14:paraId="51D8BC22">
            <w:pPr>
              <w:pStyle w:val="24"/>
              <w:spacing w:after="0"/>
              <w:jc w:val="left"/>
            </w:pPr>
            <w:r>
              <w:rPr>
                <w:rFonts w:ascii="Aptos" w:hAnsi="Aptos"/>
                <w:color w:val="1F2937"/>
                <w:sz w:val="18"/>
              </w:rPr>
              <w:t>No paga: participa en el vehículo de autoconsumo sin riesgo financiero</w:t>
            </w:r>
          </w:p>
        </w:tc>
      </w:tr>
    </w:tbl>
    <w:p w14:paraId="001BB37C">
      <w:pPr>
        <w:pStyle w:val="4"/>
      </w:pPr>
      <w:bookmarkStart w:id="51" w:name="Xccd0c99165304f355f5ff6613fbb6847536f3da"/>
      <w:r>
        <w:rPr>
          <w:rFonts w:ascii="Aptos Display" w:hAnsi="Aptos Display"/>
          <w:b/>
          <w:color w:val="174A2E"/>
          <w:sz w:val="21"/>
        </w:rPr>
        <w:t>5.4. Análisis de la competencia directa e indirecta</w:t>
      </w:r>
      <w:bookmarkEnd w:id="51"/>
    </w:p>
    <w:p w14:paraId="328AF8A6">
      <w:pPr>
        <w:pStyle w:val="23"/>
      </w:pPr>
      <w:r>
        <w:rPr>
          <w:rFonts w:ascii="Aptos" w:hAnsi="Aptos"/>
          <w:b/>
          <w:color w:val="1F2937"/>
          <w:sz w:val="21"/>
        </w:rPr>
        <w:t>Directa</w:t>
      </w:r>
      <w:r>
        <w:rPr>
          <w:rFonts w:ascii="Aptos" w:hAnsi="Aptos"/>
          <w:color w:val="1F2937"/>
          <w:sz w:val="21"/>
        </w:rPr>
        <w:t xml:space="preserve"> (caracterización prudente según información pública): plataformas agtech internacionales (John Deere Operations Center, Climate FieldView) — fuertes en integración con maquinaria; orientadas a la gran explotación, con según la información pública revisada, no se identifica en el alcance analizado un acompañamiento presencial equivalente. Plataformas españolas (xFarm, Hispatec/Agroptima/ERPagro) — buenas en cuaderno de campo; sin integración energética ni demostrador físico. </w:t>
      </w:r>
      <w:r>
        <w:rPr>
          <w:rFonts w:ascii="Aptos" w:hAnsi="Aptos"/>
          <w:b/>
          <w:color w:val="1F2937"/>
          <w:sz w:val="21"/>
        </w:rPr>
        <w:t>Indirecta:</w:t>
      </w:r>
      <w:r>
        <w:rPr>
          <w:rFonts w:ascii="Aptos" w:hAnsi="Aptos"/>
          <w:color w:val="1F2937"/>
          <w:sz w:val="21"/>
        </w:rPr>
        <w:t xml:space="preserve"> cuadernos digitales gratuitos de las administraciones (cumplen el mínimo, sin sensórica ni energía); las hojas de cálculo y el papel — el competidor dominante real; y, por componentes, instaladores fotovoltaicos sin integración agrícola. </w:t>
      </w:r>
      <w:r>
        <w:rPr>
          <w:rFonts w:ascii="Aptos" w:hAnsi="Aptos"/>
          <w:b/>
          <w:color w:val="1F2937"/>
          <w:sz w:val="21"/>
        </w:rPr>
        <w:t>Nuestra oportunidad:</w:t>
      </w:r>
      <w:r>
        <w:rPr>
          <w:rFonts w:ascii="Aptos" w:hAnsi="Aptos"/>
          <w:color w:val="1F2937"/>
          <w:sz w:val="21"/>
        </w:rPr>
        <w:t xml:space="preserve"> según la información pública revisada, no se identifica en el alcance analizado una oferta que combine simultáneamente solución integrada, acompañamiento local, asequibilidad, verificabilidad y demostrador comarcal.</w:t>
      </w:r>
    </w:p>
    <w:p w14:paraId="3C79D01A">
      <w:pPr>
        <w:pStyle w:val="4"/>
      </w:pPr>
      <w:bookmarkStart w:id="52" w:name="X7a3736f8fc0102b9599ac10980ab0e9204c8646"/>
      <w:r>
        <w:rPr>
          <w:rFonts w:ascii="Aptos Display" w:hAnsi="Aptos Display"/>
          <w:b/>
          <w:color w:val="174A2E"/>
          <w:sz w:val="21"/>
        </w:rPr>
        <w:t>5.6. Desarrollo ampliado — Escalabilidad y replicación europea</w:t>
      </w:r>
      <w:bookmarkEnd w:id="52"/>
    </w:p>
    <w:p w14:paraId="2E7C6EA5">
      <w:pPr>
        <w:pStyle w:val="23"/>
      </w:pPr>
      <w:r>
        <w:rPr>
          <w:rFonts w:ascii="Aptos" w:hAnsi="Aptos"/>
          <w:color w:val="1F2937"/>
          <w:sz w:val="21"/>
        </w:rPr>
        <w:t xml:space="preserve">El producto de la replicación es el </w:t>
      </w:r>
      <w:r>
        <w:rPr>
          <w:rFonts w:ascii="Aptos" w:hAnsi="Aptos"/>
          <w:b/>
          <w:color w:val="1F2937"/>
          <w:sz w:val="21"/>
        </w:rPr>
        <w:t>patrón completo</w:t>
      </w:r>
      <w:r>
        <w:rPr>
          <w:rFonts w:ascii="Aptos" w:hAnsi="Aptos"/>
          <w:color w:val="1F2937"/>
          <w:sz w:val="21"/>
        </w:rPr>
        <w:t xml:space="preserve"> (secuencia, gates, twin calibrado, gobernanza municipal y capa SEV) instanciado en cada nivel. Regla: ningún nivel superior se inicia sin dos ciclos anuales completos del nivel I con datos publicados.</w:t>
      </w:r>
    </w:p>
    <w:tbl>
      <w:tblPr>
        <w:tblStyle w:val="28"/>
        <w:tblW w:w="5000" w:type="pct"/>
        <w:jc w:val="center"/>
        <w:tblInd w:w="0" w:type="dxa"/>
        <w:tblLayout w:type="fixed"/>
        <w:tblCellMar>
          <w:top w:w="0" w:type="dxa"/>
          <w:left w:w="108" w:type="dxa"/>
          <w:bottom w:w="0" w:type="dxa"/>
          <w:right w:w="108" w:type="dxa"/>
        </w:tblCellMar>
      </w:tblPr>
      <w:tblGrid>
        <w:gridCol w:w="3960"/>
        <w:gridCol w:w="3960"/>
      </w:tblGrid>
      <w:tr w14:paraId="3C633770">
        <w:tblPrEx>
          <w:tblCellMar>
            <w:top w:w="0" w:type="dxa"/>
            <w:left w:w="108" w:type="dxa"/>
            <w:bottom w:w="0" w:type="dxa"/>
            <w:right w:w="108" w:type="dxa"/>
          </w:tblCellMar>
        </w:tblPrEx>
        <w:tc>
          <w:tcPr>
            <w:tcW w:w="4680" w:type="dxa"/>
            <w:tcBorders>
              <w:bottom w:val="single" w:color="auto" w:sz="0" w:space="0"/>
            </w:tcBorders>
            <w:vAlign w:val="bottom"/>
          </w:tcPr>
          <w:p w14:paraId="5B9D995A">
            <w:pPr>
              <w:pStyle w:val="24"/>
              <w:spacing w:after="0"/>
              <w:jc w:val="left"/>
            </w:pPr>
            <w:r>
              <w:rPr>
                <w:rFonts w:ascii="Aptos" w:hAnsi="Aptos"/>
                <w:color w:val="1F2937"/>
                <w:sz w:val="18"/>
              </w:rPr>
              <w:t>Condición para replicar</w:t>
            </w:r>
          </w:p>
        </w:tc>
        <w:tc>
          <w:tcPr>
            <w:tcW w:w="4680" w:type="dxa"/>
            <w:tcBorders>
              <w:bottom w:val="single" w:color="auto" w:sz="0" w:space="0"/>
            </w:tcBorders>
            <w:vAlign w:val="bottom"/>
          </w:tcPr>
          <w:p w14:paraId="32299CC0">
            <w:pPr>
              <w:pStyle w:val="24"/>
              <w:spacing w:after="0"/>
              <w:jc w:val="left"/>
            </w:pPr>
            <w:r>
              <w:rPr>
                <w:rFonts w:ascii="Aptos" w:hAnsi="Aptos"/>
                <w:color w:val="1F2937"/>
                <w:sz w:val="18"/>
              </w:rPr>
              <w:t>Verificación</w:t>
            </w:r>
          </w:p>
        </w:tc>
      </w:tr>
      <w:tr w14:paraId="4CE0FEA4">
        <w:tblPrEx>
          <w:tblCellMar>
            <w:top w:w="0" w:type="dxa"/>
            <w:left w:w="108" w:type="dxa"/>
            <w:bottom w:w="0" w:type="dxa"/>
            <w:right w:w="108" w:type="dxa"/>
          </w:tblCellMar>
        </w:tblPrEx>
        <w:tc>
          <w:p w14:paraId="56E2FF48">
            <w:pPr>
              <w:pStyle w:val="24"/>
              <w:spacing w:after="0"/>
              <w:jc w:val="left"/>
            </w:pPr>
            <w:r>
              <w:rPr>
                <w:rFonts w:ascii="Aptos" w:hAnsi="Aptos"/>
                <w:color w:val="1F2937"/>
                <w:sz w:val="18"/>
              </w:rPr>
              <w:t>Nivel I con ≥2 ciclos anuales y datos publicados</w:t>
            </w:r>
          </w:p>
        </w:tc>
        <w:tc>
          <w:p w14:paraId="426CB17C">
            <w:pPr>
              <w:pStyle w:val="24"/>
              <w:spacing w:after="0"/>
              <w:jc w:val="left"/>
            </w:pPr>
            <w:r>
              <w:rPr>
                <w:rFonts w:ascii="Aptos" w:hAnsi="Aptos"/>
                <w:color w:val="1F2937"/>
                <w:sz w:val="18"/>
              </w:rPr>
              <w:t>KPIs auditados, publicados en el SEV</w:t>
            </w:r>
          </w:p>
        </w:tc>
      </w:tr>
      <w:tr w14:paraId="68EAE57D">
        <w:tblPrEx>
          <w:tblCellMar>
            <w:top w:w="0" w:type="dxa"/>
            <w:left w:w="108" w:type="dxa"/>
            <w:bottom w:w="0" w:type="dxa"/>
            <w:right w:w="108" w:type="dxa"/>
          </w:tblCellMar>
        </w:tblPrEx>
        <w:tc>
          <w:p w14:paraId="2E76824A">
            <w:pPr>
              <w:pStyle w:val="24"/>
              <w:spacing w:after="0"/>
              <w:jc w:val="left"/>
            </w:pPr>
            <w:r>
              <w:rPr>
                <w:rFonts w:ascii="Aptos" w:hAnsi="Aptos"/>
                <w:color w:val="1F2937"/>
                <w:sz w:val="18"/>
              </w:rPr>
              <w:t>Twin calibrado con datos reales de Membrío</w:t>
            </w:r>
          </w:p>
        </w:tc>
        <w:tc>
          <w:p w14:paraId="3FA93290">
            <w:pPr>
              <w:pStyle w:val="24"/>
              <w:spacing w:after="0"/>
              <w:jc w:val="left"/>
            </w:pPr>
            <w:r>
              <w:rPr>
                <w:rFonts w:ascii="Aptos" w:hAnsi="Aptos"/>
                <w:color w:val="1F2937"/>
                <w:sz w:val="18"/>
              </w:rPr>
              <w:t>Desviación simulado-medido documentada</w:t>
            </w:r>
          </w:p>
        </w:tc>
      </w:tr>
      <w:tr w14:paraId="7D92BD32">
        <w:tblPrEx>
          <w:tblCellMar>
            <w:top w:w="0" w:type="dxa"/>
            <w:left w:w="108" w:type="dxa"/>
            <w:bottom w:w="0" w:type="dxa"/>
            <w:right w:w="108" w:type="dxa"/>
          </w:tblCellMar>
        </w:tblPrEx>
        <w:tc>
          <w:p w14:paraId="53DE3F17">
            <w:pPr>
              <w:pStyle w:val="24"/>
              <w:spacing w:after="0"/>
              <w:jc w:val="left"/>
            </w:pPr>
            <w:r>
              <w:rPr>
                <w:rFonts w:ascii="Aptos" w:hAnsi="Aptos"/>
                <w:color w:val="1F2937"/>
                <w:sz w:val="18"/>
              </w:rPr>
              <w:t>Municipio receptor con suelo, convenio y vehículo energético</w:t>
            </w:r>
          </w:p>
        </w:tc>
        <w:tc>
          <w:p w14:paraId="72D817ED">
            <w:pPr>
              <w:pStyle w:val="24"/>
              <w:spacing w:after="0"/>
              <w:jc w:val="left"/>
            </w:pPr>
            <w:r>
              <w:rPr>
                <w:rFonts w:ascii="Aptos" w:hAnsi="Aptos"/>
                <w:color w:val="1F2937"/>
                <w:sz w:val="18"/>
              </w:rPr>
              <w:t>Mismo checklist que G1</w:t>
            </w:r>
          </w:p>
        </w:tc>
      </w:tr>
      <w:tr w14:paraId="6E8ABD51">
        <w:tblPrEx>
          <w:tblCellMar>
            <w:top w:w="0" w:type="dxa"/>
            <w:left w:w="108" w:type="dxa"/>
            <w:bottom w:w="0" w:type="dxa"/>
            <w:right w:w="108" w:type="dxa"/>
          </w:tblCellMar>
        </w:tblPrEx>
        <w:tc>
          <w:p w14:paraId="21DA3536">
            <w:pPr>
              <w:pStyle w:val="24"/>
              <w:spacing w:after="0"/>
              <w:jc w:val="left"/>
            </w:pPr>
            <w:r>
              <w:rPr>
                <w:rFonts w:ascii="Aptos" w:hAnsi="Aptos"/>
                <w:color w:val="1F2937"/>
                <w:sz w:val="18"/>
              </w:rPr>
              <w:t>Paquete financiero específico del nivel</w:t>
            </w:r>
          </w:p>
        </w:tc>
        <w:tc>
          <w:p w14:paraId="534C4161">
            <w:pPr>
              <w:pStyle w:val="24"/>
              <w:spacing w:after="0"/>
              <w:jc w:val="left"/>
            </w:pPr>
            <w:r>
              <w:rPr>
                <w:rFonts w:ascii="Aptos" w:hAnsi="Aptos"/>
                <w:color w:val="1F2937"/>
                <w:sz w:val="18"/>
              </w:rPr>
              <w:t>Subvención + deuda + capital, con gates propios</w:t>
            </w:r>
          </w:p>
        </w:tc>
      </w:tr>
    </w:tbl>
    <w:p w14:paraId="57FD0DC2">
      <w:pPr>
        <w:pStyle w:val="3"/>
      </w:pPr>
      <w:r>
        <w:rPr>
          <w:rFonts w:ascii="Aptos" w:hAnsi="Aptos"/>
          <w:color w:val="1F2937"/>
          <w:sz w:val="21"/>
        </w:rPr>
        <w:t xml:space="preserve">La interoperabilidad (API abierta, NGSI-LD, INSPIRE, SIEX/SIGPAC, AEMET/Datadis) es la condición técnica de la escala. La economía de escala es de datos, no de hormigón. El acompañamiento de las </w:t>
      </w:r>
      <w:r>
        <w:rPr>
          <w:rFonts w:ascii="Aptos" w:hAnsi="Aptos"/>
          <w:b/>
          <w:color w:val="1F2937"/>
          <w:sz w:val="21"/>
        </w:rPr>
        <w:t>incubadoras de aceleración</w:t>
      </w:r>
      <w:r>
        <w:rPr>
          <w:rFonts w:ascii="Aptos" w:hAnsi="Aptos"/>
          <w:color w:val="1F2937"/>
          <w:sz w:val="21"/>
        </w:rPr>
        <w:t xml:space="preserve"> (§8.3) es una de las palancas para preparar la réplica y el salto transfronterizo a Portugal.</w:t>
      </w:r>
    </w:p>
    <w:p w14:paraId="2E7CAFEC">
      <w:pPr>
        <w:pStyle w:val="22"/>
      </w:pPr>
      <w:r>
        <w:rPr>
          <w:rFonts w:ascii="Aptos" w:hAnsi="Aptos"/>
          <w:b/>
          <w:color w:val="1F2937"/>
          <w:sz w:val="21"/>
        </w:rPr>
        <w:t>Evidencias asociadas (§5):</w:t>
      </w:r>
      <w:r>
        <w:rPr>
          <w:rFonts w:ascii="Aptos" w:hAnsi="Aptos"/>
          <w:color w:val="1F2937"/>
          <w:sz w:val="21"/>
        </w:rPr>
        <w:t xml:space="preserve"> análisis de mercado (fuentes públicas), LOI comerciales (estado declarado) · Nivel: declaración/documento (§11).</w:t>
      </w:r>
    </w:p>
    <w:p w14:paraId="5AE7B758">
      <w:pPr>
        <w:pStyle w:val="2"/>
      </w:pPr>
      <w:bookmarkStart w:id="53" w:name="X4c30409ca22cf0dcedb98dd0acac763dfdd106c"/>
      <w:r>
        <w:rPr>
          <w:rFonts w:ascii="Aptos Display" w:hAnsi="Aptos Display"/>
          <w:b/>
          <w:color w:val="174A2E"/>
          <w:sz w:val="21"/>
        </w:rPr>
        <w:t>6. Estrategia operativa y de comercialización</w:t>
      </w:r>
      <w:bookmarkEnd w:id="53"/>
    </w:p>
    <w:p w14:paraId="7ECB3ABC">
      <w:pPr>
        <w:pStyle w:val="4"/>
      </w:pPr>
      <w:bookmarkStart w:id="54" w:name="X18d0fc9548c9bea1c595382bc33bd7a9f98166d"/>
      <w:r>
        <w:rPr>
          <w:rFonts w:ascii="Aptos Display" w:hAnsi="Aptos Display"/>
          <w:b/>
          <w:color w:val="174A2E"/>
          <w:sz w:val="21"/>
        </w:rPr>
        <w:t>6.1. Estrategia de posicionamiento y fijación de precios</w:t>
      </w:r>
      <w:bookmarkEnd w:id="54"/>
    </w:p>
    <w:p w14:paraId="6AD6510E">
      <w:pPr>
        <w:pStyle w:val="23"/>
      </w:pPr>
      <w:r>
        <w:rPr>
          <w:rFonts w:ascii="Aptos" w:hAnsi="Aptos"/>
          <w:b/>
          <w:color w:val="1F2937"/>
          <w:sz w:val="21"/>
        </w:rPr>
        <w:t>Posicionamiento:</w:t>
      </w:r>
      <w:r>
        <w:rPr>
          <w:rFonts w:ascii="Aptos" w:hAnsi="Aptos"/>
          <w:color w:val="1F2937"/>
          <w:sz w:val="21"/>
        </w:rPr>
        <w:t xml:space="preserve"> la plataforma rural verificable — integrada, cercana y asequible, con demostrador físico propio. </w:t>
      </w:r>
      <w:r>
        <w:rPr>
          <w:rFonts w:ascii="Aptos" w:hAnsi="Aptos"/>
          <w:b/>
          <w:color w:val="1F2937"/>
          <w:sz w:val="21"/>
        </w:rPr>
        <w:t>Criterios de precio:</w:t>
      </w:r>
      <w:r>
        <w:rPr>
          <w:rFonts w:ascii="Aptos" w:hAnsi="Aptos"/>
          <w:color w:val="1F2937"/>
          <w:sz w:val="21"/>
        </w:rPr>
        <w:t xml:space="preserve"> costes del servicio; referencia competitiva (por debajo del coste total de las plataformas de gran explotación para una finca de 5–20 ha); valor percibido (ahorro de agua y energía + cumplimiento normativo + trazabilidad que abre canal). </w:t>
      </w:r>
      <w:r>
        <w:rPr>
          <w:rFonts w:ascii="Aptos" w:hAnsi="Aptos"/>
          <w:b/>
          <w:color w:val="1F2937"/>
          <w:sz w:val="21"/>
        </w:rPr>
        <w:t>Precios:</w:t>
      </w:r>
      <w:r>
        <w:rPr>
          <w:rFonts w:ascii="Aptos" w:hAnsi="Aptos"/>
          <w:color w:val="1F2937"/>
          <w:sz w:val="21"/>
        </w:rPr>
        <w:t xml:space="preserve"> SaaS 250–350 €/mes; sensórica según kit (pago único); consultoría/formación por tarifa horaria o proyecto; hortaliza (F3) 1,3–2,0 €/kg con 25–40 % del volumen a proximidad premium (1,8–2,5 €/kg). </w:t>
      </w:r>
      <w:r>
        <w:rPr>
          <w:rFonts w:ascii="Aptos" w:hAnsi="Aptos"/>
          <w:b/>
          <w:color w:val="1F2937"/>
          <w:sz w:val="21"/>
        </w:rPr>
        <w:t>Descuentos:</w:t>
      </w:r>
      <w:r>
        <w:rPr>
          <w:rFonts w:ascii="Aptos" w:hAnsi="Aptos"/>
          <w:color w:val="1F2937"/>
          <w:sz w:val="21"/>
        </w:rPr>
        <w:t xml:space="preserve"> por volumen a cooperativas, por pago anual, y pilotos </w:t>
      </w:r>
      <w:r>
        <w:rPr>
          <w:rFonts w:ascii="Aptos" w:hAnsi="Aptos"/>
          <w:b/>
          <w:color w:val="1F2937"/>
          <w:sz w:val="21"/>
        </w:rPr>
        <w:t>remunerados</w:t>
      </w:r>
      <w:r>
        <w:rPr>
          <w:rFonts w:ascii="Aptos" w:hAnsi="Aptos"/>
          <w:color w:val="1F2937"/>
          <w:sz w:val="21"/>
        </w:rPr>
        <w:t xml:space="preserve"> de lanzamiento (no gratuitos: un piloto gratis no valida disposición a pagar).</w:t>
      </w:r>
    </w:p>
    <w:p w14:paraId="04BD4E66">
      <w:pPr>
        <w:pStyle w:val="4"/>
      </w:pPr>
      <w:bookmarkStart w:id="55" w:name="X069385d1df4c351160730f2ab72624178e3dd9d"/>
      <w:r>
        <w:rPr>
          <w:rFonts w:ascii="Aptos Display" w:hAnsi="Aptos Display"/>
          <w:b/>
          <w:color w:val="174A2E"/>
          <w:sz w:val="21"/>
        </w:rPr>
        <w:t>6.2. Canales de distribución, ventas y logística</w:t>
      </w:r>
      <w:bookmarkEnd w:id="55"/>
    </w:p>
    <w:p w14:paraId="06181251">
      <w:pPr>
        <w:pStyle w:val="23"/>
      </w:pPr>
      <w:r>
        <w:rPr>
          <w:rFonts w:ascii="Aptos" w:hAnsi="Aptos"/>
          <w:b/>
          <w:color w:val="1F2937"/>
          <w:sz w:val="21"/>
        </w:rPr>
        <w:t>SaaS y servicios (desde F1):</w:t>
      </w:r>
      <w:r>
        <w:rPr>
          <w:rFonts w:ascii="Aptos" w:hAnsi="Aptos"/>
          <w:color w:val="1F2937"/>
          <w:sz w:val="21"/>
        </w:rPr>
        <w:t xml:space="preserve"> venta directa (web con demostración y acceso al entorno de validación) y, sobre todo, </w:t>
      </w:r>
      <w:r>
        <w:rPr>
          <w:rFonts w:ascii="Aptos" w:hAnsi="Aptos"/>
          <w:b/>
          <w:color w:val="1F2937"/>
          <w:sz w:val="21"/>
        </w:rPr>
        <w:t>prescriptores del territorio</w:t>
      </w:r>
      <w:r>
        <w:rPr>
          <w:rFonts w:ascii="Aptos" w:hAnsi="Aptos"/>
          <w:color w:val="1F2937"/>
          <w:sz w:val="21"/>
        </w:rPr>
        <w:t xml:space="preserve"> — cooperativas, comunidades de regantes, asociaciones agrarias, oficinas comarcales y ayuntamientos. Embudo con etapas y tasas declaradas (prospección → demostración → piloto remunerado → cliente), objetivo G1: ≥5 clientes en ~18 meses. </w:t>
      </w:r>
      <w:r>
        <w:rPr>
          <w:rFonts w:ascii="Aptos" w:hAnsi="Aptos"/>
          <w:b/>
          <w:color w:val="1F2937"/>
          <w:sz w:val="21"/>
        </w:rPr>
        <w:t>Producto físico (desde F3):</w:t>
      </w:r>
      <w:r>
        <w:rPr>
          <w:rFonts w:ascii="Aptos" w:hAnsi="Aptos"/>
          <w:color w:val="1F2937"/>
          <w:sz w:val="21"/>
        </w:rPr>
        <w:t xml:space="preserve"> canal corto de proximidad (radio 60 km) con contratos previos a siembra y salida mayorista regional; logística con transportistas comarcales, entrega 24–48 h, retirada selectiva por lote gracias a la trazabilidad. </w:t>
      </w:r>
      <w:r>
        <w:rPr>
          <w:rFonts w:ascii="Aptos" w:hAnsi="Aptos"/>
          <w:b/>
          <w:color w:val="1F2937"/>
          <w:sz w:val="21"/>
        </w:rPr>
        <w:t>Para el SaaS, la “devolución” es contractual:</w:t>
      </w:r>
      <w:r>
        <w:rPr>
          <w:rFonts w:ascii="Aptos" w:hAnsi="Aptos"/>
          <w:color w:val="1F2937"/>
          <w:sz w:val="21"/>
        </w:rPr>
        <w:t xml:space="preserve"> baja sin permanencia con preaviso de 30 días y exportación íntegra de los datos del cliente en formato abierto. </w:t>
      </w:r>
      <w:r>
        <w:rPr>
          <w:rFonts w:ascii="Aptos" w:hAnsi="Aptos"/>
          <w:b/>
          <w:color w:val="1F2937"/>
          <w:sz w:val="21"/>
        </w:rPr>
        <w:t>Energía (desde F4):</w:t>
      </w:r>
      <w:r>
        <w:rPr>
          <w:rFonts w:ascii="Aptos" w:hAnsi="Aptos"/>
          <w:color w:val="1F2937"/>
          <w:sz w:val="21"/>
        </w:rPr>
        <w:t xml:space="preserve"> el “canal” es el vehículo jurídico de autoconsumo colectivo.</w:t>
      </w:r>
    </w:p>
    <w:p w14:paraId="1070BEEB">
      <w:pPr>
        <w:pStyle w:val="4"/>
      </w:pPr>
      <w:bookmarkStart w:id="56" w:name="estrategias-de-comunicación-y-promoción"/>
      <w:r>
        <w:rPr>
          <w:rFonts w:ascii="Aptos Display" w:hAnsi="Aptos Display"/>
          <w:b/>
          <w:color w:val="174A2E"/>
          <w:sz w:val="21"/>
        </w:rPr>
        <w:t>6.3. Estrategias de comunicación y promoción</w:t>
      </w:r>
      <w:bookmarkEnd w:id="56"/>
    </w:p>
    <w:p w14:paraId="11F4CD6D">
      <w:pPr>
        <w:pStyle w:val="23"/>
      </w:pPr>
      <w:r>
        <w:rPr>
          <w:rFonts w:ascii="Aptos" w:hAnsi="Aptos"/>
          <w:b/>
          <w:color w:val="1F2937"/>
          <w:sz w:val="21"/>
        </w:rPr>
        <w:t>Identidad.</w:t>
      </w:r>
      <w:r>
        <w:rPr>
          <w:rFonts w:ascii="Aptos" w:hAnsi="Aptos"/>
          <w:color w:val="1F2937"/>
          <w:sz w:val="21"/>
        </w:rPr>
        <w:t xml:space="preserve"> Nombre comercial: CASTÚO (marca CASTÚO-SYSTEM™ en registro). Logotipo: emblema circular que funde hoja verde (agro), circuito impreso (dato) y gota-semilla, con la “C” central. Paleta: verdes vegetales, dorado y fondo oscuro. Eslogan: </w:t>
      </w:r>
      <w:r>
        <w:rPr>
          <w:rFonts w:ascii="Aptos" w:hAnsi="Aptos"/>
          <w:b/>
          <w:color w:val="1F2937"/>
          <w:sz w:val="21"/>
        </w:rPr>
        <w:t>“Produce. Mide. Demuestra.”</w:t>
      </w:r>
    </w:p>
    <w:p w14:paraId="07976F79">
      <w:pPr>
        <w:pStyle w:val="3"/>
      </w:pPr>
      <w:r>
        <w:rPr>
          <w:rFonts w:ascii="Aptos" w:hAnsi="Aptos"/>
          <w:b/>
          <w:color w:val="1F2937"/>
          <w:sz w:val="21"/>
        </w:rPr>
        <w:t>Plan de acciones (todas planificadas; ningún acuerdo se declara cerrado sin estarlo).</w:t>
      </w:r>
      <w:r>
        <w:rPr>
          <w:rFonts w:ascii="Aptos" w:hAnsi="Aptos"/>
          <w:color w:val="1F2937"/>
          <w:sz w:val="21"/>
        </w:rPr>
        <w:t xml:space="preserve"> </w:t>
      </w:r>
      <w:r>
        <w:rPr>
          <w:rFonts w:ascii="Aptos" w:hAnsi="Aptos"/>
          <w:i/>
          <w:color w:val="1F2937"/>
          <w:sz w:val="21"/>
        </w:rPr>
        <w:t>Digital:</w:t>
      </w:r>
      <w:r>
        <w:rPr>
          <w:rFonts w:ascii="Aptos" w:hAnsi="Aptos"/>
          <w:color w:val="1F2937"/>
          <w:sz w:val="21"/>
        </w:rPr>
        <w:t xml:space="preserve"> web con demostración y acceso público al entorno de validación; posicionamiento en búsquedas locales; contenidos prácticos y boletín para cooperativas y ayuntamientos. </w:t>
      </w:r>
      <w:r>
        <w:rPr>
          <w:rFonts w:ascii="Aptos" w:hAnsi="Aptos"/>
          <w:i/>
          <w:color w:val="1F2937"/>
          <w:sz w:val="21"/>
        </w:rPr>
        <w:t>Físico:</w:t>
      </w:r>
      <w:r>
        <w:rPr>
          <w:rFonts w:ascii="Aptos" w:hAnsi="Aptos"/>
          <w:color w:val="1F2937"/>
          <w:sz w:val="21"/>
        </w:rPr>
        <w:t xml:space="preserve"> talleres prácticos en cooperativas; presencia en ferias agroalimentarias extremeñas; presentaciones a ayuntamientos con el dossier ejecutivo; jornada de puertas abiertas del módulo de ensayo. </w:t>
      </w:r>
      <w:r>
        <w:rPr>
          <w:rFonts w:ascii="Aptos" w:hAnsi="Aptos"/>
          <w:i/>
          <w:color w:val="1F2937"/>
          <w:sz w:val="21"/>
        </w:rPr>
        <w:t>Prescriptores:</w:t>
      </w:r>
      <w:r>
        <w:rPr>
          <w:rFonts w:ascii="Aptos" w:hAnsi="Aptos"/>
          <w:color w:val="1F2937"/>
          <w:sz w:val="21"/>
        </w:rPr>
        <w:t xml:space="preserve"> cooperativas, comunidades de regantes, ASAJA/COAG/UPA, oficinas comarcales e incubadoras. </w:t>
      </w:r>
      <w:r>
        <w:rPr>
          <w:rFonts w:ascii="Aptos" w:hAnsi="Aptos"/>
          <w:i/>
          <w:color w:val="1F2937"/>
          <w:sz w:val="21"/>
        </w:rPr>
        <w:t>Relaciones públicas:</w:t>
      </w:r>
      <w:r>
        <w:rPr>
          <w:rFonts w:ascii="Aptos" w:hAnsi="Aptos"/>
          <w:color w:val="1F2937"/>
          <w:sz w:val="21"/>
        </w:rPr>
        <w:t xml:space="preserve"> cada hito se comunica con su evidencia enlazada.</w:t>
      </w:r>
    </w:p>
    <w:p w14:paraId="1E405EF3">
      <w:pPr>
        <w:pStyle w:val="4"/>
      </w:pPr>
      <w:bookmarkStart w:id="57" w:name="Xf7df4c6ed24c2f64fae837a7674bec211cac2fe"/>
      <w:r>
        <w:rPr>
          <w:rFonts w:ascii="Aptos Display" w:hAnsi="Aptos Display"/>
          <w:b/>
          <w:color w:val="174A2E"/>
          <w:sz w:val="21"/>
        </w:rPr>
        <w:t>6.4. Desarrollo ampliado — Plan comercial del SaaS</w:t>
      </w:r>
      <w:bookmarkEnd w:id="57"/>
    </w:p>
    <w:p w14:paraId="77138FF5">
      <w:pPr>
        <w:pStyle w:val="23"/>
      </w:pPr>
      <w:r>
        <w:rPr>
          <w:rFonts w:ascii="Aptos" w:hAnsi="Aptos"/>
          <w:color w:val="1F2937"/>
          <w:sz w:val="21"/>
        </w:rPr>
        <w:t xml:space="preserve">Licencia por cliente 250–350 €/mes; objetivo año 5: 10–40 clientes. Margen bruto &gt;70 %; objetivo LTV/CAC ≥3 al año 3. </w:t>
      </w:r>
      <w:r>
        <w:rPr>
          <w:rFonts w:ascii="Aptos" w:hAnsi="Aptos"/>
          <w:b/>
          <w:color w:val="1F2937"/>
          <w:sz w:val="21"/>
        </w:rPr>
        <w:t>Arranque comercial (primer trimestre de F1):</w:t>
      </w:r>
      <w:r>
        <w:rPr>
          <w:rFonts w:ascii="Aptos" w:hAnsi="Aptos"/>
          <w:color w:val="1F2937"/>
          <w:sz w:val="21"/>
        </w:rPr>
        <w:t xml:space="preserve"> prospección directa de 20–30 explotaciones y 5–10 cooperativas de la comarca, con demostración sobre el entorno de validación y oferta de piloto remunerado; objetivo intermedio: cerrar los 2 primeros pilotos antes del mes 6 para llegar con holgura al criterio G1 (≥5 en ~18 meses). Las tasas reales del embudo son hipótesis a validar en F1 y se publican en el SEV.</w:t>
      </w:r>
    </w:p>
    <w:p w14:paraId="5E522D4E">
      <w:pPr>
        <w:pStyle w:val="22"/>
      </w:pPr>
      <w:r>
        <w:rPr>
          <w:rFonts w:ascii="Aptos" w:hAnsi="Aptos"/>
          <w:b/>
          <w:color w:val="1F2937"/>
          <w:sz w:val="21"/>
        </w:rPr>
        <w:t>Evidencias asociadas (§6):</w:t>
      </w:r>
      <w:r>
        <w:rPr>
          <w:rFonts w:ascii="Aptos" w:hAnsi="Aptos"/>
          <w:color w:val="1F2937"/>
          <w:sz w:val="21"/>
        </w:rPr>
        <w:t xml:space="preserve"> entorno </w:t>
      </w:r>
      <w:r>
        <w:rPr>
          <w:rStyle w:val="35"/>
          <w:rFonts w:ascii="Aptos" w:hAnsi="Aptos"/>
          <w:color w:val="1F2937"/>
          <w:sz w:val="21"/>
        </w:rPr>
        <w:t>/evaluation-environment</w:t>
      </w:r>
      <w:r>
        <w:rPr>
          <w:rFonts w:ascii="Aptos" w:hAnsi="Aptos"/>
          <w:color w:val="1F2937"/>
          <w:sz w:val="21"/>
        </w:rPr>
        <w:t>, embudo comercial con tasas · Nivel: registro/documento (§11).</w:t>
      </w:r>
    </w:p>
    <w:p w14:paraId="038A4979">
      <w:pPr>
        <w:pStyle w:val="2"/>
      </w:pPr>
      <w:bookmarkStart w:id="58" w:name="Xa1b92ef590e73fa1f9f2846e412817bbcae297f"/>
      <w:r>
        <w:rPr>
          <w:rFonts w:ascii="Aptos Display" w:hAnsi="Aptos Display"/>
          <w:b/>
          <w:color w:val="174A2E"/>
          <w:sz w:val="21"/>
        </w:rPr>
        <w:t>7. Operaciones, recursos técnicos y sostenibilidad</w:t>
      </w:r>
      <w:bookmarkEnd w:id="58"/>
    </w:p>
    <w:p w14:paraId="500D3758">
      <w:pPr>
        <w:pStyle w:val="22"/>
      </w:pPr>
      <w:r>
        <w:rPr>
          <w:rFonts w:ascii="Aptos" w:hAnsi="Aptos"/>
          <w:b/>
          <w:color w:val="1F2937"/>
          <w:sz w:val="21"/>
        </w:rPr>
        <w:t>Encuadre (tres planos).</w:t>
      </w:r>
      <w:r>
        <w:rPr>
          <w:rFonts w:ascii="Aptos" w:hAnsi="Aptos"/>
          <w:color w:val="1F2937"/>
          <w:sz w:val="21"/>
        </w:rPr>
        <w:t xml:space="preserve"> Los diseños técnicos de invernadero, </w:t>
      </w:r>
      <w:r>
        <w:rPr>
          <w:rFonts w:ascii="Aptos" w:hAnsi="Aptos"/>
          <w:b/>
          <w:color w:val="1F2937"/>
          <w:sz w:val="21"/>
        </w:rPr>
        <w:t>geotermia de baja entalpía</w:t>
      </w:r>
      <w:r>
        <w:rPr>
          <w:rFonts w:ascii="Aptos" w:hAnsi="Aptos"/>
          <w:color w:val="1F2937"/>
          <w:sz w:val="21"/>
        </w:rPr>
        <w:t xml:space="preserve"> y agrovoltaica de este capítulo corresponden al </w:t>
      </w:r>
      <w:r>
        <w:rPr>
          <w:rFonts w:ascii="Aptos" w:hAnsi="Aptos"/>
          <w:b/>
          <w:color w:val="1F2937"/>
          <w:sz w:val="21"/>
        </w:rPr>
        <w:t>Plano C (fases futuras condicionadas)</w:t>
      </w:r>
      <w:r>
        <w:rPr>
          <w:rFonts w:ascii="Aptos" w:hAnsi="Aptos"/>
          <w:color w:val="1F2937"/>
          <w:sz w:val="21"/>
        </w:rPr>
        <w:t xml:space="preserve">: conservan todo su valor estratégico —eficiencia energética, estabilidad térmica, autonomía e infraestructura futura— pero </w:t>
      </w:r>
      <w:r>
        <w:rPr>
          <w:rFonts w:ascii="Aptos" w:hAnsi="Aptos"/>
          <w:b/>
          <w:color w:val="1F2937"/>
          <w:sz w:val="21"/>
        </w:rPr>
        <w:t>no forman parte del gasto de arranque</w:t>
      </w:r>
      <w:r>
        <w:rPr>
          <w:rFonts w:ascii="Aptos" w:hAnsi="Aptos"/>
          <w:color w:val="1F2937"/>
          <w:sz w:val="21"/>
        </w:rPr>
        <w:t xml:space="preserve"> (§4.3.6). La geotermia requiere, como paso previo, un Test de Respuesta Térmica (TRT) que mida la conductividad real del terreno antes de dimensionar obra alguna.</w:t>
      </w:r>
    </w:p>
    <w:p w14:paraId="2F2B2B97">
      <w:pPr>
        <w:pStyle w:val="4"/>
      </w:pPr>
      <w:bookmarkStart w:id="59" w:name="Xe03de1c58755a790b7b50312bb1632ea5b9cf4d"/>
      <w:r>
        <w:rPr>
          <w:rFonts w:ascii="Aptos Display" w:hAnsi="Aptos Display"/>
          <w:b/>
          <w:color w:val="174A2E"/>
          <w:sz w:val="21"/>
        </w:rPr>
        <w:t>7.1. Infraestructuras, instalaciones y localización</w:t>
      </w:r>
      <w:bookmarkEnd w:id="59"/>
    </w:p>
    <w:p w14:paraId="51A4EC7F">
      <w:pPr>
        <w:pStyle w:val="23"/>
      </w:pPr>
      <w:r>
        <w:rPr>
          <w:rFonts w:ascii="Aptos" w:hAnsi="Aptos"/>
          <w:color w:val="1F2937"/>
          <w:sz w:val="21"/>
        </w:rPr>
        <w:t xml:space="preserve">Oficina operativa en el casco urbano de Membrío (alquiler, ~60–100 m², 3–4 puestos, taller de sensórica), con adecuación menor y licencia de actividad. </w:t>
      </w:r>
      <w:r>
        <w:rPr>
          <w:rFonts w:ascii="Aptos" w:hAnsi="Aptos"/>
          <w:b/>
          <w:color w:val="1F2937"/>
          <w:sz w:val="21"/>
        </w:rPr>
        <w:t>Parcela de ensayos rústica</w:t>
      </w:r>
      <w:r>
        <w:rPr>
          <w:rFonts w:ascii="Aptos" w:hAnsi="Aptos"/>
          <w:color w:val="1F2937"/>
          <w:sz w:val="21"/>
        </w:rPr>
        <w:t>, mediante convenio de cesión con el Ayuntamiento (≥25 años, criterio de G1): alberga en F1 el módulo de terracota instrumentado (~100 m²) y el sondeo piloto del TRT. Permisos de F1: licencia de actividad, autorización de sondeo (con notificación a Confederación Hidrográfica) y apertura de la consulta previa PAC y de los expedientes de la futura agrovoltaica.</w:t>
      </w:r>
    </w:p>
    <w:p w14:paraId="5B447B26">
      <w:pPr>
        <w:pStyle w:val="4"/>
      </w:pPr>
      <w:bookmarkStart w:id="60" w:name="X202761c02f204c2db3e699626c1c1a9d6e3d75e"/>
      <w:r>
        <w:rPr>
          <w:rFonts w:ascii="Aptos Display" w:hAnsi="Aptos Display"/>
          <w:b/>
          <w:color w:val="174A2E"/>
          <w:sz w:val="21"/>
        </w:rPr>
        <w:t>7.2. Equipamiento, maquinaria y proceso productivo</w:t>
      </w:r>
      <w:bookmarkEnd w:id="60"/>
    </w:p>
    <w:p w14:paraId="0C4191B7">
      <w:pPr>
        <w:pStyle w:val="23"/>
      </w:pPr>
      <w:r>
        <w:rPr>
          <w:rFonts w:ascii="Aptos" w:hAnsi="Aptos"/>
          <w:b/>
          <w:color w:val="1F2937"/>
          <w:sz w:val="21"/>
        </w:rPr>
        <w:t>Equipamiento de arranque (F1; costes en el Excel):</w:t>
      </w:r>
      <w:r>
        <w:rPr>
          <w:rFonts w:ascii="Aptos" w:hAnsi="Aptos"/>
          <w:color w:val="1F2937"/>
          <w:sz w:val="21"/>
        </w:rPr>
        <w:t xml:space="preserve"> puestos de desarrollo; infraestructura en la nube (contenedores); kit de instrumentación del módulo (sondas de temperatura, humedad, placa de flujo de calor, piranómetro y contadores de energía, registro 1–5 min); equipo TRT subcontratado (sondeo piloto + ensayo ≥72 h); mobiliario. </w:t>
      </w:r>
      <w:r>
        <w:rPr>
          <w:rFonts w:ascii="Aptos" w:hAnsi="Aptos"/>
          <w:b/>
          <w:color w:val="1F2937"/>
          <w:sz w:val="21"/>
        </w:rPr>
        <w:t>Proceso del servicio SaaS:</w:t>
      </w:r>
      <w:r>
        <w:rPr>
          <w:rFonts w:ascii="Aptos" w:hAnsi="Aptos"/>
          <w:color w:val="1F2937"/>
          <w:sz w:val="21"/>
        </w:rPr>
        <w:t xml:space="preserve"> sensórica → edge → plataforma (Python + PostgreSQL, contenedores) → cuadros de mando → decisión, con CI/CD, pruebas automatizadas y SBOM. </w:t>
      </w:r>
      <w:r>
        <w:rPr>
          <w:rFonts w:ascii="Aptos" w:hAnsi="Aptos"/>
          <w:b/>
          <w:color w:val="1F2937"/>
          <w:sz w:val="21"/>
        </w:rPr>
        <w:t>Proceso del ensayo físico:</w:t>
      </w:r>
      <w:r>
        <w:rPr>
          <w:rFonts w:ascii="Aptos" w:hAnsi="Aptos"/>
          <w:color w:val="1F2937"/>
          <w:sz w:val="21"/>
        </w:rPr>
        <w:t xml:space="preserve"> protocolo publicado a priori → instrumentación → adquisición ≥6 meses → datos brutos + script reproducible → revisión por tercero independiente → decisión de hito documentada.</w:t>
      </w:r>
    </w:p>
    <w:p w14:paraId="66B6E228">
      <w:pPr>
        <w:pStyle w:val="4"/>
      </w:pPr>
      <w:bookmarkStart w:id="61" w:name="X5180e5783a85cc2a71c6a908ddc49fb7c6db85b"/>
      <w:r>
        <w:rPr>
          <w:rFonts w:ascii="Aptos Display" w:hAnsi="Aptos Display"/>
          <w:b/>
          <w:color w:val="174A2E"/>
          <w:sz w:val="21"/>
        </w:rPr>
        <w:t>7.3. Criterios de calidad, normativa y sostenibilidad ambiental</w:t>
      </w:r>
      <w:bookmarkEnd w:id="61"/>
    </w:p>
    <w:p w14:paraId="14AE7C31">
      <w:pPr>
        <w:pStyle w:val="23"/>
      </w:pPr>
      <w:r>
        <w:rPr>
          <w:rFonts w:ascii="Aptos" w:hAnsi="Aptos"/>
          <w:b/>
          <w:color w:val="1F2937"/>
          <w:sz w:val="21"/>
        </w:rPr>
        <w:t>Calidad y normativa:</w:t>
      </w:r>
      <w:r>
        <w:rPr>
          <w:rFonts w:ascii="Aptos" w:hAnsi="Aptos"/>
          <w:color w:val="1F2937"/>
          <w:sz w:val="21"/>
        </w:rPr>
        <w:t xml:space="preserve"> RGPD con minimización y aislamiento por cliente; separación OT/IT (IEC 62443) y control local; continuidad con copias externas cifradas (alineamiento ISO 22301); para la fase alimentaria (F3), registro de operador alimentario y APPCC adaptado a hidroponía, con vista a GlobalG.A.P./IFS cuando el canal las exija. Se declara </w:t>
      </w:r>
      <w:r>
        <w:rPr>
          <w:rFonts w:ascii="Aptos" w:hAnsi="Aptos"/>
          <w:b/>
          <w:color w:val="1F2937"/>
          <w:sz w:val="21"/>
        </w:rPr>
        <w:t>alineamiento de diseño, no certificación obtenida</w:t>
      </w:r>
      <w:r>
        <w:rPr>
          <w:rFonts w:ascii="Aptos" w:hAnsi="Aptos"/>
          <w:color w:val="1F2937"/>
          <w:sz w:val="21"/>
        </w:rPr>
        <w:t>.</w:t>
      </w:r>
    </w:p>
    <w:p w14:paraId="0FF6B356">
      <w:pPr>
        <w:pStyle w:val="3"/>
      </w:pPr>
      <w:r>
        <w:rPr>
          <w:rFonts w:ascii="Aptos" w:hAnsi="Aptos"/>
          <w:b/>
          <w:color w:val="1F2937"/>
          <w:sz w:val="21"/>
        </w:rPr>
        <w:t>Compromiso ambiental medible:</w:t>
      </w:r>
      <w:r>
        <w:rPr>
          <w:rFonts w:ascii="Aptos" w:hAnsi="Aptos"/>
          <w:color w:val="1F2937"/>
          <w:sz w:val="21"/>
        </w:rPr>
        <w:t xml:space="preserve"> hidroponía recirculante con objetivo ≤25 L/kg (frente a 100–300 L/kg del cultivo en suelo); cobertura energética municipal del 80–95 % en balance neto anual; 400–500 t CO₂e/año evitadas en régimen; gestión de residuos con vertido cero de nutrientes como objetivo; suelo no sellado de forma irreversible. Los indicadores los mide el propio sistema y se publican anualmente con su evidencia.</w:t>
      </w:r>
    </w:p>
    <w:p w14:paraId="5F2F868D">
      <w:pPr>
        <w:pStyle w:val="4"/>
      </w:pPr>
      <w:bookmarkStart w:id="62" w:name="X0b2002e1a74b04173fe30a9eb669dacd6513822"/>
      <w:r>
        <w:rPr>
          <w:rFonts w:ascii="Aptos Display" w:hAnsi="Aptos Display"/>
          <w:b/>
          <w:color w:val="174A2E"/>
          <w:sz w:val="21"/>
        </w:rPr>
        <w:t>7.4. Desarrollo ampliado — Diseño técnico I: invernadero hidropónico con envolvente de terracota</w:t>
      </w:r>
      <w:bookmarkEnd w:id="62"/>
    </w:p>
    <w:p w14:paraId="7FBD5738">
      <w:pPr>
        <w:pStyle w:val="23"/>
      </w:pPr>
      <w:r>
        <w:rPr>
          <w:rFonts w:ascii="Aptos" w:hAnsi="Aptos"/>
          <w:i/>
          <w:color w:val="1F2937"/>
          <w:sz w:val="21"/>
        </w:rPr>
        <w:t>Aviso de método:</w:t>
      </w:r>
      <w:r>
        <w:rPr>
          <w:rFonts w:ascii="Aptos" w:hAnsi="Aptos"/>
          <w:color w:val="1F2937"/>
          <w:sz w:val="21"/>
        </w:rPr>
        <w:t xml:space="preserve"> cálculos de dimensionamiento simplificados con parámetros de literatura; no sustituyen el proyecto de ingeniería visado ni las mediciones del módulo de F1.</w:t>
      </w:r>
    </w:p>
    <w:p w14:paraId="5CA1D94B">
      <w:pPr>
        <w:pStyle w:val="3"/>
      </w:pPr>
      <w:r>
        <w:rPr>
          <w:rFonts w:ascii="Aptos" w:hAnsi="Aptos"/>
          <w:color w:val="1F2937"/>
          <w:sz w:val="21"/>
        </w:rPr>
        <w:t xml:space="preserve">Invernadero de 1 ha tipo multicapilla, cubierta difusora, con hidroponía recirculante (NFT/canaleta). La </w:t>
      </w:r>
      <w:r>
        <w:rPr>
          <w:rFonts w:ascii="Aptos" w:hAnsi="Aptos"/>
          <w:b/>
          <w:color w:val="1F2937"/>
          <w:sz w:val="21"/>
        </w:rPr>
        <w:t>envolvente de terracota</w:t>
      </w:r>
      <w:r>
        <w:rPr>
          <w:rFonts w:ascii="Aptos" w:hAnsi="Aptos"/>
          <w:color w:val="1F2937"/>
          <w:sz w:val="21"/>
        </w:rPr>
        <w:t xml:space="preserve"> (muros de masa térmica y pavimento cerámico) actúa como volante térmico. Capacidad térmica: </w:t>
      </w:r>
      <w:r>
        <w:rPr>
          <w:rStyle w:val="35"/>
          <w:rFonts w:ascii="Aptos" w:hAnsi="Aptos"/>
          <w:color w:val="1F2937"/>
          <w:sz w:val="21"/>
        </w:rPr>
        <w:t>Q = m·cp·ΔT</w:t>
      </w:r>
      <w:r>
        <w:rPr>
          <w:rFonts w:ascii="Aptos" w:hAnsi="Aptos"/>
          <w:color w:val="1F2937"/>
          <w:sz w:val="21"/>
        </w:rPr>
        <w:t xml:space="preserve">. Parámetros de referencia: ρ ≈ 1.900–2.100 kg/m³, cp ≈ 0,8–1,0 kJ/(kg·K), λ ≈ 0,5–1,0 W/(m·K). </w:t>
      </w:r>
      <w:r>
        <w:rPr>
          <w:rFonts w:ascii="Aptos" w:hAnsi="Aptos"/>
          <w:b/>
          <w:color w:val="1F2937"/>
          <w:sz w:val="21"/>
        </w:rPr>
        <w:t>Reducción de demanda térmica estimada: 30–45 %</w:t>
      </w:r>
      <w:r>
        <w:rPr>
          <w:rFonts w:ascii="Aptos" w:hAnsi="Aptos"/>
          <w:color w:val="1F2937"/>
          <w:sz w:val="21"/>
        </w:rPr>
        <w:t xml:space="preserve"> — hipótesis declarada, a validar en un módulo instrumentado de ~100 m² durante ≥6 meses. Si el dato real queda por debajo, la respuesta está presupuestada: redimensionar la geotermia (+0,1–0,2 M€), decidido en Gate.</w:t>
      </w:r>
    </w:p>
    <w:p w14:paraId="2226AFAC">
      <w:pPr>
        <w:pStyle w:val="3"/>
      </w:pPr>
      <w:r>
        <w:rPr>
          <w:rFonts w:ascii="Aptos" w:hAnsi="Aptos"/>
          <w:b/>
          <w:color w:val="1F2937"/>
          <w:sz w:val="21"/>
        </w:rPr>
        <w:t>Plan de instrumentación (Fase 1).</w:t>
      </w:r>
    </w:p>
    <w:tbl>
      <w:tblPr>
        <w:tblStyle w:val="28"/>
        <w:tblW w:w="5000" w:type="pct"/>
        <w:jc w:val="center"/>
        <w:tblInd w:w="0" w:type="dxa"/>
        <w:tblLayout w:type="fixed"/>
        <w:tblCellMar>
          <w:top w:w="0" w:type="dxa"/>
          <w:left w:w="108" w:type="dxa"/>
          <w:bottom w:w="0" w:type="dxa"/>
          <w:right w:w="108" w:type="dxa"/>
        </w:tblCellMar>
      </w:tblPr>
      <w:tblGrid>
        <w:gridCol w:w="1980"/>
        <w:gridCol w:w="1980"/>
        <w:gridCol w:w="1980"/>
        <w:gridCol w:w="1980"/>
      </w:tblGrid>
      <w:tr w14:paraId="178B45B7">
        <w:tblPrEx>
          <w:tblCellMar>
            <w:top w:w="0" w:type="dxa"/>
            <w:left w:w="108" w:type="dxa"/>
            <w:bottom w:w="0" w:type="dxa"/>
            <w:right w:w="108" w:type="dxa"/>
          </w:tblCellMar>
        </w:tblPrEx>
        <w:tc>
          <w:tcPr>
            <w:tcW w:w="2340" w:type="dxa"/>
            <w:tcBorders>
              <w:bottom w:val="single" w:color="auto" w:sz="0" w:space="0"/>
            </w:tcBorders>
            <w:vAlign w:val="bottom"/>
          </w:tcPr>
          <w:p w14:paraId="0A84895E">
            <w:pPr>
              <w:pStyle w:val="24"/>
              <w:spacing w:after="0"/>
              <w:jc w:val="left"/>
            </w:pPr>
            <w:r>
              <w:rPr>
                <w:rFonts w:ascii="Aptos" w:hAnsi="Aptos"/>
                <w:color w:val="1F2937"/>
                <w:sz w:val="18"/>
              </w:rPr>
              <w:t>Magnitud</w:t>
            </w:r>
          </w:p>
        </w:tc>
        <w:tc>
          <w:tcPr>
            <w:tcW w:w="2340" w:type="dxa"/>
            <w:tcBorders>
              <w:bottom w:val="single" w:color="auto" w:sz="0" w:space="0"/>
            </w:tcBorders>
            <w:vAlign w:val="bottom"/>
          </w:tcPr>
          <w:p w14:paraId="712E3194">
            <w:pPr>
              <w:pStyle w:val="24"/>
              <w:spacing w:after="0"/>
              <w:jc w:val="left"/>
            </w:pPr>
            <w:r>
              <w:rPr>
                <w:rFonts w:ascii="Aptos" w:hAnsi="Aptos"/>
                <w:color w:val="1F2937"/>
                <w:sz w:val="18"/>
              </w:rPr>
              <w:t>Sensor</w:t>
            </w:r>
          </w:p>
        </w:tc>
        <w:tc>
          <w:tcPr>
            <w:tcW w:w="2340" w:type="dxa"/>
            <w:tcBorders>
              <w:bottom w:val="single" w:color="auto" w:sz="0" w:space="0"/>
            </w:tcBorders>
            <w:vAlign w:val="bottom"/>
          </w:tcPr>
          <w:p w14:paraId="5E3EDD0B">
            <w:pPr>
              <w:pStyle w:val="24"/>
              <w:spacing w:after="0"/>
              <w:jc w:val="left"/>
            </w:pPr>
            <w:r>
              <w:rPr>
                <w:rFonts w:ascii="Aptos" w:hAnsi="Aptos"/>
                <w:color w:val="1F2937"/>
                <w:sz w:val="18"/>
              </w:rPr>
              <w:t>Ubicación</w:t>
            </w:r>
          </w:p>
        </w:tc>
        <w:tc>
          <w:tcPr>
            <w:tcW w:w="2340" w:type="dxa"/>
            <w:tcBorders>
              <w:bottom w:val="single" w:color="auto" w:sz="0" w:space="0"/>
            </w:tcBorders>
            <w:vAlign w:val="bottom"/>
          </w:tcPr>
          <w:p w14:paraId="4987F1FA">
            <w:pPr>
              <w:pStyle w:val="24"/>
              <w:spacing w:after="0"/>
              <w:jc w:val="left"/>
            </w:pPr>
            <w:r>
              <w:rPr>
                <w:rFonts w:ascii="Aptos" w:hAnsi="Aptos"/>
                <w:color w:val="1F2937"/>
                <w:sz w:val="18"/>
              </w:rPr>
              <w:t>Frecuencia</w:t>
            </w:r>
          </w:p>
        </w:tc>
      </w:tr>
      <w:tr w14:paraId="1892A9A6">
        <w:tblPrEx>
          <w:tblCellMar>
            <w:top w:w="0" w:type="dxa"/>
            <w:left w:w="108" w:type="dxa"/>
            <w:bottom w:w="0" w:type="dxa"/>
            <w:right w:w="108" w:type="dxa"/>
          </w:tblCellMar>
        </w:tblPrEx>
        <w:tc>
          <w:p w14:paraId="1D784D98">
            <w:pPr>
              <w:pStyle w:val="24"/>
              <w:spacing w:after="0"/>
              <w:jc w:val="left"/>
            </w:pPr>
            <w:r>
              <w:rPr>
                <w:rFonts w:ascii="Aptos" w:hAnsi="Aptos"/>
                <w:color w:val="1F2937"/>
                <w:sz w:val="18"/>
              </w:rPr>
              <w:t>Temperatura aire (int/ext)</w:t>
            </w:r>
          </w:p>
        </w:tc>
        <w:tc>
          <w:p w14:paraId="42C391D9">
            <w:pPr>
              <w:pStyle w:val="24"/>
              <w:spacing w:after="0"/>
              <w:jc w:val="left"/>
            </w:pPr>
            <w:r>
              <w:rPr>
                <w:rFonts w:ascii="Aptos" w:hAnsi="Aptos"/>
                <w:color w:val="1F2937"/>
                <w:sz w:val="18"/>
              </w:rPr>
              <w:t>Sonda T (PT100/NTC) apantallada</w:t>
            </w:r>
          </w:p>
        </w:tc>
        <w:tc>
          <w:p w14:paraId="1A3AC081">
            <w:pPr>
              <w:pStyle w:val="24"/>
              <w:spacing w:after="0"/>
              <w:jc w:val="left"/>
            </w:pPr>
            <w:r>
              <w:rPr>
                <w:rFonts w:ascii="Aptos" w:hAnsi="Aptos"/>
                <w:color w:val="1F2937"/>
                <w:sz w:val="18"/>
              </w:rPr>
              <w:t>Varios puntos + exterior</w:t>
            </w:r>
          </w:p>
        </w:tc>
        <w:tc>
          <w:p w14:paraId="5F066A6F">
            <w:pPr>
              <w:pStyle w:val="24"/>
              <w:spacing w:after="0"/>
              <w:jc w:val="left"/>
            </w:pPr>
            <w:r>
              <w:rPr>
                <w:rFonts w:ascii="Aptos" w:hAnsi="Aptos"/>
                <w:color w:val="1F2937"/>
                <w:sz w:val="18"/>
              </w:rPr>
              <w:t>1–5 min</w:t>
            </w:r>
          </w:p>
        </w:tc>
      </w:tr>
      <w:tr w14:paraId="5C76C4EA">
        <w:tblPrEx>
          <w:tblCellMar>
            <w:top w:w="0" w:type="dxa"/>
            <w:left w:w="108" w:type="dxa"/>
            <w:bottom w:w="0" w:type="dxa"/>
            <w:right w:w="108" w:type="dxa"/>
          </w:tblCellMar>
        </w:tblPrEx>
        <w:tc>
          <w:p w14:paraId="36FCAA7A">
            <w:pPr>
              <w:pStyle w:val="24"/>
              <w:spacing w:after="0"/>
              <w:jc w:val="left"/>
            </w:pPr>
            <w:r>
              <w:rPr>
                <w:rFonts w:ascii="Aptos" w:hAnsi="Aptos"/>
                <w:color w:val="1F2937"/>
                <w:sz w:val="18"/>
              </w:rPr>
              <w:t>Temperatura superficial del muro</w:t>
            </w:r>
          </w:p>
        </w:tc>
        <w:tc>
          <w:p w14:paraId="6FE2B9D6">
            <w:pPr>
              <w:pStyle w:val="24"/>
              <w:spacing w:after="0"/>
              <w:jc w:val="left"/>
            </w:pPr>
            <w:r>
              <w:rPr>
                <w:rFonts w:ascii="Aptos" w:hAnsi="Aptos"/>
                <w:color w:val="1F2937"/>
                <w:sz w:val="18"/>
              </w:rPr>
              <w:t>Termopar/termorresistencia</w:t>
            </w:r>
          </w:p>
        </w:tc>
        <w:tc>
          <w:p w14:paraId="07CDE69A">
            <w:pPr>
              <w:pStyle w:val="24"/>
              <w:spacing w:after="0"/>
              <w:jc w:val="left"/>
            </w:pPr>
            <w:r>
              <w:rPr>
                <w:rFonts w:ascii="Aptos" w:hAnsi="Aptos"/>
                <w:color w:val="1F2937"/>
                <w:sz w:val="18"/>
              </w:rPr>
              <w:t>Cara int/ext muro</w:t>
            </w:r>
          </w:p>
        </w:tc>
        <w:tc>
          <w:p w14:paraId="768FFF49">
            <w:pPr>
              <w:pStyle w:val="24"/>
              <w:spacing w:after="0"/>
              <w:jc w:val="left"/>
            </w:pPr>
            <w:r>
              <w:rPr>
                <w:rFonts w:ascii="Aptos" w:hAnsi="Aptos"/>
                <w:color w:val="1F2937"/>
                <w:sz w:val="18"/>
              </w:rPr>
              <w:t>1–5 min</w:t>
            </w:r>
          </w:p>
        </w:tc>
      </w:tr>
      <w:tr w14:paraId="19D0FC03">
        <w:tblPrEx>
          <w:tblCellMar>
            <w:top w:w="0" w:type="dxa"/>
            <w:left w:w="108" w:type="dxa"/>
            <w:bottom w:w="0" w:type="dxa"/>
            <w:right w:w="108" w:type="dxa"/>
          </w:tblCellMar>
        </w:tblPrEx>
        <w:tc>
          <w:p w14:paraId="6A9216FD">
            <w:pPr>
              <w:pStyle w:val="24"/>
              <w:spacing w:after="0"/>
              <w:jc w:val="left"/>
            </w:pPr>
            <w:r>
              <w:rPr>
                <w:rFonts w:ascii="Aptos" w:hAnsi="Aptos"/>
                <w:color w:val="1F2937"/>
                <w:sz w:val="18"/>
              </w:rPr>
              <w:t>Humedad relativa</w:t>
            </w:r>
          </w:p>
        </w:tc>
        <w:tc>
          <w:p w14:paraId="3E5123E6">
            <w:pPr>
              <w:pStyle w:val="24"/>
              <w:spacing w:after="0"/>
              <w:jc w:val="left"/>
            </w:pPr>
            <w:r>
              <w:rPr>
                <w:rFonts w:ascii="Aptos" w:hAnsi="Aptos"/>
                <w:color w:val="1F2937"/>
                <w:sz w:val="18"/>
              </w:rPr>
              <w:t>Sensor capacitivo</w:t>
            </w:r>
          </w:p>
        </w:tc>
        <w:tc>
          <w:p w14:paraId="33E9FC5B">
            <w:pPr>
              <w:pStyle w:val="24"/>
              <w:spacing w:after="0"/>
              <w:jc w:val="left"/>
            </w:pPr>
            <w:r>
              <w:rPr>
                <w:rFonts w:ascii="Aptos" w:hAnsi="Aptos"/>
                <w:color w:val="1F2937"/>
                <w:sz w:val="18"/>
              </w:rPr>
              <w:t>Interior/exterior</w:t>
            </w:r>
          </w:p>
        </w:tc>
        <w:tc>
          <w:p w14:paraId="0D6241F2">
            <w:pPr>
              <w:pStyle w:val="24"/>
              <w:spacing w:after="0"/>
              <w:jc w:val="left"/>
            </w:pPr>
            <w:r>
              <w:rPr>
                <w:rFonts w:ascii="Aptos" w:hAnsi="Aptos"/>
                <w:color w:val="1F2937"/>
                <w:sz w:val="18"/>
              </w:rPr>
              <w:t>1–5 min</w:t>
            </w:r>
          </w:p>
        </w:tc>
      </w:tr>
      <w:tr w14:paraId="44DAEA37">
        <w:tblPrEx>
          <w:tblCellMar>
            <w:top w:w="0" w:type="dxa"/>
            <w:left w:w="108" w:type="dxa"/>
            <w:bottom w:w="0" w:type="dxa"/>
            <w:right w:w="108" w:type="dxa"/>
          </w:tblCellMar>
        </w:tblPrEx>
        <w:tc>
          <w:p w14:paraId="6F039E67">
            <w:pPr>
              <w:pStyle w:val="24"/>
              <w:spacing w:after="0"/>
              <w:jc w:val="left"/>
            </w:pPr>
            <w:r>
              <w:rPr>
                <w:rFonts w:ascii="Aptos" w:hAnsi="Aptos"/>
                <w:color w:val="1F2937"/>
                <w:sz w:val="18"/>
              </w:rPr>
              <w:t>Flujo de calor en muro</w:t>
            </w:r>
          </w:p>
        </w:tc>
        <w:tc>
          <w:p w14:paraId="37614CC2">
            <w:pPr>
              <w:pStyle w:val="24"/>
              <w:spacing w:after="0"/>
              <w:jc w:val="left"/>
            </w:pPr>
            <w:r>
              <w:rPr>
                <w:rFonts w:ascii="Aptos" w:hAnsi="Aptos"/>
                <w:color w:val="1F2937"/>
                <w:sz w:val="18"/>
              </w:rPr>
              <w:t>Placa de flujo térmico</w:t>
            </w:r>
          </w:p>
        </w:tc>
        <w:tc>
          <w:p w14:paraId="5161ABB2">
            <w:pPr>
              <w:pStyle w:val="24"/>
              <w:spacing w:after="0"/>
              <w:jc w:val="left"/>
            </w:pPr>
            <w:r>
              <w:rPr>
                <w:rFonts w:ascii="Aptos" w:hAnsi="Aptos"/>
                <w:color w:val="1F2937"/>
                <w:sz w:val="18"/>
              </w:rPr>
              <w:t>Sección de muro</w:t>
            </w:r>
          </w:p>
        </w:tc>
        <w:tc>
          <w:p w14:paraId="6C6E2F28">
            <w:pPr>
              <w:pStyle w:val="24"/>
              <w:spacing w:after="0"/>
              <w:jc w:val="left"/>
            </w:pPr>
            <w:r>
              <w:rPr>
                <w:rFonts w:ascii="Aptos" w:hAnsi="Aptos"/>
                <w:color w:val="1F2937"/>
                <w:sz w:val="18"/>
              </w:rPr>
              <w:t>1–5 min</w:t>
            </w:r>
          </w:p>
        </w:tc>
      </w:tr>
      <w:tr w14:paraId="07143765">
        <w:tblPrEx>
          <w:tblCellMar>
            <w:top w:w="0" w:type="dxa"/>
            <w:left w:w="108" w:type="dxa"/>
            <w:bottom w:w="0" w:type="dxa"/>
            <w:right w:w="108" w:type="dxa"/>
          </w:tblCellMar>
        </w:tblPrEx>
        <w:tc>
          <w:p w14:paraId="7A66800D">
            <w:pPr>
              <w:pStyle w:val="24"/>
              <w:spacing w:after="0"/>
              <w:jc w:val="left"/>
            </w:pPr>
            <w:r>
              <w:rPr>
                <w:rFonts w:ascii="Aptos" w:hAnsi="Aptos"/>
                <w:color w:val="1F2937"/>
                <w:sz w:val="18"/>
              </w:rPr>
              <w:t>Irradiancia solar</w:t>
            </w:r>
          </w:p>
        </w:tc>
        <w:tc>
          <w:p w14:paraId="2D4CA8BA">
            <w:pPr>
              <w:pStyle w:val="24"/>
              <w:spacing w:after="0"/>
              <w:jc w:val="left"/>
            </w:pPr>
            <w:r>
              <w:rPr>
                <w:rFonts w:ascii="Aptos" w:hAnsi="Aptos"/>
                <w:color w:val="1F2937"/>
                <w:sz w:val="18"/>
              </w:rPr>
              <w:t>Piranómetro</w:t>
            </w:r>
          </w:p>
        </w:tc>
        <w:tc>
          <w:p w14:paraId="28954ECE">
            <w:pPr>
              <w:pStyle w:val="24"/>
              <w:spacing w:after="0"/>
              <w:jc w:val="left"/>
            </w:pPr>
            <w:r>
              <w:rPr>
                <w:rFonts w:ascii="Aptos" w:hAnsi="Aptos"/>
                <w:color w:val="1F2937"/>
                <w:sz w:val="18"/>
              </w:rPr>
              <w:t>Cubierta</w:t>
            </w:r>
          </w:p>
        </w:tc>
        <w:tc>
          <w:p w14:paraId="45D69A22">
            <w:pPr>
              <w:pStyle w:val="24"/>
              <w:spacing w:after="0"/>
              <w:jc w:val="left"/>
            </w:pPr>
            <w:r>
              <w:rPr>
                <w:rFonts w:ascii="Aptos" w:hAnsi="Aptos"/>
                <w:color w:val="1F2937"/>
                <w:sz w:val="18"/>
              </w:rPr>
              <w:t>1 min</w:t>
            </w:r>
          </w:p>
        </w:tc>
      </w:tr>
      <w:tr w14:paraId="1642D400">
        <w:tblPrEx>
          <w:tblCellMar>
            <w:top w:w="0" w:type="dxa"/>
            <w:left w:w="108" w:type="dxa"/>
            <w:bottom w:w="0" w:type="dxa"/>
            <w:right w:w="108" w:type="dxa"/>
          </w:tblCellMar>
        </w:tblPrEx>
        <w:tc>
          <w:p w14:paraId="7031B4E6">
            <w:pPr>
              <w:pStyle w:val="24"/>
              <w:spacing w:after="0"/>
              <w:jc w:val="left"/>
            </w:pPr>
            <w:r>
              <w:rPr>
                <w:rFonts w:ascii="Aptos" w:hAnsi="Aptos"/>
                <w:color w:val="1F2937"/>
                <w:sz w:val="18"/>
              </w:rPr>
              <w:t>Consumo térmico/eléctrico</w:t>
            </w:r>
          </w:p>
        </w:tc>
        <w:tc>
          <w:p w14:paraId="7636F7A9">
            <w:pPr>
              <w:pStyle w:val="24"/>
              <w:spacing w:after="0"/>
              <w:jc w:val="left"/>
            </w:pPr>
            <w:r>
              <w:rPr>
                <w:rFonts w:ascii="Aptos" w:hAnsi="Aptos"/>
                <w:color w:val="1F2937"/>
                <w:sz w:val="18"/>
              </w:rPr>
              <w:t>Contadores de energía</w:t>
            </w:r>
          </w:p>
        </w:tc>
        <w:tc>
          <w:p w14:paraId="6E23BC08">
            <w:pPr>
              <w:pStyle w:val="24"/>
              <w:spacing w:after="0"/>
              <w:jc w:val="left"/>
            </w:pPr>
            <w:r>
              <w:rPr>
                <w:rFonts w:ascii="Aptos" w:hAnsi="Aptos"/>
                <w:color w:val="1F2937"/>
                <w:sz w:val="18"/>
              </w:rPr>
              <w:t>Sala técnica</w:t>
            </w:r>
          </w:p>
        </w:tc>
        <w:tc>
          <w:p w14:paraId="6E9D4DCA">
            <w:pPr>
              <w:pStyle w:val="24"/>
              <w:spacing w:after="0"/>
              <w:jc w:val="left"/>
            </w:pPr>
            <w:r>
              <w:rPr>
                <w:rFonts w:ascii="Aptos" w:hAnsi="Aptos"/>
                <w:color w:val="1F2937"/>
                <w:sz w:val="18"/>
              </w:rPr>
              <w:t>1 min</w:t>
            </w:r>
          </w:p>
        </w:tc>
      </w:tr>
    </w:tbl>
    <w:p w14:paraId="3D2FFE68">
      <w:pPr>
        <w:pStyle w:val="3"/>
      </w:pPr>
      <w:r>
        <w:rPr>
          <w:rFonts w:ascii="Aptos" w:hAnsi="Aptos"/>
          <w:color w:val="1F2937"/>
          <w:sz w:val="21"/>
        </w:rPr>
        <w:t>CTQ: reducción de demanda térmica (%); desfase térmico (h); desviación simulado-medido (%). Criterio de aceptación G1: serie completa ≥6 meses en el rango 30–45 % o dato real que redimensione F2–F3.</w:t>
      </w:r>
    </w:p>
    <w:p w14:paraId="49A33251">
      <w:pPr>
        <w:pStyle w:val="4"/>
      </w:pPr>
      <w:bookmarkStart w:id="63" w:name="Xd944648d51922f0b0cc581604a3a4e84fa70b47"/>
      <w:r>
        <w:rPr>
          <w:rFonts w:ascii="Aptos Display" w:hAnsi="Aptos Display"/>
          <w:b/>
          <w:color w:val="174A2E"/>
          <w:sz w:val="21"/>
        </w:rPr>
        <w:t>7.5. Desarrollo ampliado — Diseño técnico II: geotermia de baja entalpía</w:t>
      </w:r>
      <w:bookmarkEnd w:id="63"/>
    </w:p>
    <w:p w14:paraId="6229F952">
      <w:pPr>
        <w:pStyle w:val="23"/>
      </w:pPr>
      <w:r>
        <w:rPr>
          <w:rFonts w:ascii="Aptos" w:hAnsi="Aptos"/>
          <w:color w:val="1F2937"/>
          <w:sz w:val="21"/>
        </w:rPr>
        <w:t xml:space="preserve">Campo de sondeos verticales cerrados + bombas de calor agua-agua con COP estacional 3–5. La geotermia </w:t>
      </w:r>
      <w:r>
        <w:rPr>
          <w:rFonts w:ascii="Aptos" w:hAnsi="Aptos"/>
          <w:b/>
          <w:color w:val="1F2937"/>
          <w:sz w:val="21"/>
        </w:rPr>
        <w:t>no genera electricidad</w:t>
      </w:r>
      <w:r>
        <w:rPr>
          <w:rFonts w:ascii="Aptos" w:hAnsi="Aptos"/>
          <w:color w:val="1F2937"/>
          <w:sz w:val="21"/>
        </w:rPr>
        <w:t xml:space="preserve"> — reduce demanda térmica y estabiliza la producción. </w:t>
      </w:r>
      <w:r>
        <w:rPr>
          <w:rFonts w:ascii="Aptos" w:hAnsi="Aptos"/>
          <w:b/>
          <w:color w:val="1F2937"/>
          <w:sz w:val="21"/>
        </w:rPr>
        <w:t>Test de Respuesta Térmica (TRT):</w:t>
      </w:r>
      <w:r>
        <w:rPr>
          <w:rFonts w:ascii="Aptos" w:hAnsi="Aptos"/>
          <w:color w:val="1F2937"/>
          <w:sz w:val="21"/>
        </w:rPr>
        <w:t xml:space="preserve"> mide la conductividad térmica efectiva (λef) y la resistencia del sondeo (Rb) inyectando potencia constante y registrando la temperatura del fluido ≥48–72 h (modelo de fuente lineal infinita). Dimensionado preliminar: </w:t>
      </w:r>
      <w:r>
        <w:rPr>
          <w:rStyle w:val="35"/>
          <w:rFonts w:ascii="Aptos" w:hAnsi="Aptos"/>
          <w:color w:val="1F2937"/>
          <w:sz w:val="21"/>
        </w:rPr>
        <w:t>Ltot = Qdiseño / qext</w:t>
      </w:r>
      <w:r>
        <w:rPr>
          <w:rFonts w:ascii="Aptos" w:hAnsi="Aptos"/>
          <w:color w:val="1F2937"/>
          <w:sz w:val="21"/>
        </w:rPr>
        <w:t xml:space="preserve"> (qext 40–70 W/m según terreno; a confirmar con el TRT). </w:t>
      </w:r>
      <w:r>
        <w:rPr>
          <w:rFonts w:ascii="Aptos" w:hAnsi="Aptos"/>
          <w:b/>
          <w:color w:val="1F2937"/>
          <w:sz w:val="21"/>
        </w:rPr>
        <w:t>Contingencia geológica:</w:t>
      </w:r>
      <w:r>
        <w:rPr>
          <w:rFonts w:ascii="Aptos" w:hAnsi="Aptos"/>
          <w:color w:val="1F2937"/>
          <w:sz w:val="21"/>
        </w:rPr>
        <w:t xml:space="preserve"> incremento de longitud/número de sondeos y bomba aire-agua auxiliar como respaldo; reserva +0,1–0,2 M€. El Gate G2 bloquea el avance a F3 si el resultado no es aceptable.</w:t>
      </w:r>
    </w:p>
    <w:p w14:paraId="346BAF8A">
      <w:pPr>
        <w:pStyle w:val="4"/>
      </w:pPr>
      <w:bookmarkStart w:id="64" w:name="X003af5d484bc3b2e403337b5494c4b099a7c16d"/>
      <w:r>
        <w:rPr>
          <w:rFonts w:ascii="Aptos Display" w:hAnsi="Aptos Display"/>
          <w:b/>
          <w:color w:val="174A2E"/>
          <w:sz w:val="21"/>
        </w:rPr>
        <w:t>7.6. Desarrollo ampliado — Diseño técnico III: agrovoltaica 1,3 MWp</w:t>
      </w:r>
      <w:bookmarkEnd w:id="64"/>
    </w:p>
    <w:p w14:paraId="0EB8FB98">
      <w:pPr>
        <w:pStyle w:val="23"/>
      </w:pPr>
      <w:r>
        <w:rPr>
          <w:rFonts w:ascii="Aptos" w:hAnsi="Aptos"/>
          <w:color w:val="1F2937"/>
          <w:sz w:val="21"/>
        </w:rPr>
        <w:t xml:space="preserve">Estructura fotovoltaica de 1,3 MWp sobre y junto al invernadero: la misma hectárea produce ≈1,95 GWh/año (≈1.500 h equivalentes) y alimento. Coste 1.600–1.770 €/kW. </w:t>
      </w:r>
      <w:r>
        <w:rPr>
          <w:rFonts w:ascii="Aptos" w:hAnsi="Aptos"/>
          <w:b/>
          <w:color w:val="1F2937"/>
          <w:sz w:val="21"/>
        </w:rPr>
        <w:t>Acoplamiento estructural:</w:t>
      </w:r>
      <w:r>
        <w:rPr>
          <w:rFonts w:ascii="Aptos" w:hAnsi="Aptos"/>
          <w:color w:val="1F2937"/>
          <w:sz w:val="21"/>
        </w:rPr>
        <w:t xml:space="preserve"> la FV se monta en F4 sobre anclajes, sobrecargas y sombras calculadas desde el diseño del invernadero en F3. La semisombra reduce la evapotranspiración del cultivo un 25–35 % (rango de literatura), a caracterizar en el piloto. Ningún Gate depende de la línea de ingresos energéticos. Gate G4: planta produciendo; cobertura del balance anual verificada con 12 meses de datos (objetivo 80–95 %).</w:t>
      </w:r>
    </w:p>
    <w:p w14:paraId="1CE251AC">
      <w:pPr>
        <w:pStyle w:val="4"/>
      </w:pPr>
      <w:bookmarkStart w:id="65" w:name="X40d1cd3cbb81c441c76249405fcfc065eec7a35"/>
      <w:r>
        <w:rPr>
          <w:rFonts w:ascii="Aptos Display" w:hAnsi="Aptos Display"/>
          <w:b/>
          <w:color w:val="174A2E"/>
          <w:sz w:val="21"/>
        </w:rPr>
        <w:t>7.7. Desarrollo ampliado — Operación, calidad y seguridad</w:t>
      </w:r>
      <w:bookmarkEnd w:id="65"/>
    </w:p>
    <w:p w14:paraId="331FFA5D">
      <w:pPr>
        <w:pStyle w:val="23"/>
      </w:pPr>
      <w:r>
        <w:rPr>
          <w:rFonts w:ascii="Aptos" w:hAnsi="Aptos"/>
          <w:color w:val="1F2937"/>
          <w:sz w:val="21"/>
        </w:rPr>
        <w:t xml:space="preserve">Operación diaria soportada por el sistema: cultivo (siembra → fertirrigación → cosecha → expedición, con APPCC y trazabilidad por lote), energía (autoconsumo, excedentes, mantenimiento preventivo) y software (soporte, monitorización, actualizaciones seguras). Todo incidente se registra. El plan de contingencia cubre los siete incidentes más probables (ola de calor, helada, avería de bomba, plaga, corte de red, ciberincidente, caída del cloud). </w:t>
      </w:r>
      <w:r>
        <w:rPr>
          <w:rFonts w:ascii="Aptos" w:hAnsi="Aptos"/>
          <w:b/>
          <w:color w:val="1F2937"/>
          <w:sz w:val="21"/>
        </w:rPr>
        <w:t>Seguridad alimentaria:</w:t>
      </w:r>
      <w:r>
        <w:rPr>
          <w:rFonts w:ascii="Aptos" w:hAnsi="Aptos"/>
          <w:color w:val="1F2937"/>
          <w:sz w:val="21"/>
        </w:rPr>
        <w:t xml:space="preserve"> registro de operador alimentario antes de la primera venta; APPCC; control microbiológico del agua recirculada; retirada selectiva por lote. </w:t>
      </w:r>
      <w:r>
        <w:rPr>
          <w:rFonts w:ascii="Aptos" w:hAnsi="Aptos"/>
          <w:b/>
          <w:color w:val="1F2937"/>
          <w:sz w:val="21"/>
        </w:rPr>
        <w:t>Formación (200–400 h/año)</w:t>
      </w:r>
      <w:r>
        <w:rPr>
          <w:rFonts w:ascii="Aptos" w:hAnsi="Aptos"/>
          <w:color w:val="1F2937"/>
          <w:sz w:val="21"/>
        </w:rPr>
        <w:t xml:space="preserve"> con prioridad de empleo femenino y retorno de talento. </w:t>
      </w:r>
      <w:r>
        <w:rPr>
          <w:rFonts w:ascii="Aptos" w:hAnsi="Aptos"/>
          <w:b/>
          <w:color w:val="1F2937"/>
          <w:sz w:val="21"/>
        </w:rPr>
        <w:t>Ciberseguridad:</w:t>
      </w:r>
      <w:r>
        <w:rPr>
          <w:rFonts w:ascii="Aptos" w:hAnsi="Aptos"/>
          <w:color w:val="1F2937"/>
          <w:sz w:val="21"/>
        </w:rPr>
        <w:t xml:space="preserve"> alineamiento de diseño con ENS, NIS2, Cyber Resilience Act, IEC 62443, RGPD/ISO 27701 e ISO 22301 (RPO ≤24 h).</w:t>
      </w:r>
    </w:p>
    <w:p w14:paraId="32553E66">
      <w:pPr>
        <w:pStyle w:val="4"/>
      </w:pPr>
      <w:bookmarkStart w:id="66" w:name="X4fc47f4b37c77a3f27cf7d5b28a866673e0c6ee"/>
      <w:r>
        <w:rPr>
          <w:rFonts w:ascii="Aptos Display" w:hAnsi="Aptos Display"/>
          <w:b/>
          <w:color w:val="174A2E"/>
          <w:sz w:val="21"/>
        </w:rPr>
        <w:t>7.8. Desarrollo ampliado — Excelencia de proceso: Lean y Six Sigma</w:t>
      </w:r>
      <w:bookmarkEnd w:id="66"/>
    </w:p>
    <w:tbl>
      <w:tblPr>
        <w:tblStyle w:val="28"/>
        <w:tblW w:w="5000" w:type="pct"/>
        <w:jc w:val="center"/>
        <w:tblInd w:w="0" w:type="dxa"/>
        <w:tblLayout w:type="fixed"/>
        <w:tblCellMar>
          <w:top w:w="0" w:type="dxa"/>
          <w:left w:w="108" w:type="dxa"/>
          <w:bottom w:w="0" w:type="dxa"/>
          <w:right w:w="108" w:type="dxa"/>
        </w:tblCellMar>
      </w:tblPr>
      <w:tblGrid>
        <w:gridCol w:w="1980"/>
        <w:gridCol w:w="1980"/>
        <w:gridCol w:w="1980"/>
        <w:gridCol w:w="1980"/>
      </w:tblGrid>
      <w:tr w14:paraId="66B19063">
        <w:tblPrEx>
          <w:tblCellMar>
            <w:top w:w="0" w:type="dxa"/>
            <w:left w:w="108" w:type="dxa"/>
            <w:bottom w:w="0" w:type="dxa"/>
            <w:right w:w="108" w:type="dxa"/>
          </w:tblCellMar>
        </w:tblPrEx>
        <w:tc>
          <w:tcPr>
            <w:tcW w:w="2340" w:type="dxa"/>
            <w:tcBorders>
              <w:bottom w:val="single" w:color="auto" w:sz="0" w:space="0"/>
            </w:tcBorders>
            <w:vAlign w:val="bottom"/>
          </w:tcPr>
          <w:p w14:paraId="6830C0D9">
            <w:pPr>
              <w:pStyle w:val="24"/>
              <w:spacing w:after="0"/>
              <w:jc w:val="left"/>
            </w:pPr>
            <w:r>
              <w:rPr>
                <w:rFonts w:ascii="Aptos" w:hAnsi="Aptos"/>
                <w:color w:val="1F2937"/>
                <w:sz w:val="18"/>
              </w:rPr>
              <w:t>Método</w:t>
            </w:r>
          </w:p>
        </w:tc>
        <w:tc>
          <w:tcPr>
            <w:tcW w:w="2340" w:type="dxa"/>
            <w:tcBorders>
              <w:bottom w:val="single" w:color="auto" w:sz="0" w:space="0"/>
            </w:tcBorders>
            <w:vAlign w:val="bottom"/>
          </w:tcPr>
          <w:p w14:paraId="0394E161">
            <w:pPr>
              <w:pStyle w:val="24"/>
              <w:spacing w:after="0"/>
              <w:jc w:val="left"/>
            </w:pPr>
            <w:r>
              <w:rPr>
                <w:rFonts w:ascii="Aptos" w:hAnsi="Aptos"/>
                <w:color w:val="1F2937"/>
                <w:sz w:val="18"/>
              </w:rPr>
              <w:t>Objetivo</w:t>
            </w:r>
          </w:p>
        </w:tc>
        <w:tc>
          <w:tcPr>
            <w:tcW w:w="2340" w:type="dxa"/>
            <w:tcBorders>
              <w:bottom w:val="single" w:color="auto" w:sz="0" w:space="0"/>
            </w:tcBorders>
            <w:vAlign w:val="bottom"/>
          </w:tcPr>
          <w:p w14:paraId="3ED94773">
            <w:pPr>
              <w:pStyle w:val="24"/>
              <w:spacing w:after="0"/>
              <w:jc w:val="left"/>
            </w:pPr>
            <w:r>
              <w:rPr>
                <w:rFonts w:ascii="Aptos" w:hAnsi="Aptos"/>
                <w:color w:val="1F2937"/>
                <w:sz w:val="18"/>
              </w:rPr>
              <w:t>Aplicación</w:t>
            </w:r>
          </w:p>
        </w:tc>
        <w:tc>
          <w:tcPr>
            <w:tcW w:w="2340" w:type="dxa"/>
            <w:tcBorders>
              <w:bottom w:val="single" w:color="auto" w:sz="0" w:space="0"/>
            </w:tcBorders>
            <w:vAlign w:val="bottom"/>
          </w:tcPr>
          <w:p w14:paraId="00599D17">
            <w:pPr>
              <w:pStyle w:val="24"/>
              <w:spacing w:after="0"/>
              <w:jc w:val="left"/>
            </w:pPr>
            <w:r>
              <w:rPr>
                <w:rFonts w:ascii="Aptos" w:hAnsi="Aptos"/>
                <w:color w:val="1F2937"/>
                <w:sz w:val="18"/>
              </w:rPr>
              <w:t>Entregable auditable</w:t>
            </w:r>
          </w:p>
        </w:tc>
      </w:tr>
      <w:tr w14:paraId="4EB1D668">
        <w:tblPrEx>
          <w:tblCellMar>
            <w:top w:w="0" w:type="dxa"/>
            <w:left w:w="108" w:type="dxa"/>
            <w:bottom w:w="0" w:type="dxa"/>
            <w:right w:w="108" w:type="dxa"/>
          </w:tblCellMar>
        </w:tblPrEx>
        <w:tc>
          <w:p w14:paraId="4ABF9172">
            <w:pPr>
              <w:pStyle w:val="24"/>
              <w:spacing w:after="0"/>
              <w:jc w:val="left"/>
            </w:pPr>
            <w:r>
              <w:rPr>
                <w:rFonts w:ascii="Aptos" w:hAnsi="Aptos"/>
                <w:color w:val="1F2937"/>
                <w:sz w:val="18"/>
              </w:rPr>
              <w:t>Lean (VSM, 5S)</w:t>
            </w:r>
          </w:p>
        </w:tc>
        <w:tc>
          <w:p w14:paraId="098D9651">
            <w:pPr>
              <w:pStyle w:val="24"/>
              <w:spacing w:after="0"/>
              <w:jc w:val="left"/>
            </w:pPr>
            <w:r>
              <w:rPr>
                <w:rFonts w:ascii="Aptos" w:hAnsi="Aptos"/>
                <w:color w:val="1F2937"/>
                <w:sz w:val="18"/>
              </w:rPr>
              <w:t>Eliminar desperdicio</w:t>
            </w:r>
          </w:p>
        </w:tc>
        <w:tc>
          <w:p w14:paraId="73306F42">
            <w:pPr>
              <w:pStyle w:val="24"/>
              <w:spacing w:after="0"/>
              <w:jc w:val="left"/>
            </w:pPr>
            <w:r>
              <w:rPr>
                <w:rFonts w:ascii="Aptos" w:hAnsi="Aptos"/>
                <w:color w:val="1F2937"/>
                <w:sz w:val="18"/>
              </w:rPr>
              <w:t>Flujo cultivo–energía–O&amp;M</w:t>
            </w:r>
          </w:p>
        </w:tc>
        <w:tc>
          <w:p w14:paraId="16F9CBDB">
            <w:pPr>
              <w:pStyle w:val="24"/>
              <w:spacing w:after="0"/>
              <w:jc w:val="left"/>
            </w:pPr>
            <w:r>
              <w:rPr>
                <w:rFonts w:ascii="Aptos" w:hAnsi="Aptos"/>
                <w:color w:val="1F2937"/>
                <w:sz w:val="18"/>
              </w:rPr>
              <w:t>Mapa VSM; plan 5S</w:t>
            </w:r>
          </w:p>
        </w:tc>
      </w:tr>
      <w:tr w14:paraId="2428B176">
        <w:tblPrEx>
          <w:tblCellMar>
            <w:top w:w="0" w:type="dxa"/>
            <w:left w:w="108" w:type="dxa"/>
            <w:bottom w:w="0" w:type="dxa"/>
            <w:right w:w="108" w:type="dxa"/>
          </w:tblCellMar>
        </w:tblPrEx>
        <w:tc>
          <w:p w14:paraId="536566B1">
            <w:pPr>
              <w:pStyle w:val="24"/>
              <w:spacing w:after="0"/>
              <w:jc w:val="left"/>
            </w:pPr>
            <w:r>
              <w:rPr>
                <w:rFonts w:ascii="Aptos" w:hAnsi="Aptos"/>
                <w:color w:val="1F2937"/>
                <w:sz w:val="18"/>
              </w:rPr>
              <w:t>Six Sigma (DMAIC)</w:t>
            </w:r>
          </w:p>
        </w:tc>
        <w:tc>
          <w:p w14:paraId="287927C3">
            <w:pPr>
              <w:pStyle w:val="24"/>
              <w:spacing w:after="0"/>
              <w:jc w:val="left"/>
            </w:pPr>
            <w:r>
              <w:rPr>
                <w:rFonts w:ascii="Aptos" w:hAnsi="Aptos"/>
                <w:color w:val="1F2937"/>
                <w:sz w:val="18"/>
              </w:rPr>
              <w:t>Reducir variabilidad</w:t>
            </w:r>
          </w:p>
        </w:tc>
        <w:tc>
          <w:p w14:paraId="5912EB31">
            <w:pPr>
              <w:pStyle w:val="24"/>
              <w:spacing w:after="0"/>
              <w:jc w:val="left"/>
            </w:pPr>
            <w:r>
              <w:rPr>
                <w:rFonts w:ascii="Aptos" w:hAnsi="Aptos"/>
                <w:color w:val="1F2937"/>
                <w:sz w:val="18"/>
              </w:rPr>
              <w:t>Rendimiento hortícola y consumo energético</w:t>
            </w:r>
          </w:p>
        </w:tc>
        <w:tc>
          <w:p w14:paraId="483EB320">
            <w:pPr>
              <w:pStyle w:val="24"/>
              <w:spacing w:after="0"/>
              <w:jc w:val="left"/>
            </w:pPr>
            <w:r>
              <w:rPr>
                <w:rFonts w:ascii="Aptos" w:hAnsi="Aptos"/>
                <w:color w:val="1F2937"/>
                <w:sz w:val="18"/>
              </w:rPr>
              <w:t>Control charts; capacidad de proceso</w:t>
            </w:r>
          </w:p>
        </w:tc>
      </w:tr>
      <w:tr w14:paraId="6ECB4523">
        <w:tblPrEx>
          <w:tblCellMar>
            <w:top w:w="0" w:type="dxa"/>
            <w:left w:w="108" w:type="dxa"/>
            <w:bottom w:w="0" w:type="dxa"/>
            <w:right w:w="108" w:type="dxa"/>
          </w:tblCellMar>
        </w:tblPrEx>
        <w:tc>
          <w:p w14:paraId="09C771BE">
            <w:pPr>
              <w:pStyle w:val="24"/>
              <w:spacing w:after="0"/>
              <w:jc w:val="left"/>
            </w:pPr>
            <w:r>
              <w:rPr>
                <w:rFonts w:ascii="Aptos" w:hAnsi="Aptos"/>
                <w:color w:val="1F2937"/>
                <w:sz w:val="18"/>
              </w:rPr>
              <w:t>Agile / Sprints</w:t>
            </w:r>
          </w:p>
        </w:tc>
        <w:tc>
          <w:p w14:paraId="54BB0F5E">
            <w:pPr>
              <w:pStyle w:val="24"/>
              <w:spacing w:after="0"/>
              <w:jc w:val="left"/>
            </w:pPr>
            <w:r>
              <w:rPr>
                <w:rFonts w:ascii="Aptos" w:hAnsi="Aptos"/>
                <w:color w:val="1F2937"/>
                <w:sz w:val="18"/>
              </w:rPr>
              <w:t>Entregas iterativas</w:t>
            </w:r>
          </w:p>
        </w:tc>
        <w:tc>
          <w:p w14:paraId="2B087060">
            <w:pPr>
              <w:pStyle w:val="24"/>
              <w:spacing w:after="0"/>
              <w:jc w:val="left"/>
            </w:pPr>
            <w:r>
              <w:rPr>
                <w:rFonts w:ascii="Aptos" w:hAnsi="Aptos"/>
                <w:color w:val="1F2937"/>
                <w:sz w:val="18"/>
              </w:rPr>
              <w:t>Desarrollo SaaS y gates F1–F3</w:t>
            </w:r>
          </w:p>
        </w:tc>
        <w:tc>
          <w:p w14:paraId="2B4FC730">
            <w:pPr>
              <w:pStyle w:val="24"/>
              <w:spacing w:after="0"/>
              <w:jc w:val="left"/>
            </w:pPr>
            <w:r>
              <w:rPr>
                <w:rFonts w:ascii="Aptos" w:hAnsi="Aptos"/>
                <w:color w:val="1F2937"/>
                <w:sz w:val="18"/>
              </w:rPr>
              <w:t>Backlog; incrementos versionados</w:t>
            </w:r>
          </w:p>
        </w:tc>
      </w:tr>
      <w:tr w14:paraId="4655DEA6">
        <w:tblPrEx>
          <w:tblCellMar>
            <w:top w:w="0" w:type="dxa"/>
            <w:left w:w="108" w:type="dxa"/>
            <w:bottom w:w="0" w:type="dxa"/>
            <w:right w:w="108" w:type="dxa"/>
          </w:tblCellMar>
        </w:tblPrEx>
        <w:tc>
          <w:p w14:paraId="2BA356E7">
            <w:pPr>
              <w:pStyle w:val="24"/>
              <w:spacing w:after="0"/>
              <w:jc w:val="left"/>
            </w:pPr>
            <w:r>
              <w:rPr>
                <w:rFonts w:ascii="Aptos" w:hAnsi="Aptos"/>
                <w:color w:val="1F2937"/>
                <w:sz w:val="18"/>
              </w:rPr>
              <w:t>Design for Replication</w:t>
            </w:r>
          </w:p>
        </w:tc>
        <w:tc>
          <w:p w14:paraId="19251F63">
            <w:pPr>
              <w:pStyle w:val="24"/>
              <w:spacing w:after="0"/>
              <w:jc w:val="left"/>
            </w:pPr>
            <w:r>
              <w:rPr>
                <w:rFonts w:ascii="Aptos" w:hAnsi="Aptos"/>
                <w:color w:val="1F2937"/>
                <w:sz w:val="18"/>
              </w:rPr>
              <w:t>Diseñar para replicar</w:t>
            </w:r>
          </w:p>
        </w:tc>
        <w:tc>
          <w:p w14:paraId="0E913A4D">
            <w:pPr>
              <w:pStyle w:val="24"/>
              <w:spacing w:after="0"/>
              <w:jc w:val="left"/>
            </w:pPr>
            <w:r>
              <w:rPr>
                <w:rFonts w:ascii="Aptos" w:hAnsi="Aptos"/>
                <w:color w:val="1F2937"/>
                <w:sz w:val="18"/>
              </w:rPr>
              <w:t>Plantilla twin + checklist G1</w:t>
            </w:r>
          </w:p>
        </w:tc>
        <w:tc>
          <w:p w14:paraId="5B2D34AA">
            <w:pPr>
              <w:pStyle w:val="24"/>
              <w:spacing w:after="0"/>
              <w:jc w:val="left"/>
            </w:pPr>
            <w:r>
              <w:rPr>
                <w:rFonts w:ascii="Aptos" w:hAnsi="Aptos"/>
                <w:color w:val="1F2937"/>
                <w:sz w:val="18"/>
              </w:rPr>
              <w:t>Plantilla de réplica; checklist</w:t>
            </w:r>
          </w:p>
        </w:tc>
      </w:tr>
    </w:tbl>
    <w:p w14:paraId="5D41573B">
      <w:pPr>
        <w:pStyle w:val="3"/>
      </w:pPr>
      <w:r>
        <w:rPr>
          <w:rFonts w:ascii="Aptos" w:hAnsi="Aptos"/>
          <w:b/>
          <w:color w:val="1F2937"/>
          <w:sz w:val="21"/>
        </w:rPr>
        <w:t>CTQs:</w:t>
      </w:r>
      <w:r>
        <w:rPr>
          <w:rFonts w:ascii="Aptos" w:hAnsi="Aptos"/>
          <w:color w:val="1F2937"/>
          <w:sz w:val="21"/>
        </w:rPr>
        <w:t xml:space="preserve"> cultivo (≤25 L/kg; rendimiento t/año; % merma); energía (kWh/kg; % autoconsumo); térmico (reducción de demanda %; desviación simulado-medido %). El ciclo DMAIC se ancla a la Fase 1 (Define: SIPOC y carta de proyecto; Measure: adquisición F1; Analyze: Ishikawa/Pareto/FMEA; Improve: ajustes versionados; Control: SPC en los cuadros de mando). Entregables por Gate: G1 (VSM, SIPOC, CTQs, FMEA F1, control charts del módulo); G2 (FMEA de obra, capacidad de perforación); G3 (SPC de primera campaña); G4 (SPC de balance 12 meses, SOP de régimen).</w:t>
      </w:r>
    </w:p>
    <w:p w14:paraId="1B7C63A3">
      <w:pPr>
        <w:pStyle w:val="4"/>
      </w:pPr>
      <w:bookmarkStart w:id="67" w:name="X8693a9109d6597bdd65872ba0430d8337140905"/>
      <w:r>
        <w:rPr>
          <w:rFonts w:ascii="Aptos Display" w:hAnsi="Aptos Display"/>
          <w:b/>
          <w:color w:val="174A2E"/>
          <w:sz w:val="21"/>
        </w:rPr>
        <w:t>7.9. Desarrollo ampliado — Roadmap, gates y gobernanza de fases</w:t>
      </w:r>
      <w:bookmarkEnd w:id="67"/>
    </w:p>
    <w:p w14:paraId="2E509D62">
      <w:pPr>
        <w:pStyle w:val="23"/>
      </w:pPr>
      <w:r>
        <w:rPr>
          <w:rFonts w:ascii="Aptos" w:hAnsi="Aptos"/>
          <w:b/>
          <w:color w:val="1F2937"/>
          <w:sz w:val="21"/>
        </w:rPr>
        <w:t>Cronograma operativo de la Fase 1 (0–18 meses).</w:t>
      </w:r>
    </w:p>
    <w:tbl>
      <w:tblPr>
        <w:tblStyle w:val="28"/>
        <w:tblW w:w="5000" w:type="pct"/>
        <w:jc w:val="center"/>
        <w:tblInd w:w="0" w:type="dxa"/>
        <w:tblLayout w:type="fixed"/>
        <w:tblCellMar>
          <w:top w:w="0" w:type="dxa"/>
          <w:left w:w="108" w:type="dxa"/>
          <w:bottom w:w="0" w:type="dxa"/>
          <w:right w:w="108" w:type="dxa"/>
        </w:tblCellMar>
      </w:tblPr>
      <w:tblGrid>
        <w:gridCol w:w="1980"/>
        <w:gridCol w:w="1980"/>
        <w:gridCol w:w="1980"/>
        <w:gridCol w:w="1980"/>
      </w:tblGrid>
      <w:tr w14:paraId="1BB875C4">
        <w:tc>
          <w:tcPr>
            <w:tcW w:w="2340" w:type="dxa"/>
            <w:tcBorders>
              <w:bottom w:val="single" w:color="auto" w:sz="0" w:space="0"/>
            </w:tcBorders>
            <w:vAlign w:val="bottom"/>
          </w:tcPr>
          <w:p w14:paraId="18B458A9">
            <w:pPr>
              <w:pStyle w:val="24"/>
              <w:spacing w:after="0"/>
              <w:jc w:val="left"/>
            </w:pPr>
            <w:r>
              <w:rPr>
                <w:rFonts w:ascii="Aptos" w:hAnsi="Aptos"/>
                <w:color w:val="1F2937"/>
                <w:sz w:val="18"/>
              </w:rPr>
              <w:t>Mes</w:t>
            </w:r>
          </w:p>
        </w:tc>
        <w:tc>
          <w:tcPr>
            <w:tcW w:w="2340" w:type="dxa"/>
            <w:tcBorders>
              <w:bottom w:val="single" w:color="auto" w:sz="0" w:space="0"/>
            </w:tcBorders>
            <w:vAlign w:val="bottom"/>
          </w:tcPr>
          <w:p w14:paraId="51C1DEFF">
            <w:pPr>
              <w:pStyle w:val="24"/>
              <w:spacing w:after="0"/>
              <w:jc w:val="left"/>
            </w:pPr>
            <w:r>
              <w:rPr>
                <w:rFonts w:ascii="Aptos" w:hAnsi="Aptos"/>
                <w:color w:val="1F2937"/>
                <w:sz w:val="18"/>
              </w:rPr>
              <w:t>Hito</w:t>
            </w:r>
          </w:p>
        </w:tc>
        <w:tc>
          <w:tcPr>
            <w:tcW w:w="2340" w:type="dxa"/>
            <w:tcBorders>
              <w:bottom w:val="single" w:color="auto" w:sz="0" w:space="0"/>
            </w:tcBorders>
            <w:vAlign w:val="bottom"/>
          </w:tcPr>
          <w:p w14:paraId="54222EB0">
            <w:pPr>
              <w:pStyle w:val="24"/>
              <w:spacing w:after="0"/>
              <w:jc w:val="left"/>
            </w:pPr>
            <w:r>
              <w:rPr>
                <w:rFonts w:ascii="Aptos" w:hAnsi="Aptos"/>
                <w:color w:val="1F2937"/>
                <w:sz w:val="18"/>
              </w:rPr>
              <w:t>Acciones clave</w:t>
            </w:r>
          </w:p>
        </w:tc>
        <w:tc>
          <w:tcPr>
            <w:tcW w:w="2340" w:type="dxa"/>
            <w:tcBorders>
              <w:bottom w:val="single" w:color="auto" w:sz="0" w:space="0"/>
            </w:tcBorders>
            <w:vAlign w:val="bottom"/>
          </w:tcPr>
          <w:p w14:paraId="142E9096">
            <w:pPr>
              <w:pStyle w:val="24"/>
              <w:spacing w:after="0"/>
              <w:jc w:val="left"/>
            </w:pPr>
            <w:r>
              <w:rPr>
                <w:rFonts w:ascii="Aptos" w:hAnsi="Aptos"/>
                <w:color w:val="1F2937"/>
                <w:sz w:val="18"/>
              </w:rPr>
              <w:t>Entregable</w:t>
            </w:r>
          </w:p>
        </w:tc>
      </w:tr>
      <w:tr w14:paraId="29D25292">
        <w:tblPrEx>
          <w:tblCellMar>
            <w:top w:w="0" w:type="dxa"/>
            <w:left w:w="108" w:type="dxa"/>
            <w:bottom w:w="0" w:type="dxa"/>
            <w:right w:w="108" w:type="dxa"/>
          </w:tblCellMar>
        </w:tblPrEx>
        <w:tc>
          <w:p w14:paraId="0F233426">
            <w:pPr>
              <w:pStyle w:val="24"/>
              <w:spacing w:after="0"/>
              <w:jc w:val="left"/>
            </w:pPr>
            <w:r>
              <w:rPr>
                <w:rFonts w:ascii="Aptos" w:hAnsi="Aptos"/>
                <w:color w:val="1F2937"/>
                <w:sz w:val="18"/>
              </w:rPr>
              <w:t>0–1</w:t>
            </w:r>
          </w:p>
        </w:tc>
        <w:tc>
          <w:p w14:paraId="29B1F992">
            <w:pPr>
              <w:pStyle w:val="24"/>
              <w:spacing w:after="0"/>
              <w:jc w:val="left"/>
            </w:pPr>
            <w:r>
              <w:rPr>
                <w:rFonts w:ascii="Aptos" w:hAnsi="Aptos"/>
                <w:color w:val="1F2937"/>
                <w:sz w:val="18"/>
              </w:rPr>
              <w:t>Arranque</w:t>
            </w:r>
          </w:p>
        </w:tc>
        <w:tc>
          <w:p w14:paraId="7E5FAB30">
            <w:pPr>
              <w:pStyle w:val="24"/>
              <w:spacing w:after="0"/>
              <w:jc w:val="left"/>
            </w:pPr>
            <w:r>
              <w:rPr>
                <w:rFonts w:ascii="Aptos" w:hAnsi="Aptos"/>
                <w:color w:val="1F2937"/>
                <w:sz w:val="18"/>
              </w:rPr>
              <w:t>Constitución SL, oficina, entorno de validación</w:t>
            </w:r>
          </w:p>
        </w:tc>
        <w:tc>
          <w:p w14:paraId="5500BDB4">
            <w:pPr>
              <w:pStyle w:val="24"/>
              <w:spacing w:after="0"/>
              <w:jc w:val="left"/>
            </w:pPr>
            <w:r>
              <w:rPr>
                <w:rFonts w:ascii="Aptos" w:hAnsi="Aptos"/>
                <w:color w:val="1F2937"/>
                <w:sz w:val="18"/>
              </w:rPr>
              <w:t>Acta; convenio de suelo (firma = criterio G1)</w:t>
            </w:r>
          </w:p>
        </w:tc>
      </w:tr>
      <w:tr w14:paraId="600F2999">
        <w:tblPrEx>
          <w:tblCellMar>
            <w:top w:w="0" w:type="dxa"/>
            <w:left w:w="108" w:type="dxa"/>
            <w:bottom w:w="0" w:type="dxa"/>
            <w:right w:w="108" w:type="dxa"/>
          </w:tblCellMar>
        </w:tblPrEx>
        <w:tc>
          <w:p w14:paraId="6FBEC1ED">
            <w:pPr>
              <w:pStyle w:val="24"/>
              <w:spacing w:after="0"/>
              <w:jc w:val="left"/>
            </w:pPr>
            <w:r>
              <w:rPr>
                <w:rFonts w:ascii="Aptos" w:hAnsi="Aptos"/>
                <w:color w:val="1F2937"/>
                <w:sz w:val="18"/>
              </w:rPr>
              <w:t>1–6</w:t>
            </w:r>
          </w:p>
        </w:tc>
        <w:tc>
          <w:p w14:paraId="1747EFBC">
            <w:pPr>
              <w:pStyle w:val="24"/>
              <w:spacing w:after="0"/>
              <w:jc w:val="left"/>
            </w:pPr>
            <w:r>
              <w:rPr>
                <w:rFonts w:ascii="Aptos" w:hAnsi="Aptos"/>
                <w:color w:val="1F2937"/>
                <w:sz w:val="18"/>
              </w:rPr>
              <w:t>Desarrollo SaaS</w:t>
            </w:r>
          </w:p>
        </w:tc>
        <w:tc>
          <w:p w14:paraId="2314E3A4">
            <w:pPr>
              <w:pStyle w:val="24"/>
              <w:spacing w:after="0"/>
              <w:jc w:val="left"/>
            </w:pPr>
            <w:r>
              <w:rPr>
                <w:rFonts w:ascii="Aptos" w:hAnsi="Aptos"/>
                <w:color w:val="1F2937"/>
                <w:sz w:val="18"/>
              </w:rPr>
              <w:t>SaaS mínimo comercializable + sensórica</w:t>
            </w:r>
          </w:p>
        </w:tc>
        <w:tc>
          <w:p w14:paraId="1D92F59B">
            <w:pPr>
              <w:pStyle w:val="24"/>
              <w:spacing w:after="0"/>
              <w:jc w:val="left"/>
            </w:pPr>
            <w:r>
              <w:rPr>
                <w:rFonts w:ascii="Aptos" w:hAnsi="Aptos"/>
                <w:color w:val="1F2937"/>
                <w:sz w:val="18"/>
              </w:rPr>
              <w:t>SaaS operativo (uptime ≥99 %)</w:t>
            </w:r>
          </w:p>
        </w:tc>
      </w:tr>
      <w:tr w14:paraId="2FD1B7F4">
        <w:tblPrEx>
          <w:tblCellMar>
            <w:top w:w="0" w:type="dxa"/>
            <w:left w:w="108" w:type="dxa"/>
            <w:bottom w:w="0" w:type="dxa"/>
            <w:right w:w="108" w:type="dxa"/>
          </w:tblCellMar>
        </w:tblPrEx>
        <w:tc>
          <w:p w14:paraId="36778C7C">
            <w:pPr>
              <w:pStyle w:val="24"/>
              <w:spacing w:after="0"/>
              <w:jc w:val="left"/>
            </w:pPr>
            <w:r>
              <w:rPr>
                <w:rFonts w:ascii="Aptos" w:hAnsi="Aptos"/>
                <w:color w:val="1F2937"/>
                <w:sz w:val="18"/>
              </w:rPr>
              <w:t>1–6</w:t>
            </w:r>
          </w:p>
        </w:tc>
        <w:tc>
          <w:p w14:paraId="33FAA3CB">
            <w:pPr>
              <w:pStyle w:val="24"/>
              <w:spacing w:after="0"/>
              <w:jc w:val="left"/>
            </w:pPr>
            <w:r>
              <w:rPr>
                <w:rFonts w:ascii="Aptos" w:hAnsi="Aptos"/>
                <w:color w:val="1F2937"/>
                <w:sz w:val="18"/>
              </w:rPr>
              <w:t>Instrumentación</w:t>
            </w:r>
          </w:p>
        </w:tc>
        <w:tc>
          <w:p w14:paraId="28B72FF4">
            <w:pPr>
              <w:pStyle w:val="24"/>
              <w:spacing w:after="0"/>
              <w:jc w:val="left"/>
            </w:pPr>
            <w:r>
              <w:rPr>
                <w:rFonts w:ascii="Aptos" w:hAnsi="Aptos"/>
                <w:color w:val="1F2937"/>
                <w:sz w:val="18"/>
              </w:rPr>
              <w:t>Sensores y adquisición del módulo terracota</w:t>
            </w:r>
          </w:p>
        </w:tc>
        <w:tc>
          <w:p w14:paraId="17AFBAC3">
            <w:pPr>
              <w:pStyle w:val="24"/>
              <w:spacing w:after="0"/>
              <w:jc w:val="left"/>
            </w:pPr>
            <w:r>
              <w:rPr>
                <w:rFonts w:ascii="Aptos" w:hAnsi="Aptos"/>
                <w:color w:val="1F2937"/>
                <w:sz w:val="18"/>
              </w:rPr>
              <w:t>Datos brutos (semanas 1–24, sellados en SEV)</w:t>
            </w:r>
          </w:p>
        </w:tc>
      </w:tr>
      <w:tr w14:paraId="178B7465">
        <w:tblPrEx>
          <w:tblCellMar>
            <w:top w:w="0" w:type="dxa"/>
            <w:left w:w="108" w:type="dxa"/>
            <w:bottom w:w="0" w:type="dxa"/>
            <w:right w:w="108" w:type="dxa"/>
          </w:tblCellMar>
        </w:tblPrEx>
        <w:tc>
          <w:p w14:paraId="53193B56">
            <w:pPr>
              <w:pStyle w:val="24"/>
              <w:spacing w:after="0"/>
              <w:jc w:val="left"/>
            </w:pPr>
            <w:r>
              <w:rPr>
                <w:rFonts w:ascii="Aptos" w:hAnsi="Aptos"/>
                <w:color w:val="1F2937"/>
                <w:sz w:val="18"/>
              </w:rPr>
              <w:t>3–8</w:t>
            </w:r>
          </w:p>
        </w:tc>
        <w:tc>
          <w:p w14:paraId="5260A190">
            <w:pPr>
              <w:pStyle w:val="24"/>
              <w:spacing w:after="0"/>
              <w:jc w:val="left"/>
            </w:pPr>
            <w:r>
              <w:rPr>
                <w:rFonts w:ascii="Aptos" w:hAnsi="Aptos"/>
                <w:color w:val="1F2937"/>
                <w:sz w:val="18"/>
              </w:rPr>
              <w:t>TRT</w:t>
            </w:r>
          </w:p>
        </w:tc>
        <w:tc>
          <w:p w14:paraId="4B21C9B2">
            <w:pPr>
              <w:pStyle w:val="24"/>
              <w:spacing w:after="0"/>
              <w:jc w:val="left"/>
            </w:pPr>
            <w:r>
              <w:rPr>
                <w:rFonts w:ascii="Aptos" w:hAnsi="Aptos"/>
                <w:color w:val="1F2937"/>
                <w:sz w:val="18"/>
              </w:rPr>
              <w:t>Contratación, sondeo piloto y ensayo ≥72 h</w:t>
            </w:r>
          </w:p>
        </w:tc>
        <w:tc>
          <w:p w14:paraId="48E0978E">
            <w:pPr>
              <w:pStyle w:val="24"/>
              <w:spacing w:after="0"/>
              <w:jc w:val="left"/>
            </w:pPr>
            <w:r>
              <w:rPr>
                <w:rFonts w:ascii="Aptos" w:hAnsi="Aptos"/>
                <w:color w:val="1F2937"/>
                <w:sz w:val="18"/>
              </w:rPr>
              <w:t>Informe TRT (λ efectiva, resistencia)</w:t>
            </w:r>
          </w:p>
        </w:tc>
      </w:tr>
      <w:tr w14:paraId="7DB3E352">
        <w:tblPrEx>
          <w:tblCellMar>
            <w:top w:w="0" w:type="dxa"/>
            <w:left w:w="108" w:type="dxa"/>
            <w:bottom w:w="0" w:type="dxa"/>
            <w:right w:w="108" w:type="dxa"/>
          </w:tblCellMar>
        </w:tblPrEx>
        <w:tc>
          <w:p w14:paraId="1F4B6783">
            <w:pPr>
              <w:pStyle w:val="24"/>
              <w:spacing w:after="0"/>
              <w:jc w:val="left"/>
            </w:pPr>
            <w:r>
              <w:rPr>
                <w:rFonts w:ascii="Aptos" w:hAnsi="Aptos"/>
                <w:color w:val="1F2937"/>
                <w:sz w:val="18"/>
              </w:rPr>
              <w:t>6–12</w:t>
            </w:r>
          </w:p>
        </w:tc>
        <w:tc>
          <w:p w14:paraId="20EC9C6A">
            <w:pPr>
              <w:pStyle w:val="24"/>
              <w:spacing w:after="0"/>
              <w:jc w:val="left"/>
            </w:pPr>
            <w:r>
              <w:rPr>
                <w:rFonts w:ascii="Aptos" w:hAnsi="Aptos"/>
                <w:color w:val="1F2937"/>
                <w:sz w:val="18"/>
              </w:rPr>
              <w:t>Pilotos comerciales</w:t>
            </w:r>
          </w:p>
        </w:tc>
        <w:tc>
          <w:p w14:paraId="79EA1EBF">
            <w:pPr>
              <w:pStyle w:val="24"/>
              <w:spacing w:after="0"/>
              <w:jc w:val="left"/>
            </w:pPr>
            <w:r>
              <w:rPr>
                <w:rFonts w:ascii="Aptos" w:hAnsi="Aptos"/>
                <w:color w:val="1F2937"/>
                <w:sz w:val="18"/>
              </w:rPr>
              <w:t>Prospección → demostración → piloto remunerado</w:t>
            </w:r>
          </w:p>
        </w:tc>
        <w:tc>
          <w:p w14:paraId="3104FF59">
            <w:pPr>
              <w:pStyle w:val="24"/>
              <w:spacing w:after="0"/>
              <w:jc w:val="left"/>
            </w:pPr>
            <w:r>
              <w:rPr>
                <w:rFonts w:ascii="Aptos" w:hAnsi="Aptos"/>
                <w:color w:val="1F2937"/>
                <w:sz w:val="18"/>
              </w:rPr>
              <w:t>Contratos/facturas de ≥5 clientes</w:t>
            </w:r>
          </w:p>
        </w:tc>
      </w:tr>
      <w:tr w14:paraId="6A0A65EC">
        <w:tblPrEx>
          <w:tblCellMar>
            <w:top w:w="0" w:type="dxa"/>
            <w:left w:w="108" w:type="dxa"/>
            <w:bottom w:w="0" w:type="dxa"/>
            <w:right w:w="108" w:type="dxa"/>
          </w:tblCellMar>
        </w:tblPrEx>
        <w:tc>
          <w:p w14:paraId="71E446BD">
            <w:pPr>
              <w:pStyle w:val="24"/>
              <w:spacing w:after="0"/>
              <w:jc w:val="left"/>
            </w:pPr>
            <w:r>
              <w:rPr>
                <w:rFonts w:ascii="Aptos" w:hAnsi="Aptos"/>
                <w:color w:val="1F2937"/>
                <w:sz w:val="18"/>
              </w:rPr>
              <w:t>12–18</w:t>
            </w:r>
          </w:p>
        </w:tc>
        <w:tc>
          <w:p w14:paraId="62286358">
            <w:pPr>
              <w:pStyle w:val="24"/>
              <w:spacing w:after="0"/>
              <w:jc w:val="left"/>
            </w:pPr>
            <w:r>
              <w:rPr>
                <w:rFonts w:ascii="Aptos" w:hAnsi="Aptos"/>
                <w:color w:val="1F2937"/>
                <w:sz w:val="18"/>
              </w:rPr>
              <w:t>Validación</w:t>
            </w:r>
          </w:p>
        </w:tc>
        <w:tc>
          <w:p w14:paraId="6E9BF24A">
            <w:pPr>
              <w:pStyle w:val="24"/>
              <w:spacing w:after="0"/>
              <w:jc w:val="left"/>
            </w:pPr>
            <w:r>
              <w:rPr>
                <w:rFonts w:ascii="Aptos" w:hAnsi="Aptos"/>
                <w:color w:val="1F2937"/>
                <w:sz w:val="18"/>
              </w:rPr>
              <w:t>Análisis reproducible y revisión independiente</w:t>
            </w:r>
          </w:p>
        </w:tc>
        <w:tc>
          <w:p w14:paraId="45939F83">
            <w:pPr>
              <w:pStyle w:val="24"/>
              <w:spacing w:after="0"/>
              <w:jc w:val="left"/>
            </w:pPr>
            <w:r>
              <w:rPr>
                <w:rFonts w:ascii="Aptos" w:hAnsi="Aptos"/>
                <w:color w:val="1F2937"/>
                <w:sz w:val="18"/>
              </w:rPr>
              <w:t>Informe del Gate G1</w:t>
            </w:r>
          </w:p>
        </w:tc>
      </w:tr>
    </w:tbl>
    <w:p w14:paraId="65DFE956">
      <w:pPr>
        <w:pStyle w:val="3"/>
      </w:pPr>
      <w:r>
        <w:rPr>
          <w:rFonts w:ascii="Aptos" w:hAnsi="Aptos"/>
          <w:b/>
          <w:color w:val="1F2937"/>
          <w:sz w:val="21"/>
        </w:rPr>
        <w:t>Árbol de decisión por gates.</w:t>
      </w:r>
    </w:p>
    <w:tbl>
      <w:tblPr>
        <w:tblStyle w:val="28"/>
        <w:tblW w:w="5000" w:type="pct"/>
        <w:jc w:val="center"/>
        <w:tblInd w:w="0" w:type="dxa"/>
        <w:tblLayout w:type="fixed"/>
        <w:tblCellMar>
          <w:top w:w="0" w:type="dxa"/>
          <w:left w:w="108" w:type="dxa"/>
          <w:bottom w:w="0" w:type="dxa"/>
          <w:right w:w="108" w:type="dxa"/>
        </w:tblCellMar>
      </w:tblPr>
      <w:tblGrid>
        <w:gridCol w:w="1980"/>
        <w:gridCol w:w="1980"/>
        <w:gridCol w:w="1980"/>
        <w:gridCol w:w="1980"/>
      </w:tblGrid>
      <w:tr w14:paraId="730AF904">
        <w:tc>
          <w:tcPr>
            <w:tcW w:w="2340" w:type="dxa"/>
            <w:tcBorders>
              <w:bottom w:val="single" w:color="auto" w:sz="0" w:space="0"/>
            </w:tcBorders>
            <w:vAlign w:val="bottom"/>
          </w:tcPr>
          <w:p w14:paraId="32BDC9ED">
            <w:pPr>
              <w:pStyle w:val="24"/>
              <w:spacing w:after="0"/>
              <w:jc w:val="left"/>
            </w:pPr>
            <w:r>
              <w:rPr>
                <w:rFonts w:ascii="Aptos" w:hAnsi="Aptos"/>
                <w:color w:val="1F2937"/>
                <w:sz w:val="18"/>
              </w:rPr>
              <w:t>Gate</w:t>
            </w:r>
          </w:p>
        </w:tc>
        <w:tc>
          <w:tcPr>
            <w:tcW w:w="2340" w:type="dxa"/>
            <w:tcBorders>
              <w:bottom w:val="single" w:color="auto" w:sz="0" w:space="0"/>
            </w:tcBorders>
            <w:vAlign w:val="bottom"/>
          </w:tcPr>
          <w:p w14:paraId="0DEDC73B">
            <w:pPr>
              <w:pStyle w:val="24"/>
              <w:spacing w:after="0"/>
              <w:jc w:val="left"/>
            </w:pPr>
            <w:r>
              <w:rPr>
                <w:rFonts w:ascii="Aptos" w:hAnsi="Aptos"/>
                <w:color w:val="1F2937"/>
                <w:sz w:val="18"/>
              </w:rPr>
              <w:t>Mes</w:t>
            </w:r>
          </w:p>
        </w:tc>
        <w:tc>
          <w:tcPr>
            <w:tcW w:w="2340" w:type="dxa"/>
            <w:tcBorders>
              <w:bottom w:val="single" w:color="auto" w:sz="0" w:space="0"/>
            </w:tcBorders>
            <w:vAlign w:val="bottom"/>
          </w:tcPr>
          <w:p w14:paraId="6995D8D6">
            <w:pPr>
              <w:pStyle w:val="24"/>
              <w:spacing w:after="0"/>
              <w:jc w:val="left"/>
            </w:pPr>
            <w:r>
              <w:rPr>
                <w:rFonts w:ascii="Aptos" w:hAnsi="Aptos"/>
                <w:color w:val="1F2937"/>
                <w:sz w:val="18"/>
              </w:rPr>
              <w:t>Criterios de aceptación</w:t>
            </w:r>
          </w:p>
        </w:tc>
        <w:tc>
          <w:tcPr>
            <w:tcW w:w="2340" w:type="dxa"/>
            <w:tcBorders>
              <w:bottom w:val="single" w:color="auto" w:sz="0" w:space="0"/>
            </w:tcBorders>
            <w:vAlign w:val="bottom"/>
          </w:tcPr>
          <w:p w14:paraId="617DE390">
            <w:pPr>
              <w:pStyle w:val="24"/>
              <w:spacing w:after="0"/>
              <w:jc w:val="left"/>
            </w:pPr>
            <w:r>
              <w:rPr>
                <w:rFonts w:ascii="Aptos" w:hAnsi="Aptos"/>
                <w:color w:val="1F2937"/>
                <w:sz w:val="18"/>
              </w:rPr>
              <w:t>Salida si no se supera</w:t>
            </w:r>
          </w:p>
        </w:tc>
      </w:tr>
      <w:tr w14:paraId="79FB92BB">
        <w:tblPrEx>
          <w:tblCellMar>
            <w:top w:w="0" w:type="dxa"/>
            <w:left w:w="108" w:type="dxa"/>
            <w:bottom w:w="0" w:type="dxa"/>
            <w:right w:w="108" w:type="dxa"/>
          </w:tblCellMar>
        </w:tblPrEx>
        <w:tc>
          <w:p w14:paraId="21BEFA35">
            <w:pPr>
              <w:pStyle w:val="24"/>
              <w:spacing w:after="0"/>
              <w:jc w:val="left"/>
            </w:pPr>
            <w:r>
              <w:rPr>
                <w:rFonts w:ascii="Aptos" w:hAnsi="Aptos"/>
                <w:color w:val="1F2937"/>
                <w:sz w:val="18"/>
              </w:rPr>
              <w:t>G1</w:t>
            </w:r>
          </w:p>
        </w:tc>
        <w:tc>
          <w:p w14:paraId="745A10B0">
            <w:pPr>
              <w:pStyle w:val="24"/>
              <w:spacing w:after="0"/>
              <w:jc w:val="left"/>
            </w:pPr>
            <w:r>
              <w:rPr>
                <w:rFonts w:ascii="Aptos" w:hAnsi="Aptos"/>
                <w:color w:val="1F2937"/>
                <w:sz w:val="18"/>
              </w:rPr>
              <w:t>~18</w:t>
            </w:r>
          </w:p>
        </w:tc>
        <w:tc>
          <w:p w14:paraId="1A88FF3C">
            <w:pPr>
              <w:pStyle w:val="24"/>
              <w:spacing w:after="0"/>
              <w:jc w:val="left"/>
            </w:pPr>
            <w:r>
              <w:rPr>
                <w:rFonts w:ascii="Aptos" w:hAnsi="Aptos"/>
                <w:color w:val="1F2937"/>
                <w:sz w:val="18"/>
              </w:rPr>
              <w:t>SaaS con validación local/candidata; producción: NO RECLAMADA (uptime ≥99 %); ≥5 clientes; datos módulo ≥6 meses; TRT; suelo firmado ≥25 años; anteproyecto</w:t>
            </w:r>
          </w:p>
        </w:tc>
        <w:tc>
          <w:p w14:paraId="32F4A754">
            <w:pPr>
              <w:pStyle w:val="24"/>
              <w:spacing w:after="0"/>
              <w:jc w:val="left"/>
            </w:pPr>
            <w:r>
              <w:rPr>
                <w:rFonts w:ascii="Aptos" w:hAnsi="Aptos"/>
                <w:color w:val="1F2937"/>
                <w:sz w:val="18"/>
              </w:rPr>
              <w:t>Empresa SaaS en pequeño; sin obra</w:t>
            </w:r>
          </w:p>
        </w:tc>
      </w:tr>
      <w:tr w14:paraId="61CBC9DD">
        <w:tblPrEx>
          <w:tblCellMar>
            <w:top w:w="0" w:type="dxa"/>
            <w:left w:w="108" w:type="dxa"/>
            <w:bottom w:w="0" w:type="dxa"/>
            <w:right w:w="108" w:type="dxa"/>
          </w:tblCellMar>
        </w:tblPrEx>
        <w:tc>
          <w:p w14:paraId="5714A5AB">
            <w:pPr>
              <w:pStyle w:val="24"/>
              <w:spacing w:after="0"/>
              <w:jc w:val="left"/>
            </w:pPr>
            <w:r>
              <w:rPr>
                <w:rFonts w:ascii="Aptos" w:hAnsi="Aptos"/>
                <w:color w:val="1F2937"/>
                <w:sz w:val="18"/>
              </w:rPr>
              <w:t>G2</w:t>
            </w:r>
          </w:p>
        </w:tc>
        <w:tc>
          <w:p w14:paraId="378660B8">
            <w:pPr>
              <w:pStyle w:val="24"/>
              <w:spacing w:after="0"/>
              <w:jc w:val="left"/>
            </w:pPr>
            <w:r>
              <w:rPr>
                <w:rFonts w:ascii="Aptos" w:hAnsi="Aptos"/>
                <w:color w:val="1F2937"/>
                <w:sz w:val="18"/>
              </w:rPr>
              <w:t>~28</w:t>
            </w:r>
          </w:p>
        </w:tc>
        <w:tc>
          <w:p w14:paraId="50EB7856">
            <w:pPr>
              <w:pStyle w:val="24"/>
              <w:spacing w:after="0"/>
              <w:jc w:val="left"/>
            </w:pPr>
            <w:r>
              <w:rPr>
                <w:rFonts w:ascii="Aptos" w:hAnsi="Aptos"/>
                <w:color w:val="1F2937"/>
                <w:sz w:val="18"/>
              </w:rPr>
              <w:t>Sondeos probados a presión; galería y cimentación recepcionadas; coste ≤ contingencia</w:t>
            </w:r>
          </w:p>
        </w:tc>
        <w:tc>
          <w:p w14:paraId="70B22B54">
            <w:pPr>
              <w:pStyle w:val="24"/>
              <w:spacing w:after="0"/>
              <w:jc w:val="left"/>
            </w:pPr>
            <w:r>
              <w:rPr>
                <w:rFonts w:ascii="Aptos" w:hAnsi="Aptos"/>
                <w:color w:val="1F2937"/>
                <w:sz w:val="18"/>
              </w:rPr>
              <w:t>Replanteo con dato geológico real</w:t>
            </w:r>
          </w:p>
        </w:tc>
      </w:tr>
      <w:tr w14:paraId="5AA957D0">
        <w:tblPrEx>
          <w:tblCellMar>
            <w:top w:w="0" w:type="dxa"/>
            <w:left w:w="108" w:type="dxa"/>
            <w:bottom w:w="0" w:type="dxa"/>
            <w:right w:w="108" w:type="dxa"/>
          </w:tblCellMar>
        </w:tblPrEx>
        <w:tc>
          <w:p w14:paraId="32A42CDD">
            <w:pPr>
              <w:pStyle w:val="24"/>
              <w:spacing w:after="0"/>
              <w:jc w:val="left"/>
            </w:pPr>
            <w:r>
              <w:rPr>
                <w:rFonts w:ascii="Aptos" w:hAnsi="Aptos"/>
                <w:color w:val="1F2937"/>
                <w:sz w:val="18"/>
              </w:rPr>
              <w:t>G3</w:t>
            </w:r>
          </w:p>
        </w:tc>
        <w:tc>
          <w:p w14:paraId="5ABC17AB">
            <w:pPr>
              <w:pStyle w:val="24"/>
              <w:spacing w:after="0"/>
              <w:jc w:val="left"/>
            </w:pPr>
            <w:r>
              <w:rPr>
                <w:rFonts w:ascii="Aptos" w:hAnsi="Aptos"/>
                <w:color w:val="1F2937"/>
                <w:sz w:val="18"/>
              </w:rPr>
              <w:t>~42</w:t>
            </w:r>
          </w:p>
        </w:tc>
        <w:tc>
          <w:p w14:paraId="27419BB1">
            <w:pPr>
              <w:pStyle w:val="24"/>
              <w:spacing w:after="0"/>
              <w:jc w:val="left"/>
            </w:pPr>
            <w:r>
              <w:rPr>
                <w:rFonts w:ascii="Aptos" w:hAnsi="Aptos"/>
                <w:color w:val="1F2937"/>
                <w:sz w:val="18"/>
              </w:rPr>
              <w:t>Primera campaña cerrada; desviación térmica &lt;20 %; ≥50 % producción contratada</w:t>
            </w:r>
          </w:p>
        </w:tc>
        <w:tc>
          <w:p w14:paraId="6813F43F">
            <w:pPr>
              <w:pStyle w:val="24"/>
              <w:spacing w:after="0"/>
              <w:jc w:val="left"/>
            </w:pPr>
            <w:r>
              <w:rPr>
                <w:rFonts w:ascii="Aptos" w:hAnsi="Aptos"/>
                <w:color w:val="1F2937"/>
                <w:sz w:val="18"/>
              </w:rPr>
              <w:t>Ajuste de cultivo/clima antes de FV</w:t>
            </w:r>
          </w:p>
        </w:tc>
      </w:tr>
      <w:tr w14:paraId="490BE2E5">
        <w:tblPrEx>
          <w:tblCellMar>
            <w:top w:w="0" w:type="dxa"/>
            <w:left w:w="108" w:type="dxa"/>
            <w:bottom w:w="0" w:type="dxa"/>
            <w:right w:w="108" w:type="dxa"/>
          </w:tblCellMar>
        </w:tblPrEx>
        <w:tc>
          <w:p w14:paraId="30198411">
            <w:pPr>
              <w:pStyle w:val="24"/>
              <w:spacing w:after="0"/>
              <w:jc w:val="left"/>
            </w:pPr>
            <w:r>
              <w:rPr>
                <w:rFonts w:ascii="Aptos" w:hAnsi="Aptos"/>
                <w:color w:val="1F2937"/>
                <w:sz w:val="18"/>
              </w:rPr>
              <w:t>G4</w:t>
            </w:r>
          </w:p>
        </w:tc>
        <w:tc>
          <w:p w14:paraId="616B92C9">
            <w:pPr>
              <w:pStyle w:val="24"/>
              <w:spacing w:after="0"/>
              <w:jc w:val="left"/>
            </w:pPr>
            <w:r>
              <w:rPr>
                <w:rFonts w:ascii="Aptos" w:hAnsi="Aptos"/>
                <w:color w:val="1F2937"/>
                <w:sz w:val="18"/>
              </w:rPr>
              <w:t>~54</w:t>
            </w:r>
          </w:p>
        </w:tc>
        <w:tc>
          <w:p w14:paraId="2D9E51BB">
            <w:pPr>
              <w:pStyle w:val="24"/>
              <w:spacing w:after="0"/>
              <w:jc w:val="left"/>
            </w:pPr>
            <w:r>
              <w:rPr>
                <w:rFonts w:ascii="Aptos" w:hAnsi="Aptos"/>
                <w:color w:val="1F2937"/>
                <w:sz w:val="18"/>
              </w:rPr>
              <w:t>Autoconsumo legalizado; 12 meses de balance verificado (objetivo 80–95 %)</w:t>
            </w:r>
          </w:p>
        </w:tc>
        <w:tc>
          <w:p w14:paraId="3B7FA868">
            <w:pPr>
              <w:pStyle w:val="24"/>
              <w:spacing w:after="0"/>
              <w:jc w:val="left"/>
            </w:pPr>
            <w:r>
              <w:rPr>
                <w:rFonts w:ascii="Aptos" w:hAnsi="Aptos"/>
                <w:color w:val="1F2937"/>
                <w:sz w:val="18"/>
              </w:rPr>
              <w:t>Revisión de cargas y gestión</w:t>
            </w:r>
          </w:p>
        </w:tc>
      </w:tr>
      <w:tr w14:paraId="17C89EEC">
        <w:tblPrEx>
          <w:tblCellMar>
            <w:top w:w="0" w:type="dxa"/>
            <w:left w:w="108" w:type="dxa"/>
            <w:bottom w:w="0" w:type="dxa"/>
            <w:right w:w="108" w:type="dxa"/>
          </w:tblCellMar>
        </w:tblPrEx>
        <w:tc>
          <w:p w14:paraId="19E8F718">
            <w:pPr>
              <w:pStyle w:val="24"/>
              <w:spacing w:after="0"/>
              <w:jc w:val="left"/>
            </w:pPr>
            <w:r>
              <w:rPr>
                <w:rFonts w:ascii="Aptos" w:hAnsi="Aptos"/>
                <w:color w:val="1F2937"/>
                <w:sz w:val="18"/>
              </w:rPr>
              <w:t>Eval. F5</w:t>
            </w:r>
          </w:p>
        </w:tc>
        <w:tc>
          <w:p w14:paraId="7D3C4837">
            <w:pPr>
              <w:pStyle w:val="24"/>
              <w:spacing w:after="0"/>
              <w:jc w:val="left"/>
            </w:pPr>
            <w:r>
              <w:rPr>
                <w:rFonts w:ascii="Aptos" w:hAnsi="Aptos"/>
                <w:color w:val="1F2937"/>
                <w:sz w:val="18"/>
              </w:rPr>
              <w:t>~48</w:t>
            </w:r>
          </w:p>
        </w:tc>
        <w:tc>
          <w:p w14:paraId="4E931C16">
            <w:pPr>
              <w:pStyle w:val="24"/>
              <w:spacing w:after="0"/>
              <w:jc w:val="left"/>
            </w:pPr>
            <w:r>
              <w:rPr>
                <w:rFonts w:ascii="Aptos" w:hAnsi="Aptos"/>
                <w:color w:val="1F2937"/>
                <w:sz w:val="18"/>
              </w:rPr>
              <w:t>≥2 de 3: coste cloud &gt; amortización CPD; clientes B2B; exigencia soberanía</w:t>
            </w:r>
          </w:p>
        </w:tc>
        <w:tc>
          <w:p w14:paraId="46A6930E">
            <w:pPr>
              <w:pStyle w:val="24"/>
              <w:spacing w:after="0"/>
              <w:jc w:val="left"/>
            </w:pPr>
            <w:r>
              <w:rPr>
                <w:rFonts w:ascii="Aptos" w:hAnsi="Aptos"/>
                <w:color w:val="1F2937"/>
                <w:sz w:val="18"/>
              </w:rPr>
              <w:t>Continuar en cloud, sin pérdida funcional</w:t>
            </w:r>
          </w:p>
        </w:tc>
      </w:tr>
    </w:tbl>
    <w:p w14:paraId="6FD2A294">
      <w:pPr>
        <w:pStyle w:val="3"/>
      </w:pPr>
      <w:r>
        <w:rPr>
          <w:rFonts w:ascii="Aptos" w:hAnsi="Aptos"/>
          <w:color w:val="1F2937"/>
          <w:sz w:val="21"/>
        </w:rPr>
        <w:t xml:space="preserve">El </w:t>
      </w:r>
      <w:r>
        <w:rPr>
          <w:rFonts w:ascii="Aptos" w:hAnsi="Aptos"/>
          <w:b/>
          <w:color w:val="1F2937"/>
          <w:sz w:val="21"/>
        </w:rPr>
        <w:t>estado-objetivo Post-F1</w:t>
      </w:r>
      <w:r>
        <w:rPr>
          <w:rFonts w:ascii="Aptos" w:hAnsi="Aptos"/>
          <w:color w:val="1F2937"/>
          <w:sz w:val="21"/>
        </w:rPr>
        <w:t xml:space="preserve"> de cada Gate figura en el cuadro de estado inicial (§ gobernanza por Gates): G1 como objetivo a cerrar en la Fase 1; G2–G4 planificados. Los gates se aprueban con acta en el comité de seguimiento; el Ayuntamiento participa sin asumir riesgo financiero; toda decisión relevante queda trazada y registrada en el SEV. El capital en riesgo en cada momento se limita a la fase en curso. El estado de los criterios del Gate G1 y las acciones críticas para cerrarlo se detallan en el </w:t>
      </w:r>
      <w:r>
        <w:rPr>
          <w:rFonts w:ascii="Aptos" w:hAnsi="Aptos"/>
          <w:b/>
          <w:color w:val="1F2937"/>
          <w:sz w:val="21"/>
        </w:rPr>
        <w:t>§10.4–§10.6</w:t>
      </w:r>
      <w:r>
        <w:rPr>
          <w:rFonts w:ascii="Aptos" w:hAnsi="Aptos"/>
          <w:color w:val="1F2937"/>
          <w:sz w:val="21"/>
        </w:rPr>
        <w:t>.</w:t>
      </w:r>
    </w:p>
    <w:p w14:paraId="73BDC06B">
      <w:pPr>
        <w:pStyle w:val="4"/>
      </w:pPr>
      <w:bookmarkStart w:id="68" w:name="X96e2c600ccbb70b7abe863b7a027e35a32dddfd"/>
      <w:r>
        <w:rPr>
          <w:rFonts w:ascii="Aptos Display" w:hAnsi="Aptos Display"/>
          <w:b/>
          <w:color w:val="174A2E"/>
          <w:sz w:val="21"/>
        </w:rPr>
        <w:t>7.10. Desarrollo ampliado — Sostenibilidad ambiental y Matriz de Impacto Social Verificable (MISV)</w:t>
      </w:r>
      <w:bookmarkEnd w:id="68"/>
    </w:p>
    <w:p w14:paraId="4B14BA31">
      <w:pPr>
        <w:pStyle w:val="23"/>
      </w:pPr>
      <w:r>
        <w:rPr>
          <w:rFonts w:ascii="Aptos" w:hAnsi="Aptos"/>
          <w:b/>
          <w:color w:val="1F2937"/>
          <w:sz w:val="21"/>
        </w:rPr>
        <w:t>Indicadores ambientales verificables:</w:t>
      </w:r>
      <w:r>
        <w:rPr>
          <w:rFonts w:ascii="Aptos" w:hAnsi="Aptos"/>
          <w:color w:val="1F2937"/>
          <w:sz w:val="21"/>
        </w:rPr>
        <w:t xml:space="preserve"> emisiones evitadas 400–500 t CO₂/año; agua −70–90 % por kg (objetivo ≤25 L/kg); energía renovable municipal ≈1,95 GWh/año. En la Fase 1 se levanta el primer inventario de huella de carbono (línea base auditable) y en G1 (~mes 18) se publican los primeros datos </w:t>
      </w:r>
      <w:r>
        <w:rPr>
          <w:rFonts w:ascii="Aptos" w:hAnsi="Aptos"/>
          <w:b/>
          <w:color w:val="1F2937"/>
          <w:sz w:val="21"/>
        </w:rPr>
        <w:t>medidos</w:t>
      </w:r>
      <w:r>
        <w:rPr>
          <w:rFonts w:ascii="Aptos" w:hAnsi="Aptos"/>
          <w:color w:val="1F2937"/>
          <w:sz w:val="21"/>
        </w:rPr>
        <w:t xml:space="preserve"> de comportamiento térmico y consumo de agua y energía. </w:t>
      </w:r>
      <w:r>
        <w:rPr>
          <w:rFonts w:ascii="Aptos" w:hAnsi="Aptos"/>
          <w:b/>
          <w:color w:val="1F2937"/>
          <w:sz w:val="21"/>
        </w:rPr>
        <w:t>ODS con indicador medible:</w:t>
      </w:r>
      <w:r>
        <w:rPr>
          <w:rFonts w:ascii="Aptos" w:hAnsi="Aptos"/>
          <w:color w:val="1F2937"/>
          <w:sz w:val="21"/>
        </w:rPr>
        <w:t xml:space="preserve"> ODS 2, 6, 7, 8, 9, 11, 12, 13.</w:t>
      </w:r>
    </w:p>
    <w:p w14:paraId="678F1D99">
      <w:pPr>
        <w:pStyle w:val="3"/>
      </w:pPr>
      <w:r>
        <w:rPr>
          <w:rFonts w:ascii="Aptos" w:hAnsi="Aptos"/>
          <w:b/>
          <w:color w:val="1F2937"/>
          <w:sz w:val="21"/>
        </w:rPr>
        <w:t>Matriz MISV (extracto).</w:t>
      </w:r>
      <w:r>
        <w:rPr>
          <w:rFonts w:ascii="Aptos" w:hAnsi="Aptos"/>
          <w:color w:val="1F2937"/>
          <w:sz w:val="21"/>
        </w:rPr>
        <w:t xml:space="preserve"> Cada beneficio esperado se conecta con hipótesis, indicador, línea base (LB = a medir en F1), meta, fuente y Gate.</w:t>
      </w:r>
    </w:p>
    <w:tbl>
      <w:tblPr>
        <w:tblStyle w:val="28"/>
        <w:tblW w:w="5000" w:type="pct"/>
        <w:jc w:val="center"/>
        <w:tblInd w:w="0" w:type="dxa"/>
        <w:tblLayout w:type="fixed"/>
        <w:tblCellMar>
          <w:top w:w="0" w:type="dxa"/>
          <w:left w:w="108" w:type="dxa"/>
          <w:bottom w:w="0" w:type="dxa"/>
          <w:right w:w="108" w:type="dxa"/>
        </w:tblCellMar>
      </w:tblPr>
      <w:tblGrid>
        <w:gridCol w:w="1584"/>
        <w:gridCol w:w="1584"/>
        <w:gridCol w:w="1584"/>
        <w:gridCol w:w="1584"/>
        <w:gridCol w:w="1584"/>
      </w:tblGrid>
      <w:tr w14:paraId="402F500A">
        <w:tblPrEx>
          <w:tblCellMar>
            <w:top w:w="0" w:type="dxa"/>
            <w:left w:w="108" w:type="dxa"/>
            <w:bottom w:w="0" w:type="dxa"/>
            <w:right w:w="108" w:type="dxa"/>
          </w:tblCellMar>
        </w:tblPrEx>
        <w:tc>
          <w:tcPr>
            <w:tcW w:w="1872" w:type="dxa"/>
            <w:tcBorders>
              <w:bottom w:val="single" w:color="auto" w:sz="0" w:space="0"/>
            </w:tcBorders>
            <w:vAlign w:val="bottom"/>
          </w:tcPr>
          <w:p w14:paraId="5F83FE8B">
            <w:pPr>
              <w:pStyle w:val="24"/>
              <w:spacing w:after="0"/>
              <w:jc w:val="left"/>
            </w:pPr>
            <w:r>
              <w:rPr>
                <w:rFonts w:ascii="Aptos" w:hAnsi="Aptos"/>
                <w:color w:val="1F2937"/>
                <w:sz w:val="18"/>
              </w:rPr>
              <w:t>Beneficio</w:t>
            </w:r>
          </w:p>
        </w:tc>
        <w:tc>
          <w:tcPr>
            <w:tcW w:w="1872" w:type="dxa"/>
            <w:tcBorders>
              <w:bottom w:val="single" w:color="auto" w:sz="0" w:space="0"/>
            </w:tcBorders>
            <w:vAlign w:val="bottom"/>
          </w:tcPr>
          <w:p w14:paraId="27CBC5F3">
            <w:pPr>
              <w:pStyle w:val="24"/>
              <w:spacing w:after="0"/>
              <w:jc w:val="left"/>
            </w:pPr>
            <w:r>
              <w:rPr>
                <w:rFonts w:ascii="Aptos" w:hAnsi="Aptos"/>
                <w:color w:val="1F2937"/>
                <w:sz w:val="18"/>
              </w:rPr>
              <w:t>Indicador</w:t>
            </w:r>
          </w:p>
        </w:tc>
        <w:tc>
          <w:tcPr>
            <w:tcW w:w="1872" w:type="dxa"/>
            <w:tcBorders>
              <w:bottom w:val="single" w:color="auto" w:sz="0" w:space="0"/>
            </w:tcBorders>
            <w:vAlign w:val="bottom"/>
          </w:tcPr>
          <w:p w14:paraId="68758E09">
            <w:pPr>
              <w:pStyle w:val="24"/>
              <w:spacing w:after="0"/>
              <w:jc w:val="left"/>
            </w:pPr>
            <w:r>
              <w:rPr>
                <w:rFonts w:ascii="Aptos" w:hAnsi="Aptos"/>
                <w:color w:val="1F2937"/>
                <w:sz w:val="18"/>
              </w:rPr>
              <w:t>Línea base</w:t>
            </w:r>
          </w:p>
        </w:tc>
        <w:tc>
          <w:tcPr>
            <w:tcW w:w="1872" w:type="dxa"/>
            <w:tcBorders>
              <w:bottom w:val="single" w:color="auto" w:sz="0" w:space="0"/>
            </w:tcBorders>
            <w:vAlign w:val="bottom"/>
          </w:tcPr>
          <w:p w14:paraId="061580BD">
            <w:pPr>
              <w:pStyle w:val="24"/>
              <w:spacing w:after="0"/>
              <w:jc w:val="left"/>
            </w:pPr>
            <w:r>
              <w:rPr>
                <w:rFonts w:ascii="Aptos" w:hAnsi="Aptos"/>
                <w:color w:val="1F2937"/>
                <w:sz w:val="18"/>
              </w:rPr>
              <w:t>Meta</w:t>
            </w:r>
          </w:p>
        </w:tc>
        <w:tc>
          <w:tcPr>
            <w:tcW w:w="1872" w:type="dxa"/>
            <w:tcBorders>
              <w:bottom w:val="single" w:color="auto" w:sz="0" w:space="0"/>
            </w:tcBorders>
            <w:vAlign w:val="bottom"/>
          </w:tcPr>
          <w:p w14:paraId="0D485932">
            <w:pPr>
              <w:pStyle w:val="24"/>
              <w:spacing w:after="0"/>
              <w:jc w:val="left"/>
            </w:pPr>
            <w:r>
              <w:rPr>
                <w:rFonts w:ascii="Aptos" w:hAnsi="Aptos"/>
                <w:color w:val="1F2937"/>
                <w:sz w:val="18"/>
              </w:rPr>
              <w:t>Gate</w:t>
            </w:r>
          </w:p>
        </w:tc>
      </w:tr>
      <w:tr w14:paraId="2C6172FE">
        <w:tblPrEx>
          <w:tblCellMar>
            <w:top w:w="0" w:type="dxa"/>
            <w:left w:w="108" w:type="dxa"/>
            <w:bottom w:w="0" w:type="dxa"/>
            <w:right w:w="108" w:type="dxa"/>
          </w:tblCellMar>
        </w:tblPrEx>
        <w:tc>
          <w:p w14:paraId="460717D2">
            <w:pPr>
              <w:pStyle w:val="24"/>
              <w:spacing w:after="0"/>
              <w:jc w:val="left"/>
            </w:pPr>
            <w:r>
              <w:rPr>
                <w:rFonts w:ascii="Aptos" w:hAnsi="Aptos"/>
                <w:color w:val="1F2937"/>
                <w:sz w:val="18"/>
              </w:rPr>
              <w:t>Reducción de factura municipal</w:t>
            </w:r>
          </w:p>
        </w:tc>
        <w:tc>
          <w:p w14:paraId="2A9BC548">
            <w:pPr>
              <w:pStyle w:val="24"/>
              <w:spacing w:after="0"/>
              <w:jc w:val="left"/>
            </w:pPr>
            <w:r>
              <w:rPr>
                <w:rFonts w:ascii="Aptos" w:hAnsi="Aptos"/>
                <w:color w:val="1F2937"/>
                <w:sz w:val="18"/>
              </w:rPr>
              <w:t>% ahorro del término de energía</w:t>
            </w:r>
          </w:p>
        </w:tc>
        <w:tc>
          <w:p w14:paraId="72D87864">
            <w:pPr>
              <w:pStyle w:val="24"/>
              <w:spacing w:after="0"/>
              <w:jc w:val="left"/>
            </w:pPr>
            <w:r>
              <w:rPr>
                <w:rFonts w:ascii="Aptos" w:hAnsi="Aptos"/>
                <w:color w:val="1F2937"/>
                <w:sz w:val="18"/>
              </w:rPr>
              <w:t>Facturas + Datadis (LB)</w:t>
            </w:r>
          </w:p>
        </w:tc>
        <w:tc>
          <w:p w14:paraId="452F9B0E">
            <w:pPr>
              <w:pStyle w:val="24"/>
              <w:spacing w:after="0"/>
              <w:jc w:val="left"/>
            </w:pPr>
            <w:r>
              <w:rPr>
                <w:rFonts w:ascii="Aptos" w:hAnsi="Aptos"/>
                <w:color w:val="1F2937"/>
                <w:sz w:val="18"/>
              </w:rPr>
              <w:t>Hasta 70–90 % (declarado)</w:t>
            </w:r>
          </w:p>
        </w:tc>
        <w:tc>
          <w:p w14:paraId="3EA253B5">
            <w:pPr>
              <w:pStyle w:val="24"/>
              <w:spacing w:after="0"/>
              <w:jc w:val="left"/>
            </w:pPr>
            <w:r>
              <w:rPr>
                <w:rFonts w:ascii="Aptos" w:hAnsi="Aptos"/>
                <w:color w:val="1F2937"/>
                <w:sz w:val="18"/>
              </w:rPr>
              <w:t>G4</w:t>
            </w:r>
          </w:p>
        </w:tc>
      </w:tr>
      <w:tr w14:paraId="54ACE69E">
        <w:tblPrEx>
          <w:tblCellMar>
            <w:top w:w="0" w:type="dxa"/>
            <w:left w:w="108" w:type="dxa"/>
            <w:bottom w:w="0" w:type="dxa"/>
            <w:right w:w="108" w:type="dxa"/>
          </w:tblCellMar>
        </w:tblPrEx>
        <w:tc>
          <w:p w14:paraId="05851DB1">
            <w:pPr>
              <w:pStyle w:val="24"/>
              <w:spacing w:after="0"/>
              <w:jc w:val="left"/>
            </w:pPr>
            <w:r>
              <w:rPr>
                <w:rFonts w:ascii="Aptos" w:hAnsi="Aptos"/>
                <w:color w:val="1F2937"/>
                <w:sz w:val="18"/>
              </w:rPr>
              <w:t>Reducción de emisiones</w:t>
            </w:r>
          </w:p>
        </w:tc>
        <w:tc>
          <w:p w14:paraId="4ABF89A9">
            <w:pPr>
              <w:pStyle w:val="24"/>
              <w:spacing w:after="0"/>
              <w:jc w:val="left"/>
            </w:pPr>
            <w:r>
              <w:rPr>
                <w:rFonts w:ascii="Aptos" w:hAnsi="Aptos"/>
                <w:color w:val="1F2937"/>
                <w:sz w:val="18"/>
              </w:rPr>
              <w:t>tCO₂e evitadas/año</w:t>
            </w:r>
          </w:p>
        </w:tc>
        <w:tc>
          <w:p w14:paraId="11B797DD">
            <w:pPr>
              <w:pStyle w:val="24"/>
              <w:spacing w:after="0"/>
              <w:jc w:val="left"/>
            </w:pPr>
            <w:r>
              <w:rPr>
                <w:rFonts w:ascii="Aptos" w:hAnsi="Aptos"/>
                <w:color w:val="1F2937"/>
                <w:sz w:val="18"/>
              </w:rPr>
              <w:t>0</w:t>
            </w:r>
          </w:p>
        </w:tc>
        <w:tc>
          <w:p w14:paraId="65E556F5">
            <w:pPr>
              <w:pStyle w:val="24"/>
              <w:spacing w:after="0"/>
              <w:jc w:val="left"/>
            </w:pPr>
            <w:r>
              <w:rPr>
                <w:rFonts w:ascii="Aptos" w:hAnsi="Aptos"/>
                <w:color w:val="1F2937"/>
                <w:sz w:val="18"/>
              </w:rPr>
              <w:t>400–500 (declarado)</w:t>
            </w:r>
          </w:p>
        </w:tc>
        <w:tc>
          <w:p w14:paraId="79C87C0B">
            <w:pPr>
              <w:pStyle w:val="24"/>
              <w:spacing w:after="0"/>
              <w:jc w:val="left"/>
            </w:pPr>
            <w:r>
              <w:rPr>
                <w:rFonts w:ascii="Aptos" w:hAnsi="Aptos"/>
                <w:color w:val="1F2937"/>
                <w:sz w:val="18"/>
              </w:rPr>
              <w:t>G4</w:t>
            </w:r>
          </w:p>
        </w:tc>
      </w:tr>
      <w:tr w14:paraId="4A7ACF6B">
        <w:tblPrEx>
          <w:tblCellMar>
            <w:top w:w="0" w:type="dxa"/>
            <w:left w:w="108" w:type="dxa"/>
            <w:bottom w:w="0" w:type="dxa"/>
            <w:right w:w="108" w:type="dxa"/>
          </w:tblCellMar>
        </w:tblPrEx>
        <w:tc>
          <w:p w14:paraId="1D737D70">
            <w:pPr>
              <w:pStyle w:val="24"/>
              <w:spacing w:after="0"/>
              <w:jc w:val="left"/>
            </w:pPr>
            <w:r>
              <w:rPr>
                <w:rFonts w:ascii="Aptos" w:hAnsi="Aptos"/>
                <w:color w:val="1F2937"/>
                <w:sz w:val="18"/>
              </w:rPr>
              <w:t>Resiliencia energética</w:t>
            </w:r>
          </w:p>
        </w:tc>
        <w:tc>
          <w:p w14:paraId="25F14EF7">
            <w:pPr>
              <w:pStyle w:val="24"/>
              <w:spacing w:after="0"/>
              <w:jc w:val="left"/>
            </w:pPr>
            <w:r>
              <w:rPr>
                <w:rFonts w:ascii="Aptos" w:hAnsi="Aptos"/>
                <w:color w:val="1F2937"/>
                <w:sz w:val="18"/>
              </w:rPr>
              <w:t>% cobertura balance neto anual</w:t>
            </w:r>
          </w:p>
        </w:tc>
        <w:tc>
          <w:p w14:paraId="49DBC5AF">
            <w:pPr>
              <w:pStyle w:val="24"/>
              <w:spacing w:after="0"/>
              <w:jc w:val="left"/>
            </w:pPr>
            <w:r>
              <w:rPr>
                <w:rFonts w:ascii="Aptos" w:hAnsi="Aptos"/>
                <w:color w:val="1F2937"/>
                <w:sz w:val="18"/>
              </w:rPr>
              <w:t>0</w:t>
            </w:r>
          </w:p>
        </w:tc>
        <w:tc>
          <w:p w14:paraId="237C8812">
            <w:pPr>
              <w:pStyle w:val="24"/>
              <w:spacing w:after="0"/>
              <w:jc w:val="left"/>
            </w:pPr>
            <w:r>
              <w:rPr>
                <w:rFonts w:ascii="Aptos" w:hAnsi="Aptos"/>
                <w:color w:val="1F2937"/>
                <w:sz w:val="18"/>
              </w:rPr>
              <w:t>80–95 % (declarado)</w:t>
            </w:r>
          </w:p>
        </w:tc>
        <w:tc>
          <w:p w14:paraId="52A26BA4">
            <w:pPr>
              <w:pStyle w:val="24"/>
              <w:spacing w:after="0"/>
              <w:jc w:val="left"/>
            </w:pPr>
            <w:r>
              <w:rPr>
                <w:rFonts w:ascii="Aptos" w:hAnsi="Aptos"/>
                <w:color w:val="1F2937"/>
                <w:sz w:val="18"/>
              </w:rPr>
              <w:t>G4</w:t>
            </w:r>
          </w:p>
        </w:tc>
      </w:tr>
      <w:tr w14:paraId="0484A0D0">
        <w:tblPrEx>
          <w:tblCellMar>
            <w:top w:w="0" w:type="dxa"/>
            <w:left w:w="108" w:type="dxa"/>
            <w:bottom w:w="0" w:type="dxa"/>
            <w:right w:w="108" w:type="dxa"/>
          </w:tblCellMar>
        </w:tblPrEx>
        <w:tc>
          <w:p w14:paraId="51D839A3">
            <w:pPr>
              <w:pStyle w:val="24"/>
              <w:spacing w:after="0"/>
              <w:jc w:val="left"/>
            </w:pPr>
            <w:r>
              <w:rPr>
                <w:rFonts w:ascii="Aptos" w:hAnsi="Aptos"/>
                <w:color w:val="1F2937"/>
                <w:sz w:val="18"/>
              </w:rPr>
              <w:t>Eficiencia hídrica</w:t>
            </w:r>
          </w:p>
        </w:tc>
        <w:tc>
          <w:p w14:paraId="188E76C9">
            <w:pPr>
              <w:pStyle w:val="24"/>
              <w:spacing w:after="0"/>
              <w:jc w:val="left"/>
            </w:pPr>
            <w:r>
              <w:rPr>
                <w:rFonts w:ascii="Aptos" w:hAnsi="Aptos"/>
                <w:color w:val="1F2937"/>
                <w:sz w:val="18"/>
              </w:rPr>
              <w:t>L/kg</w:t>
            </w:r>
          </w:p>
        </w:tc>
        <w:tc>
          <w:p w14:paraId="116F40D4">
            <w:pPr>
              <w:pStyle w:val="24"/>
              <w:spacing w:after="0"/>
              <w:jc w:val="left"/>
            </w:pPr>
            <w:r>
              <w:rPr>
                <w:rFonts w:ascii="Aptos" w:hAnsi="Aptos"/>
                <w:color w:val="1F2937"/>
                <w:sz w:val="18"/>
              </w:rPr>
              <w:t>100–300 (ref.)</w:t>
            </w:r>
          </w:p>
        </w:tc>
        <w:tc>
          <w:p w14:paraId="6B7FA170">
            <w:pPr>
              <w:pStyle w:val="24"/>
              <w:spacing w:after="0"/>
              <w:jc w:val="left"/>
            </w:pPr>
            <w:r>
              <w:rPr>
                <w:rFonts w:ascii="Aptos" w:hAnsi="Aptos"/>
                <w:color w:val="1F2937"/>
                <w:sz w:val="18"/>
              </w:rPr>
              <w:t>≤25 (declarado)</w:t>
            </w:r>
          </w:p>
        </w:tc>
        <w:tc>
          <w:p w14:paraId="77773FB6">
            <w:pPr>
              <w:pStyle w:val="24"/>
              <w:spacing w:after="0"/>
              <w:jc w:val="left"/>
            </w:pPr>
            <w:r>
              <w:rPr>
                <w:rFonts w:ascii="Aptos" w:hAnsi="Aptos"/>
                <w:color w:val="1F2937"/>
                <w:sz w:val="18"/>
              </w:rPr>
              <w:t>G3</w:t>
            </w:r>
          </w:p>
        </w:tc>
      </w:tr>
      <w:tr w14:paraId="2A4D1ECD">
        <w:tblPrEx>
          <w:tblCellMar>
            <w:top w:w="0" w:type="dxa"/>
            <w:left w:w="108" w:type="dxa"/>
            <w:bottom w:w="0" w:type="dxa"/>
            <w:right w:w="108" w:type="dxa"/>
          </w:tblCellMar>
        </w:tblPrEx>
        <w:tc>
          <w:p w14:paraId="1DA271D7">
            <w:pPr>
              <w:pStyle w:val="24"/>
              <w:spacing w:after="0"/>
              <w:jc w:val="left"/>
            </w:pPr>
            <w:r>
              <w:rPr>
                <w:rFonts w:ascii="Aptos" w:hAnsi="Aptos"/>
                <w:color w:val="1F2937"/>
                <w:sz w:val="18"/>
              </w:rPr>
              <w:t>Empleo directo</w:t>
            </w:r>
          </w:p>
        </w:tc>
        <w:tc>
          <w:p w14:paraId="6D00F86D">
            <w:pPr>
              <w:pStyle w:val="24"/>
              <w:spacing w:after="0"/>
              <w:jc w:val="left"/>
            </w:pPr>
            <w:r>
              <w:rPr>
                <w:rFonts w:ascii="Aptos" w:hAnsi="Aptos"/>
                <w:color w:val="1F2937"/>
                <w:sz w:val="18"/>
              </w:rPr>
              <w:t>Nº empleos directos</w:t>
            </w:r>
          </w:p>
        </w:tc>
        <w:tc>
          <w:p w14:paraId="16BE47A7">
            <w:pPr>
              <w:pStyle w:val="24"/>
              <w:spacing w:after="0"/>
              <w:jc w:val="left"/>
            </w:pPr>
            <w:r>
              <w:rPr>
                <w:rFonts w:ascii="Aptos" w:hAnsi="Aptos"/>
                <w:color w:val="1F2937"/>
                <w:sz w:val="18"/>
              </w:rPr>
              <w:t>0</w:t>
            </w:r>
          </w:p>
        </w:tc>
        <w:tc>
          <w:p w14:paraId="69F1F1BA">
            <w:pPr>
              <w:pStyle w:val="24"/>
              <w:spacing w:after="0"/>
              <w:jc w:val="left"/>
            </w:pPr>
            <w:r>
              <w:rPr>
                <w:rFonts w:ascii="Aptos" w:hAnsi="Aptos"/>
                <w:color w:val="1F2937"/>
                <w:sz w:val="18"/>
              </w:rPr>
              <w:t>6–10 (declarado)</w:t>
            </w:r>
          </w:p>
        </w:tc>
        <w:tc>
          <w:p w14:paraId="50E1ADA6">
            <w:pPr>
              <w:pStyle w:val="24"/>
              <w:spacing w:after="0"/>
              <w:jc w:val="left"/>
            </w:pPr>
            <w:r>
              <w:rPr>
                <w:rFonts w:ascii="Aptos" w:hAnsi="Aptos"/>
                <w:color w:val="1F2937"/>
                <w:sz w:val="18"/>
              </w:rPr>
              <w:t>G3–G4</w:t>
            </w:r>
          </w:p>
        </w:tc>
      </w:tr>
      <w:tr w14:paraId="512F1CE7">
        <w:tblPrEx>
          <w:tblCellMar>
            <w:top w:w="0" w:type="dxa"/>
            <w:left w:w="108" w:type="dxa"/>
            <w:bottom w:w="0" w:type="dxa"/>
            <w:right w:w="108" w:type="dxa"/>
          </w:tblCellMar>
        </w:tblPrEx>
        <w:tc>
          <w:p w14:paraId="5B82F9F0">
            <w:pPr>
              <w:pStyle w:val="24"/>
              <w:spacing w:after="0"/>
              <w:jc w:val="left"/>
            </w:pPr>
            <w:r>
              <w:rPr>
                <w:rFonts w:ascii="Aptos" w:hAnsi="Aptos"/>
                <w:color w:val="1F2937"/>
                <w:sz w:val="18"/>
              </w:rPr>
              <w:t>Empleo indirecto</w:t>
            </w:r>
          </w:p>
        </w:tc>
        <w:tc>
          <w:p w14:paraId="7FD655B3">
            <w:pPr>
              <w:pStyle w:val="24"/>
              <w:spacing w:after="0"/>
              <w:jc w:val="left"/>
            </w:pPr>
            <w:r>
              <w:rPr>
                <w:rFonts w:ascii="Aptos" w:hAnsi="Aptos"/>
                <w:color w:val="1F2937"/>
                <w:sz w:val="18"/>
              </w:rPr>
              <w:t>Nº empleos indirectos</w:t>
            </w:r>
          </w:p>
        </w:tc>
        <w:tc>
          <w:p w14:paraId="63B5BD7B">
            <w:pPr>
              <w:pStyle w:val="24"/>
              <w:spacing w:after="0"/>
              <w:jc w:val="left"/>
            </w:pPr>
            <w:r>
              <w:rPr>
                <w:rFonts w:ascii="Aptos" w:hAnsi="Aptos"/>
                <w:color w:val="1F2937"/>
                <w:sz w:val="18"/>
              </w:rPr>
              <w:t>0</w:t>
            </w:r>
          </w:p>
        </w:tc>
        <w:tc>
          <w:p w14:paraId="47A54F69">
            <w:pPr>
              <w:pStyle w:val="24"/>
              <w:spacing w:after="0"/>
              <w:jc w:val="left"/>
            </w:pPr>
            <w:r>
              <w:rPr>
                <w:rFonts w:ascii="Aptos" w:hAnsi="Aptos"/>
                <w:color w:val="1F2937"/>
                <w:sz w:val="18"/>
              </w:rPr>
              <w:t>3–5 (declarado)</w:t>
            </w:r>
          </w:p>
        </w:tc>
        <w:tc>
          <w:p w14:paraId="3FC92831">
            <w:pPr>
              <w:pStyle w:val="24"/>
              <w:spacing w:after="0"/>
              <w:jc w:val="left"/>
            </w:pPr>
            <w:r>
              <w:rPr>
                <w:rFonts w:ascii="Aptos" w:hAnsi="Aptos"/>
                <w:color w:val="1F2937"/>
                <w:sz w:val="18"/>
              </w:rPr>
              <w:t>Post-G4</w:t>
            </w:r>
          </w:p>
        </w:tc>
      </w:tr>
      <w:tr w14:paraId="60D286D2">
        <w:tblPrEx>
          <w:tblCellMar>
            <w:top w:w="0" w:type="dxa"/>
            <w:left w:w="108" w:type="dxa"/>
            <w:bottom w:w="0" w:type="dxa"/>
            <w:right w:w="108" w:type="dxa"/>
          </w:tblCellMar>
        </w:tblPrEx>
        <w:tc>
          <w:p w14:paraId="43FCB098">
            <w:pPr>
              <w:pStyle w:val="24"/>
              <w:spacing w:after="0"/>
              <w:jc w:val="left"/>
            </w:pPr>
            <w:r>
              <w:rPr>
                <w:rFonts w:ascii="Aptos" w:hAnsi="Aptos"/>
                <w:color w:val="1F2937"/>
                <w:sz w:val="18"/>
              </w:rPr>
              <w:t>Fijación de población</w:t>
            </w:r>
          </w:p>
        </w:tc>
        <w:tc>
          <w:p w14:paraId="2F5098EF">
            <w:pPr>
              <w:pStyle w:val="24"/>
              <w:spacing w:after="0"/>
              <w:jc w:val="left"/>
            </w:pPr>
            <w:r>
              <w:rPr>
                <w:rFonts w:ascii="Aptos" w:hAnsi="Aptos"/>
                <w:color w:val="1F2937"/>
                <w:sz w:val="18"/>
              </w:rPr>
              <w:t>Variación del padrón</w:t>
            </w:r>
          </w:p>
        </w:tc>
        <w:tc>
          <w:p w14:paraId="1693BA73">
            <w:pPr>
              <w:pStyle w:val="24"/>
              <w:spacing w:after="0"/>
              <w:jc w:val="left"/>
            </w:pPr>
            <w:r>
              <w:rPr>
                <w:rFonts w:ascii="Aptos" w:hAnsi="Aptos"/>
                <w:color w:val="1F2937"/>
                <w:sz w:val="18"/>
              </w:rPr>
              <w:t>Tendencia (LB)</w:t>
            </w:r>
          </w:p>
        </w:tc>
        <w:tc>
          <w:p w14:paraId="25F3F800">
            <w:pPr>
              <w:pStyle w:val="24"/>
              <w:spacing w:after="0"/>
              <w:jc w:val="left"/>
            </w:pPr>
            <w:r>
              <w:rPr>
                <w:rFonts w:ascii="Aptos" w:hAnsi="Aptos"/>
                <w:color w:val="1F2937"/>
                <w:sz w:val="18"/>
              </w:rPr>
              <w:t>Mejorar la tendencia</w:t>
            </w:r>
          </w:p>
        </w:tc>
        <w:tc>
          <w:p w14:paraId="7DC48F19">
            <w:pPr>
              <w:pStyle w:val="24"/>
              <w:spacing w:after="0"/>
              <w:jc w:val="left"/>
            </w:pPr>
            <w:r>
              <w:rPr>
                <w:rFonts w:ascii="Aptos" w:hAnsi="Aptos"/>
                <w:color w:val="1F2937"/>
                <w:sz w:val="18"/>
              </w:rPr>
              <w:t>Post-G4 (2 ciclos)</w:t>
            </w:r>
          </w:p>
        </w:tc>
      </w:tr>
      <w:tr w14:paraId="1F60A9B9">
        <w:tblPrEx>
          <w:tblCellMar>
            <w:top w:w="0" w:type="dxa"/>
            <w:left w:w="108" w:type="dxa"/>
            <w:bottom w:w="0" w:type="dxa"/>
            <w:right w:w="108" w:type="dxa"/>
          </w:tblCellMar>
        </w:tblPrEx>
        <w:tc>
          <w:p w14:paraId="5996CC07">
            <w:pPr>
              <w:pStyle w:val="24"/>
              <w:spacing w:after="0"/>
              <w:jc w:val="left"/>
            </w:pPr>
            <w:r>
              <w:rPr>
                <w:rFonts w:ascii="Aptos" w:hAnsi="Aptos"/>
                <w:color w:val="1F2937"/>
                <w:sz w:val="18"/>
              </w:rPr>
              <w:t>Trazabilidad del impacto</w:t>
            </w:r>
          </w:p>
        </w:tc>
        <w:tc>
          <w:p w14:paraId="3F79C41B">
            <w:pPr>
              <w:pStyle w:val="24"/>
              <w:spacing w:after="0"/>
              <w:jc w:val="left"/>
            </w:pPr>
            <w:r>
              <w:rPr>
                <w:rFonts w:ascii="Aptos" w:hAnsi="Aptos"/>
                <w:color w:val="1F2937"/>
                <w:sz w:val="18"/>
              </w:rPr>
              <w:t>% KPIs con medición periódica</w:t>
            </w:r>
          </w:p>
        </w:tc>
        <w:tc>
          <w:p w14:paraId="02EB1819">
            <w:pPr>
              <w:pStyle w:val="24"/>
              <w:spacing w:after="0"/>
              <w:jc w:val="left"/>
            </w:pPr>
            <w:r>
              <w:rPr>
                <w:rFonts w:ascii="Aptos" w:hAnsi="Aptos"/>
                <w:color w:val="1F2937"/>
                <w:sz w:val="18"/>
              </w:rPr>
              <w:t>0</w:t>
            </w:r>
          </w:p>
        </w:tc>
        <w:tc>
          <w:p w14:paraId="12841A9B">
            <w:pPr>
              <w:pStyle w:val="24"/>
              <w:spacing w:after="0"/>
              <w:jc w:val="left"/>
            </w:pPr>
            <w:r>
              <w:rPr>
                <w:rFonts w:ascii="Aptos" w:hAnsi="Aptos"/>
                <w:color w:val="1F2937"/>
                <w:sz w:val="18"/>
              </w:rPr>
              <w:t>100 %</w:t>
            </w:r>
          </w:p>
        </w:tc>
        <w:tc>
          <w:p w14:paraId="622829C6">
            <w:pPr>
              <w:pStyle w:val="24"/>
              <w:spacing w:after="0"/>
              <w:jc w:val="left"/>
            </w:pPr>
            <w:r>
              <w:rPr>
                <w:rFonts w:ascii="Aptos" w:hAnsi="Aptos"/>
                <w:color w:val="1F2937"/>
                <w:sz w:val="18"/>
              </w:rPr>
              <w:t>G1</w:t>
            </w:r>
          </w:p>
        </w:tc>
      </w:tr>
      <w:tr w14:paraId="4DBD08B7">
        <w:tblPrEx>
          <w:tblCellMar>
            <w:top w:w="0" w:type="dxa"/>
            <w:left w:w="108" w:type="dxa"/>
            <w:bottom w:w="0" w:type="dxa"/>
            <w:right w:w="108" w:type="dxa"/>
          </w:tblCellMar>
        </w:tblPrEx>
        <w:tc>
          <w:p w14:paraId="6AE01A24">
            <w:pPr>
              <w:pStyle w:val="24"/>
              <w:spacing w:after="0"/>
              <w:jc w:val="left"/>
            </w:pPr>
            <w:r>
              <w:rPr>
                <w:rFonts w:ascii="Aptos" w:hAnsi="Aptos"/>
                <w:color w:val="1F2937"/>
                <w:sz w:val="18"/>
              </w:rPr>
              <w:t>Replicabilidad</w:t>
            </w:r>
          </w:p>
        </w:tc>
        <w:tc>
          <w:p w14:paraId="42E2DAC3">
            <w:pPr>
              <w:pStyle w:val="24"/>
              <w:spacing w:after="0"/>
              <w:jc w:val="left"/>
            </w:pPr>
            <w:r>
              <w:rPr>
                <w:rFonts w:ascii="Aptos" w:hAnsi="Aptos"/>
                <w:color w:val="1F2937"/>
                <w:sz w:val="18"/>
              </w:rPr>
              <w:t>Nº elementos estandarizados (twin, checklist, SOP)</w:t>
            </w:r>
          </w:p>
        </w:tc>
        <w:tc>
          <w:p w14:paraId="7CA9CF1D">
            <w:pPr>
              <w:pStyle w:val="24"/>
              <w:spacing w:after="0"/>
              <w:jc w:val="left"/>
            </w:pPr>
            <w:r>
              <w:rPr>
                <w:rFonts w:ascii="Aptos" w:hAnsi="Aptos"/>
                <w:color w:val="1F2937"/>
                <w:sz w:val="18"/>
              </w:rPr>
              <w:t>Parcial</w:t>
            </w:r>
          </w:p>
        </w:tc>
        <w:tc>
          <w:p w14:paraId="45A62F9D">
            <w:pPr>
              <w:pStyle w:val="24"/>
              <w:spacing w:after="0"/>
              <w:jc w:val="left"/>
            </w:pPr>
            <w:r>
              <w:rPr>
                <w:rFonts w:ascii="Aptos" w:hAnsi="Aptos"/>
                <w:color w:val="1F2937"/>
                <w:sz w:val="18"/>
              </w:rPr>
              <w:t>Plantilla completa</w:t>
            </w:r>
          </w:p>
        </w:tc>
        <w:tc>
          <w:p w14:paraId="39DF5C35">
            <w:pPr>
              <w:pStyle w:val="24"/>
              <w:spacing w:after="0"/>
              <w:jc w:val="left"/>
            </w:pPr>
            <w:r>
              <w:rPr>
                <w:rFonts w:ascii="Aptos" w:hAnsi="Aptos"/>
                <w:color w:val="1F2937"/>
                <w:sz w:val="18"/>
              </w:rPr>
              <w:t>Post-G4</w:t>
            </w:r>
          </w:p>
        </w:tc>
      </w:tr>
    </w:tbl>
    <w:p w14:paraId="082A21C8">
      <w:pPr>
        <w:pStyle w:val="3"/>
      </w:pPr>
      <w:r>
        <w:rPr>
          <w:rFonts w:ascii="Aptos" w:hAnsi="Aptos"/>
          <w:color w:val="1F2937"/>
          <w:sz w:val="21"/>
        </w:rPr>
        <w:t xml:space="preserve">Gobernanza: periodicidad trimestral (operativos) y semestral/anual (sociales); reviewer independiente para los KPIs de Gate. </w:t>
      </w:r>
      <w:r>
        <w:rPr>
          <w:rFonts w:ascii="Aptos" w:hAnsi="Aptos"/>
          <w:i/>
          <w:color w:val="1F2937"/>
          <w:sz w:val="21"/>
        </w:rPr>
        <w:t>“El proyecto no se limita a desplegar tecnología: propone una transformación territorial verificable.”</w:t>
      </w:r>
    </w:p>
    <w:p w14:paraId="1CF9A407">
      <w:pPr>
        <w:pStyle w:val="22"/>
      </w:pPr>
      <w:r>
        <w:rPr>
          <w:rFonts w:ascii="Aptos" w:hAnsi="Aptos"/>
          <w:b/>
          <w:color w:val="1F2937"/>
          <w:sz w:val="21"/>
        </w:rPr>
        <w:t>Evidencias asociadas (§7):</w:t>
      </w:r>
      <w:r>
        <w:rPr>
          <w:rFonts w:ascii="Aptos" w:hAnsi="Aptos"/>
          <w:color w:val="1F2937"/>
          <w:sz w:val="21"/>
        </w:rPr>
        <w:t xml:space="preserve"> SEV-F1-TERRACOTA-RESULTADOS, SEV-F1-TRT-DATOS, SEV-F1-DATOS-SENSORES, dashboards Grafana · Nivel: registro automático (§11).</w:t>
      </w:r>
    </w:p>
    <w:p w14:paraId="4E9129BF">
      <w:pPr>
        <w:pStyle w:val="2"/>
      </w:pPr>
      <w:bookmarkStart w:id="69" w:name="X1c6ba846b04597291ac72594ed314b1a5b0aa06"/>
      <w:r>
        <w:rPr>
          <w:rFonts w:ascii="Aptos Display" w:hAnsi="Aptos Display"/>
          <w:b/>
          <w:color w:val="174A2E"/>
          <w:sz w:val="21"/>
        </w:rPr>
        <w:t>8. Organización interna, alianzas y generación de empleo</w:t>
      </w:r>
      <w:bookmarkEnd w:id="69"/>
    </w:p>
    <w:p w14:paraId="416EAEE6">
      <w:pPr>
        <w:pStyle w:val="4"/>
      </w:pPr>
      <w:bookmarkStart w:id="70" w:name="X638b2fc9700d584f53b7a73d14065248bef00bf"/>
      <w:r>
        <w:rPr>
          <w:rFonts w:ascii="Aptos Display" w:hAnsi="Aptos Display"/>
          <w:b/>
          <w:color w:val="174A2E"/>
          <w:sz w:val="21"/>
        </w:rPr>
        <w:t>8.1. Descripción de puestos de trabajo del proyecto</w:t>
      </w:r>
      <w:bookmarkEnd w:id="70"/>
    </w:p>
    <w:p w14:paraId="4DDC6C73">
      <w:pPr>
        <w:pStyle w:val="23"/>
      </w:pPr>
      <w:r>
        <w:rPr>
          <w:rFonts w:ascii="Aptos" w:hAnsi="Aptos"/>
          <w:color w:val="1F2937"/>
          <w:sz w:val="21"/>
        </w:rPr>
        <w:t>Selección mediante convocatoria pública local (tablón municipal, oficinas de empleo comarcales, universidad, incubadoras) con prioridad declarada a residentes en la comarca, jóvenes y mujeres; contratación estable; jornada completa salvo indicación; 200–400 h/año de formación interna. Cada puesto tiene su reflejo exacto en la estructura de costes del Plan Económico-Financiero.</w:t>
      </w:r>
    </w:p>
    <w:tbl>
      <w:tblPr>
        <w:tblStyle w:val="28"/>
        <w:tblW w:w="4999" w:type="pct"/>
        <w:jc w:val="center"/>
        <w:tblInd w:w="0" w:type="dxa"/>
        <w:tblLayout w:type="fixed"/>
        <w:tblCellMar>
          <w:top w:w="0" w:type="dxa"/>
          <w:left w:w="108" w:type="dxa"/>
          <w:bottom w:w="0" w:type="dxa"/>
          <w:right w:w="108" w:type="dxa"/>
        </w:tblCellMar>
      </w:tblPr>
      <w:tblGrid>
        <w:gridCol w:w="1131"/>
        <w:gridCol w:w="1131"/>
        <w:gridCol w:w="1131"/>
        <w:gridCol w:w="1131"/>
        <w:gridCol w:w="1131"/>
        <w:gridCol w:w="1131"/>
        <w:gridCol w:w="1131"/>
      </w:tblGrid>
      <w:tr w14:paraId="2B4DFDAD">
        <w:tblPrEx>
          <w:tblCellMar>
            <w:top w:w="0" w:type="dxa"/>
            <w:left w:w="108" w:type="dxa"/>
            <w:bottom w:w="0" w:type="dxa"/>
            <w:right w:w="108" w:type="dxa"/>
          </w:tblCellMar>
        </w:tblPrEx>
        <w:tc>
          <w:tcPr>
            <w:tcW w:w="1337" w:type="dxa"/>
            <w:tcBorders>
              <w:bottom w:val="single" w:color="auto" w:sz="0" w:space="0"/>
            </w:tcBorders>
            <w:vAlign w:val="bottom"/>
          </w:tcPr>
          <w:p w14:paraId="13E0B720">
            <w:pPr>
              <w:pStyle w:val="24"/>
              <w:spacing w:after="0"/>
              <w:jc w:val="left"/>
            </w:pPr>
            <w:r>
              <w:rPr>
                <w:rFonts w:ascii="Aptos" w:hAnsi="Aptos"/>
                <w:color w:val="1F2937"/>
                <w:sz w:val="18"/>
              </w:rPr>
              <w:t>Puesto</w:t>
            </w:r>
          </w:p>
        </w:tc>
        <w:tc>
          <w:tcPr>
            <w:tcW w:w="1337" w:type="dxa"/>
            <w:tcBorders>
              <w:bottom w:val="single" w:color="auto" w:sz="0" w:space="0"/>
            </w:tcBorders>
            <w:vAlign w:val="bottom"/>
          </w:tcPr>
          <w:p w14:paraId="6EEB12D8">
            <w:pPr>
              <w:pStyle w:val="24"/>
              <w:spacing w:after="0"/>
              <w:jc w:val="left"/>
            </w:pPr>
            <w:r>
              <w:rPr>
                <w:rFonts w:ascii="Aptos" w:hAnsi="Aptos"/>
                <w:color w:val="1F2937"/>
                <w:sz w:val="18"/>
              </w:rPr>
              <w:t>Nº</w:t>
            </w:r>
          </w:p>
        </w:tc>
        <w:tc>
          <w:tcPr>
            <w:tcW w:w="1337" w:type="dxa"/>
            <w:tcBorders>
              <w:bottom w:val="single" w:color="auto" w:sz="0" w:space="0"/>
            </w:tcBorders>
            <w:vAlign w:val="bottom"/>
          </w:tcPr>
          <w:p w14:paraId="0DDF0B1D">
            <w:pPr>
              <w:pStyle w:val="24"/>
              <w:spacing w:after="0"/>
              <w:jc w:val="left"/>
            </w:pPr>
            <w:r>
              <w:rPr>
                <w:rFonts w:ascii="Aptos" w:hAnsi="Aptos"/>
                <w:color w:val="1F2937"/>
                <w:sz w:val="18"/>
              </w:rPr>
              <w:t>Fase</w:t>
            </w:r>
          </w:p>
        </w:tc>
        <w:tc>
          <w:tcPr>
            <w:tcW w:w="1337" w:type="dxa"/>
            <w:tcBorders>
              <w:bottom w:val="single" w:color="auto" w:sz="0" w:space="0"/>
            </w:tcBorders>
            <w:vAlign w:val="bottom"/>
          </w:tcPr>
          <w:p w14:paraId="12C8656C">
            <w:pPr>
              <w:pStyle w:val="24"/>
              <w:spacing w:after="0"/>
              <w:jc w:val="left"/>
            </w:pPr>
            <w:r>
              <w:rPr>
                <w:rFonts w:ascii="Aptos" w:hAnsi="Aptos"/>
                <w:color w:val="1F2937"/>
                <w:sz w:val="18"/>
              </w:rPr>
              <w:t>Funciones</w:t>
            </w:r>
          </w:p>
        </w:tc>
        <w:tc>
          <w:tcPr>
            <w:tcW w:w="1337" w:type="dxa"/>
            <w:tcBorders>
              <w:bottom w:val="single" w:color="auto" w:sz="0" w:space="0"/>
            </w:tcBorders>
            <w:vAlign w:val="bottom"/>
          </w:tcPr>
          <w:p w14:paraId="31E7A167">
            <w:pPr>
              <w:pStyle w:val="24"/>
              <w:spacing w:after="0"/>
              <w:jc w:val="left"/>
            </w:pPr>
            <w:r>
              <w:rPr>
                <w:rFonts w:ascii="Aptos" w:hAnsi="Aptos"/>
                <w:color w:val="1F2937"/>
                <w:sz w:val="18"/>
              </w:rPr>
              <w:t>Perfil</w:t>
            </w:r>
          </w:p>
        </w:tc>
        <w:tc>
          <w:tcPr>
            <w:tcW w:w="1337" w:type="dxa"/>
            <w:tcBorders>
              <w:bottom w:val="single" w:color="auto" w:sz="0" w:space="0"/>
            </w:tcBorders>
            <w:vAlign w:val="bottom"/>
          </w:tcPr>
          <w:p w14:paraId="4564A9C5">
            <w:pPr>
              <w:pStyle w:val="24"/>
              <w:spacing w:after="0"/>
              <w:jc w:val="left"/>
            </w:pPr>
            <w:r>
              <w:rPr>
                <w:rFonts w:ascii="Aptos" w:hAnsi="Aptos"/>
                <w:color w:val="1F2937"/>
                <w:sz w:val="18"/>
              </w:rPr>
              <w:t>Contrato/jornada</w:t>
            </w:r>
          </w:p>
        </w:tc>
        <w:tc>
          <w:tcPr>
            <w:tcW w:w="1337" w:type="dxa"/>
            <w:tcBorders>
              <w:bottom w:val="single" w:color="auto" w:sz="0" w:space="0"/>
            </w:tcBorders>
            <w:vAlign w:val="bottom"/>
          </w:tcPr>
          <w:p w14:paraId="1721DF9B">
            <w:pPr>
              <w:pStyle w:val="24"/>
              <w:spacing w:after="0"/>
              <w:jc w:val="left"/>
            </w:pPr>
            <w:r>
              <w:rPr>
                <w:rFonts w:ascii="Aptos" w:hAnsi="Aptos"/>
                <w:color w:val="1F2937"/>
                <w:sz w:val="18"/>
              </w:rPr>
              <w:t>Salario bruto (k€/año)</w:t>
            </w:r>
          </w:p>
        </w:tc>
      </w:tr>
      <w:tr w14:paraId="57726882">
        <w:tblPrEx>
          <w:tblCellMar>
            <w:top w:w="0" w:type="dxa"/>
            <w:left w:w="108" w:type="dxa"/>
            <w:bottom w:w="0" w:type="dxa"/>
            <w:right w:w="108" w:type="dxa"/>
          </w:tblCellMar>
        </w:tblPrEx>
        <w:tc>
          <w:p w14:paraId="6416C20B">
            <w:pPr>
              <w:pStyle w:val="24"/>
              <w:spacing w:after="0"/>
              <w:jc w:val="left"/>
            </w:pPr>
            <w:r>
              <w:rPr>
                <w:rFonts w:ascii="Aptos" w:hAnsi="Aptos"/>
                <w:color w:val="1F2937"/>
                <w:sz w:val="18"/>
              </w:rPr>
              <w:t>Responsable técnico (promotor)</w:t>
            </w:r>
          </w:p>
        </w:tc>
        <w:tc>
          <w:p w14:paraId="2FD32027">
            <w:pPr>
              <w:pStyle w:val="24"/>
              <w:spacing w:after="0"/>
              <w:jc w:val="left"/>
            </w:pPr>
            <w:r>
              <w:rPr>
                <w:rFonts w:ascii="Aptos" w:hAnsi="Aptos"/>
                <w:color w:val="1F2937"/>
                <w:sz w:val="18"/>
              </w:rPr>
              <w:t>1</w:t>
            </w:r>
          </w:p>
        </w:tc>
        <w:tc>
          <w:p w14:paraId="044A9B6F">
            <w:pPr>
              <w:pStyle w:val="24"/>
              <w:spacing w:after="0"/>
              <w:jc w:val="left"/>
            </w:pPr>
            <w:r>
              <w:rPr>
                <w:rFonts w:ascii="Aptos" w:hAnsi="Aptos"/>
                <w:color w:val="1F2937"/>
                <w:sz w:val="18"/>
              </w:rPr>
              <w:t>F1</w:t>
            </w:r>
          </w:p>
        </w:tc>
        <w:tc>
          <w:p w14:paraId="612F3A87">
            <w:pPr>
              <w:pStyle w:val="24"/>
              <w:spacing w:after="0"/>
              <w:jc w:val="left"/>
            </w:pPr>
            <w:r>
              <w:rPr>
                <w:rFonts w:ascii="Aptos" w:hAnsi="Aptos"/>
                <w:color w:val="1F2937"/>
                <w:sz w:val="18"/>
              </w:rPr>
              <w:t>Dirección técnica y comercial, hitos, institucional</w:t>
            </w:r>
          </w:p>
        </w:tc>
        <w:tc>
          <w:p w14:paraId="61A424AF">
            <w:pPr>
              <w:pStyle w:val="24"/>
              <w:spacing w:after="0"/>
              <w:jc w:val="left"/>
            </w:pPr>
            <w:r>
              <w:rPr>
                <w:rFonts w:ascii="Aptos" w:hAnsi="Aptos"/>
                <w:color w:val="1F2937"/>
                <w:sz w:val="18"/>
              </w:rPr>
              <w:t>Técnico-agrario con gestión</w:t>
            </w:r>
          </w:p>
        </w:tc>
        <w:tc>
          <w:p w14:paraId="6DF512BA">
            <w:pPr>
              <w:pStyle w:val="24"/>
              <w:spacing w:after="0"/>
              <w:jc w:val="left"/>
            </w:pPr>
            <w:r>
              <w:rPr>
                <w:rFonts w:ascii="Aptos" w:hAnsi="Aptos"/>
                <w:color w:val="1F2937"/>
                <w:sz w:val="18"/>
              </w:rPr>
              <w:t>Indefinido/completa</w:t>
            </w:r>
          </w:p>
        </w:tc>
        <w:tc>
          <w:p w14:paraId="50348B5A">
            <w:pPr>
              <w:pStyle w:val="24"/>
              <w:spacing w:after="0"/>
              <w:jc w:val="left"/>
            </w:pPr>
            <w:r>
              <w:rPr>
                <w:rFonts w:ascii="Aptos" w:hAnsi="Aptos"/>
                <w:color w:val="1F2937"/>
                <w:sz w:val="18"/>
              </w:rPr>
              <w:t>35–45</w:t>
            </w:r>
          </w:p>
        </w:tc>
      </w:tr>
      <w:tr w14:paraId="383A1030">
        <w:tblPrEx>
          <w:tblCellMar>
            <w:top w:w="0" w:type="dxa"/>
            <w:left w:w="108" w:type="dxa"/>
            <w:bottom w:w="0" w:type="dxa"/>
            <w:right w:w="108" w:type="dxa"/>
          </w:tblCellMar>
        </w:tblPrEx>
        <w:tc>
          <w:p w14:paraId="25EEE435">
            <w:pPr>
              <w:pStyle w:val="24"/>
              <w:spacing w:after="0"/>
              <w:jc w:val="left"/>
            </w:pPr>
            <w:r>
              <w:rPr>
                <w:rFonts w:ascii="Aptos" w:hAnsi="Aptos"/>
                <w:color w:val="1F2937"/>
                <w:sz w:val="18"/>
              </w:rPr>
              <w:t>Desarrollador/a software</w:t>
            </w:r>
          </w:p>
        </w:tc>
        <w:tc>
          <w:p w14:paraId="539A36C8">
            <w:pPr>
              <w:pStyle w:val="24"/>
              <w:spacing w:after="0"/>
              <w:jc w:val="left"/>
            </w:pPr>
            <w:r>
              <w:rPr>
                <w:rFonts w:ascii="Aptos" w:hAnsi="Aptos"/>
                <w:color w:val="1F2937"/>
                <w:sz w:val="18"/>
              </w:rPr>
              <w:t>1–2</w:t>
            </w:r>
          </w:p>
        </w:tc>
        <w:tc>
          <w:p w14:paraId="6480E78E">
            <w:pPr>
              <w:pStyle w:val="24"/>
              <w:spacing w:after="0"/>
              <w:jc w:val="left"/>
            </w:pPr>
            <w:r>
              <w:rPr>
                <w:rFonts w:ascii="Aptos" w:hAnsi="Aptos"/>
                <w:color w:val="1F2937"/>
                <w:sz w:val="18"/>
              </w:rPr>
              <w:t>F1</w:t>
            </w:r>
          </w:p>
        </w:tc>
        <w:tc>
          <w:p w14:paraId="7D0700CD">
            <w:pPr>
              <w:pStyle w:val="24"/>
              <w:spacing w:after="0"/>
              <w:jc w:val="left"/>
            </w:pPr>
            <w:r>
              <w:rPr>
                <w:rFonts w:ascii="Aptos" w:hAnsi="Aptos"/>
                <w:color w:val="1F2937"/>
                <w:sz w:val="18"/>
              </w:rPr>
              <w:t>SaaS, IoT, pipeline de evidencias</w:t>
            </w:r>
          </w:p>
        </w:tc>
        <w:tc>
          <w:p w14:paraId="5BFE2F25">
            <w:pPr>
              <w:pStyle w:val="24"/>
              <w:spacing w:after="0"/>
              <w:jc w:val="left"/>
            </w:pPr>
            <w:r>
              <w:rPr>
                <w:rFonts w:ascii="Aptos" w:hAnsi="Aptos"/>
                <w:color w:val="1F2937"/>
                <w:sz w:val="18"/>
              </w:rPr>
              <w:t>Ing. informática; Python</w:t>
            </w:r>
          </w:p>
        </w:tc>
        <w:tc>
          <w:p w14:paraId="45DDB122">
            <w:pPr>
              <w:pStyle w:val="24"/>
              <w:spacing w:after="0"/>
              <w:jc w:val="left"/>
            </w:pPr>
            <w:r>
              <w:rPr>
                <w:rFonts w:ascii="Aptos" w:hAnsi="Aptos"/>
                <w:color w:val="1F2937"/>
                <w:sz w:val="18"/>
              </w:rPr>
              <w:t>Indefinido/completa</w:t>
            </w:r>
          </w:p>
        </w:tc>
        <w:tc>
          <w:p w14:paraId="1C7E4A4F">
            <w:pPr>
              <w:pStyle w:val="24"/>
              <w:spacing w:after="0"/>
              <w:jc w:val="left"/>
            </w:pPr>
            <w:r>
              <w:rPr>
                <w:rFonts w:ascii="Aptos" w:hAnsi="Aptos"/>
                <w:color w:val="1F2937"/>
                <w:sz w:val="18"/>
              </w:rPr>
              <w:t>30–40</w:t>
            </w:r>
          </w:p>
        </w:tc>
      </w:tr>
      <w:tr w14:paraId="6642399F">
        <w:tblPrEx>
          <w:tblCellMar>
            <w:top w:w="0" w:type="dxa"/>
            <w:left w:w="108" w:type="dxa"/>
            <w:bottom w:w="0" w:type="dxa"/>
            <w:right w:w="108" w:type="dxa"/>
          </w:tblCellMar>
        </w:tblPrEx>
        <w:tc>
          <w:p w14:paraId="12F69766">
            <w:pPr>
              <w:pStyle w:val="24"/>
              <w:spacing w:after="0"/>
              <w:jc w:val="left"/>
            </w:pPr>
            <w:r>
              <w:rPr>
                <w:rFonts w:ascii="Aptos" w:hAnsi="Aptos"/>
                <w:color w:val="1F2937"/>
                <w:sz w:val="18"/>
              </w:rPr>
              <w:t>Técnico/a agrónomo</w:t>
            </w:r>
          </w:p>
        </w:tc>
        <w:tc>
          <w:p w14:paraId="31F79B5D">
            <w:pPr>
              <w:pStyle w:val="24"/>
              <w:spacing w:after="0"/>
              <w:jc w:val="left"/>
            </w:pPr>
            <w:r>
              <w:rPr>
                <w:rFonts w:ascii="Aptos" w:hAnsi="Aptos"/>
                <w:color w:val="1F2937"/>
                <w:sz w:val="18"/>
              </w:rPr>
              <w:t>1</w:t>
            </w:r>
          </w:p>
        </w:tc>
        <w:tc>
          <w:p w14:paraId="3CD89DE0">
            <w:pPr>
              <w:pStyle w:val="24"/>
              <w:spacing w:after="0"/>
              <w:jc w:val="left"/>
            </w:pPr>
            <w:r>
              <w:rPr>
                <w:rFonts w:ascii="Aptos" w:hAnsi="Aptos"/>
                <w:color w:val="1F2937"/>
                <w:sz w:val="18"/>
              </w:rPr>
              <w:t>F3</w:t>
            </w:r>
          </w:p>
        </w:tc>
        <w:tc>
          <w:p w14:paraId="4076924D">
            <w:pPr>
              <w:pStyle w:val="24"/>
              <w:spacing w:after="0"/>
              <w:jc w:val="left"/>
            </w:pPr>
            <w:r>
              <w:rPr>
                <w:rFonts w:ascii="Aptos" w:hAnsi="Aptos"/>
                <w:color w:val="1F2937"/>
                <w:sz w:val="18"/>
              </w:rPr>
              <w:t>Hidroponía, APPCC, control climático</w:t>
            </w:r>
          </w:p>
        </w:tc>
        <w:tc>
          <w:p w14:paraId="420AE533">
            <w:pPr>
              <w:pStyle w:val="24"/>
              <w:spacing w:after="0"/>
              <w:jc w:val="left"/>
            </w:pPr>
            <w:r>
              <w:rPr>
                <w:rFonts w:ascii="Aptos" w:hAnsi="Aptos"/>
                <w:color w:val="1F2937"/>
                <w:sz w:val="18"/>
              </w:rPr>
              <w:t>Ing. agrónoma/o</w:t>
            </w:r>
          </w:p>
        </w:tc>
        <w:tc>
          <w:p w14:paraId="3F8937F0">
            <w:pPr>
              <w:pStyle w:val="24"/>
              <w:spacing w:after="0"/>
              <w:jc w:val="left"/>
            </w:pPr>
            <w:r>
              <w:rPr>
                <w:rFonts w:ascii="Aptos" w:hAnsi="Aptos"/>
                <w:color w:val="1F2937"/>
                <w:sz w:val="18"/>
              </w:rPr>
              <w:t>Indefinido/completa</w:t>
            </w:r>
          </w:p>
        </w:tc>
        <w:tc>
          <w:p w14:paraId="6A6D339A">
            <w:pPr>
              <w:pStyle w:val="24"/>
              <w:spacing w:after="0"/>
              <w:jc w:val="left"/>
            </w:pPr>
            <w:r>
              <w:rPr>
                <w:rFonts w:ascii="Aptos" w:hAnsi="Aptos"/>
                <w:color w:val="1F2937"/>
                <w:sz w:val="18"/>
              </w:rPr>
              <w:t>28–35</w:t>
            </w:r>
          </w:p>
        </w:tc>
      </w:tr>
      <w:tr w14:paraId="1D5B4D71">
        <w:tblPrEx>
          <w:tblCellMar>
            <w:top w:w="0" w:type="dxa"/>
            <w:left w:w="108" w:type="dxa"/>
            <w:bottom w:w="0" w:type="dxa"/>
            <w:right w:w="108" w:type="dxa"/>
          </w:tblCellMar>
        </w:tblPrEx>
        <w:tc>
          <w:p w14:paraId="4C0256F7">
            <w:pPr>
              <w:pStyle w:val="24"/>
              <w:spacing w:after="0"/>
              <w:jc w:val="left"/>
            </w:pPr>
            <w:r>
              <w:rPr>
                <w:rFonts w:ascii="Aptos" w:hAnsi="Aptos"/>
                <w:color w:val="1F2937"/>
                <w:sz w:val="18"/>
              </w:rPr>
              <w:t>Operarios/as de producción</w:t>
            </w:r>
          </w:p>
        </w:tc>
        <w:tc>
          <w:p w14:paraId="30AA467F">
            <w:pPr>
              <w:pStyle w:val="24"/>
              <w:spacing w:after="0"/>
              <w:jc w:val="left"/>
            </w:pPr>
            <w:r>
              <w:rPr>
                <w:rFonts w:ascii="Aptos" w:hAnsi="Aptos"/>
                <w:color w:val="1F2937"/>
                <w:sz w:val="18"/>
              </w:rPr>
              <w:t>2–4</w:t>
            </w:r>
          </w:p>
        </w:tc>
        <w:tc>
          <w:p w14:paraId="0C677BA4">
            <w:pPr>
              <w:pStyle w:val="24"/>
              <w:spacing w:after="0"/>
              <w:jc w:val="left"/>
            </w:pPr>
            <w:r>
              <w:rPr>
                <w:rFonts w:ascii="Aptos" w:hAnsi="Aptos"/>
                <w:color w:val="1F2937"/>
                <w:sz w:val="18"/>
              </w:rPr>
              <w:t>F3–F4</w:t>
            </w:r>
          </w:p>
        </w:tc>
        <w:tc>
          <w:p w14:paraId="5345AA19">
            <w:pPr>
              <w:pStyle w:val="24"/>
              <w:spacing w:after="0"/>
              <w:jc w:val="left"/>
            </w:pPr>
            <w:r>
              <w:rPr>
                <w:rFonts w:ascii="Aptos" w:hAnsi="Aptos"/>
                <w:color w:val="1F2937"/>
                <w:sz w:val="18"/>
              </w:rPr>
              <w:t>Siembra, cosecha, expedición, mantenimiento básico</w:t>
            </w:r>
          </w:p>
        </w:tc>
        <w:tc>
          <w:p w14:paraId="7BF40F07">
            <w:pPr>
              <w:pStyle w:val="24"/>
              <w:spacing w:after="0"/>
              <w:jc w:val="left"/>
            </w:pPr>
            <w:r>
              <w:rPr>
                <w:rFonts w:ascii="Aptos" w:hAnsi="Aptos"/>
                <w:color w:val="1F2937"/>
                <w:sz w:val="18"/>
              </w:rPr>
              <w:t>Formación agraria; se forma internamente</w:t>
            </w:r>
          </w:p>
        </w:tc>
        <w:tc>
          <w:p w14:paraId="78E16900">
            <w:pPr>
              <w:pStyle w:val="24"/>
              <w:spacing w:after="0"/>
              <w:jc w:val="left"/>
            </w:pPr>
            <w:r>
              <w:rPr>
                <w:rFonts w:ascii="Aptos" w:hAnsi="Aptos"/>
                <w:color w:val="1F2937"/>
                <w:sz w:val="18"/>
              </w:rPr>
              <w:t>Estable/completa</w:t>
            </w:r>
          </w:p>
        </w:tc>
        <w:tc>
          <w:p w14:paraId="60B4BCDE">
            <w:pPr>
              <w:pStyle w:val="24"/>
              <w:spacing w:after="0"/>
              <w:jc w:val="left"/>
            </w:pPr>
            <w:r>
              <w:rPr>
                <w:rFonts w:ascii="Aptos" w:hAnsi="Aptos"/>
                <w:color w:val="1F2937"/>
                <w:sz w:val="18"/>
              </w:rPr>
              <w:t>22–26</w:t>
            </w:r>
          </w:p>
        </w:tc>
      </w:tr>
      <w:tr w14:paraId="1198AE07">
        <w:tblPrEx>
          <w:tblCellMar>
            <w:top w:w="0" w:type="dxa"/>
            <w:left w:w="108" w:type="dxa"/>
            <w:bottom w:w="0" w:type="dxa"/>
            <w:right w:w="108" w:type="dxa"/>
          </w:tblCellMar>
        </w:tblPrEx>
        <w:tc>
          <w:p w14:paraId="097D8DF7">
            <w:pPr>
              <w:pStyle w:val="24"/>
              <w:spacing w:after="0"/>
              <w:jc w:val="left"/>
            </w:pPr>
            <w:r>
              <w:rPr>
                <w:rFonts w:ascii="Aptos" w:hAnsi="Aptos"/>
                <w:color w:val="1F2937"/>
                <w:sz w:val="18"/>
              </w:rPr>
              <w:t>Técnico/a mantenimiento</w:t>
            </w:r>
          </w:p>
        </w:tc>
        <w:tc>
          <w:p w14:paraId="618FB07A">
            <w:pPr>
              <w:pStyle w:val="24"/>
              <w:spacing w:after="0"/>
              <w:jc w:val="left"/>
            </w:pPr>
            <w:r>
              <w:rPr>
                <w:rFonts w:ascii="Aptos" w:hAnsi="Aptos"/>
                <w:color w:val="1F2937"/>
                <w:sz w:val="18"/>
              </w:rPr>
              <w:t>1</w:t>
            </w:r>
          </w:p>
        </w:tc>
        <w:tc>
          <w:p w14:paraId="31AA5A90">
            <w:pPr>
              <w:pStyle w:val="24"/>
              <w:spacing w:after="0"/>
              <w:jc w:val="left"/>
            </w:pPr>
            <w:r>
              <w:rPr>
                <w:rFonts w:ascii="Aptos" w:hAnsi="Aptos"/>
                <w:color w:val="1F2937"/>
                <w:sz w:val="18"/>
              </w:rPr>
              <w:t>F4</w:t>
            </w:r>
          </w:p>
        </w:tc>
        <w:tc>
          <w:p w14:paraId="18F46AB5">
            <w:pPr>
              <w:pStyle w:val="24"/>
              <w:spacing w:after="0"/>
              <w:jc w:val="left"/>
            </w:pPr>
            <w:r>
              <w:rPr>
                <w:rFonts w:ascii="Aptos" w:hAnsi="Aptos"/>
                <w:color w:val="1F2937"/>
                <w:sz w:val="18"/>
              </w:rPr>
              <w:t>FV, clima, sensórica; preventivo</w:t>
            </w:r>
          </w:p>
        </w:tc>
        <w:tc>
          <w:p w14:paraId="594C258B">
            <w:pPr>
              <w:pStyle w:val="24"/>
              <w:spacing w:after="0"/>
              <w:jc w:val="left"/>
            </w:pPr>
            <w:r>
              <w:rPr>
                <w:rFonts w:ascii="Aptos" w:hAnsi="Aptos"/>
                <w:color w:val="1F2937"/>
                <w:sz w:val="18"/>
              </w:rPr>
              <w:t>FP eléctrico/mecánico</w:t>
            </w:r>
          </w:p>
        </w:tc>
        <w:tc>
          <w:p w14:paraId="2DDD32F5">
            <w:pPr>
              <w:pStyle w:val="24"/>
              <w:spacing w:after="0"/>
              <w:jc w:val="left"/>
            </w:pPr>
            <w:r>
              <w:rPr>
                <w:rFonts w:ascii="Aptos" w:hAnsi="Aptos"/>
                <w:color w:val="1F2937"/>
                <w:sz w:val="18"/>
              </w:rPr>
              <w:t>Indefinido/completa</w:t>
            </w:r>
          </w:p>
        </w:tc>
        <w:tc>
          <w:p w14:paraId="03A5FC83">
            <w:pPr>
              <w:pStyle w:val="24"/>
              <w:spacing w:after="0"/>
              <w:jc w:val="left"/>
            </w:pPr>
            <w:r>
              <w:rPr>
                <w:rFonts w:ascii="Aptos" w:hAnsi="Aptos"/>
                <w:color w:val="1F2937"/>
                <w:sz w:val="18"/>
              </w:rPr>
              <w:t>26–32</w:t>
            </w:r>
          </w:p>
        </w:tc>
      </w:tr>
      <w:tr w14:paraId="141856B7">
        <w:tblPrEx>
          <w:tblCellMar>
            <w:top w:w="0" w:type="dxa"/>
            <w:left w:w="108" w:type="dxa"/>
            <w:bottom w:w="0" w:type="dxa"/>
            <w:right w:w="108" w:type="dxa"/>
          </w:tblCellMar>
        </w:tblPrEx>
        <w:tc>
          <w:p w14:paraId="6A05D299">
            <w:pPr>
              <w:pStyle w:val="24"/>
              <w:spacing w:after="0"/>
              <w:jc w:val="left"/>
            </w:pPr>
            <w:r>
              <w:rPr>
                <w:rFonts w:ascii="Aptos" w:hAnsi="Aptos"/>
                <w:color w:val="1F2937"/>
                <w:sz w:val="18"/>
              </w:rPr>
              <w:t>Administración/comercial</w:t>
            </w:r>
          </w:p>
        </w:tc>
        <w:tc>
          <w:p w14:paraId="13466AFA">
            <w:pPr>
              <w:pStyle w:val="24"/>
              <w:spacing w:after="0"/>
              <w:jc w:val="left"/>
            </w:pPr>
            <w:r>
              <w:rPr>
                <w:rFonts w:ascii="Aptos" w:hAnsi="Aptos"/>
                <w:color w:val="1F2937"/>
                <w:sz w:val="18"/>
              </w:rPr>
              <w:t>0–1</w:t>
            </w:r>
          </w:p>
        </w:tc>
        <w:tc>
          <w:p w14:paraId="4F729837">
            <w:pPr>
              <w:pStyle w:val="24"/>
              <w:spacing w:after="0"/>
              <w:jc w:val="left"/>
            </w:pPr>
            <w:r>
              <w:rPr>
                <w:rFonts w:ascii="Aptos" w:hAnsi="Aptos"/>
                <w:color w:val="1F2937"/>
                <w:sz w:val="18"/>
              </w:rPr>
              <w:t>F4</w:t>
            </w:r>
          </w:p>
        </w:tc>
        <w:tc>
          <w:p w14:paraId="2299939C">
            <w:pPr>
              <w:pStyle w:val="24"/>
              <w:spacing w:after="0"/>
              <w:jc w:val="left"/>
            </w:pPr>
            <w:r>
              <w:rPr>
                <w:rFonts w:ascii="Aptos" w:hAnsi="Aptos"/>
                <w:color w:val="1F2937"/>
                <w:sz w:val="18"/>
              </w:rPr>
              <w:t>Ventas, clientes, administración</w:t>
            </w:r>
          </w:p>
        </w:tc>
        <w:tc>
          <w:p w14:paraId="14EAA192">
            <w:pPr>
              <w:pStyle w:val="24"/>
              <w:spacing w:after="0"/>
              <w:jc w:val="left"/>
            </w:pPr>
            <w:r>
              <w:rPr>
                <w:rFonts w:ascii="Aptos" w:hAnsi="Aptos"/>
                <w:color w:val="1F2937"/>
                <w:sz w:val="18"/>
              </w:rPr>
              <w:t>ADE/comercial</w:t>
            </w:r>
          </w:p>
        </w:tc>
        <w:tc>
          <w:p w14:paraId="70DE4B90">
            <w:pPr>
              <w:pStyle w:val="24"/>
              <w:spacing w:after="0"/>
              <w:jc w:val="left"/>
            </w:pPr>
            <w:r>
              <w:rPr>
                <w:rFonts w:ascii="Aptos" w:hAnsi="Aptos"/>
                <w:color w:val="1F2937"/>
                <w:sz w:val="18"/>
              </w:rPr>
              <w:t>Indefinido/completa</w:t>
            </w:r>
          </w:p>
        </w:tc>
        <w:tc>
          <w:p w14:paraId="34070873">
            <w:pPr>
              <w:pStyle w:val="24"/>
              <w:spacing w:after="0"/>
              <w:jc w:val="left"/>
            </w:pPr>
            <w:r>
              <w:rPr>
                <w:rFonts w:ascii="Aptos" w:hAnsi="Aptos"/>
                <w:color w:val="1F2937"/>
                <w:sz w:val="18"/>
              </w:rPr>
              <w:t>24–30</w:t>
            </w:r>
          </w:p>
        </w:tc>
      </w:tr>
      <w:tr w14:paraId="2A44A115">
        <w:tblPrEx>
          <w:tblCellMar>
            <w:top w:w="0" w:type="dxa"/>
            <w:left w:w="108" w:type="dxa"/>
            <w:bottom w:w="0" w:type="dxa"/>
            <w:right w:w="108" w:type="dxa"/>
          </w:tblCellMar>
        </w:tblPrEx>
        <w:tc>
          <w:p w14:paraId="38FCE4F6">
            <w:pPr>
              <w:pStyle w:val="24"/>
              <w:spacing w:after="0"/>
              <w:jc w:val="left"/>
            </w:pPr>
            <w:r>
              <w:rPr>
                <w:rFonts w:ascii="Aptos" w:hAnsi="Aptos"/>
                <w:b/>
                <w:color w:val="1F2937"/>
                <w:sz w:val="18"/>
              </w:rPr>
              <w:t>Total</w:t>
            </w:r>
          </w:p>
        </w:tc>
        <w:tc>
          <w:p w14:paraId="757D418B">
            <w:pPr>
              <w:pStyle w:val="24"/>
              <w:spacing w:after="0"/>
              <w:jc w:val="left"/>
            </w:pPr>
            <w:r>
              <w:rPr>
                <w:rFonts w:ascii="Aptos" w:hAnsi="Aptos"/>
                <w:b/>
                <w:color w:val="1F2937"/>
                <w:sz w:val="18"/>
              </w:rPr>
              <w:t>6–10</w:t>
            </w:r>
          </w:p>
        </w:tc>
        <w:tc>
          <w:p w14:paraId="195A06BA">
            <w:pPr>
              <w:spacing w:after="0"/>
            </w:pPr>
          </w:p>
        </w:tc>
        <w:tc>
          <w:p w14:paraId="107E7BBE">
            <w:pPr>
              <w:spacing w:after="0"/>
            </w:pPr>
          </w:p>
        </w:tc>
        <w:tc>
          <w:p w14:paraId="355E5A1A">
            <w:pPr>
              <w:spacing w:after="0"/>
            </w:pPr>
          </w:p>
        </w:tc>
        <w:tc>
          <w:p w14:paraId="25C98DDA">
            <w:pPr>
              <w:spacing w:after="0"/>
            </w:pPr>
          </w:p>
        </w:tc>
        <w:tc>
          <w:p w14:paraId="781CF8BD">
            <w:pPr>
              <w:pStyle w:val="24"/>
              <w:spacing w:after="0"/>
              <w:jc w:val="left"/>
            </w:pPr>
            <w:r>
              <w:rPr>
                <w:rFonts w:ascii="Aptos" w:hAnsi="Aptos"/>
                <w:b/>
                <w:color w:val="1F2937"/>
                <w:sz w:val="18"/>
              </w:rPr>
              <w:t>180–300 agregado</w:t>
            </w:r>
          </w:p>
        </w:tc>
      </w:tr>
    </w:tbl>
    <w:p w14:paraId="0AA9C64B">
      <w:pPr>
        <w:pStyle w:val="3"/>
      </w:pPr>
      <w:r>
        <w:rPr>
          <w:rFonts w:ascii="Aptos" w:hAnsi="Aptos"/>
          <w:b/>
          <w:color w:val="1F2937"/>
          <w:sz w:val="21"/>
        </w:rPr>
        <w:t>Estructura mínima de ejecución de la Fase 1 (planificación).</w:t>
      </w:r>
      <w:r>
        <w:rPr>
          <w:rFonts w:ascii="Aptos" w:hAnsi="Aptos"/>
          <w:color w:val="1F2937"/>
          <w:sz w:val="21"/>
        </w:rPr>
        <w:t xml:space="preserve"> La Fase 1 contempla una estructura mínima formada por el </w:t>
      </w:r>
      <w:r>
        <w:rPr>
          <w:rFonts w:ascii="Aptos" w:hAnsi="Aptos"/>
          <w:b/>
          <w:color w:val="1F2937"/>
          <w:sz w:val="21"/>
        </w:rPr>
        <w:t>promotor</w:t>
      </w:r>
      <w:r>
        <w:rPr>
          <w:rFonts w:ascii="Aptos" w:hAnsi="Aptos"/>
          <w:color w:val="1F2937"/>
          <w:sz w:val="21"/>
        </w:rPr>
        <w:t xml:space="preserve">, un </w:t>
      </w:r>
      <w:r>
        <w:rPr>
          <w:rFonts w:ascii="Aptos" w:hAnsi="Aptos"/>
          <w:b/>
          <w:color w:val="1F2937"/>
          <w:sz w:val="21"/>
        </w:rPr>
        <w:t>perfil técnico de software</w:t>
      </w:r>
      <w:r>
        <w:rPr>
          <w:rFonts w:ascii="Aptos" w:hAnsi="Aptos"/>
          <w:color w:val="1F2937"/>
          <w:sz w:val="21"/>
        </w:rPr>
        <w:t xml:space="preserve"> y un </w:t>
      </w:r>
      <w:r>
        <w:rPr>
          <w:rFonts w:ascii="Aptos" w:hAnsi="Aptos"/>
          <w:b/>
          <w:color w:val="1F2937"/>
          <w:sz w:val="21"/>
        </w:rPr>
        <w:t>apoyo parcial de campo/comercial</w:t>
      </w:r>
      <w:r>
        <w:rPr>
          <w:rFonts w:ascii="Aptos" w:hAnsi="Aptos"/>
          <w:color w:val="1F2937"/>
          <w:sz w:val="21"/>
        </w:rPr>
        <w:t>. El presupuesto incorpora retribuciones, RETA o cotizaciones empresariales aplicables, equipamiento, SaaS por usuario, formación y medios de operación.</w:t>
      </w:r>
    </w:p>
    <w:tbl>
      <w:tblPr>
        <w:tblStyle w:val="28"/>
        <w:tblW w:w="5000" w:type="pct"/>
        <w:jc w:val="center"/>
        <w:tblInd w:w="0" w:type="dxa"/>
        <w:tblLayout w:type="fixed"/>
        <w:tblCellMar>
          <w:top w:w="0" w:type="dxa"/>
          <w:left w:w="108" w:type="dxa"/>
          <w:bottom w:w="0" w:type="dxa"/>
          <w:right w:w="108" w:type="dxa"/>
        </w:tblCellMar>
      </w:tblPr>
      <w:tblGrid>
        <w:gridCol w:w="1250"/>
        <w:gridCol w:w="1667"/>
        <w:gridCol w:w="1250"/>
        <w:gridCol w:w="1250"/>
        <w:gridCol w:w="1250"/>
        <w:gridCol w:w="1250"/>
      </w:tblGrid>
      <w:tr w14:paraId="2A099170">
        <w:tblPrEx>
          <w:tblCellMar>
            <w:top w:w="0" w:type="dxa"/>
            <w:left w:w="108" w:type="dxa"/>
            <w:bottom w:w="0" w:type="dxa"/>
            <w:right w:w="108" w:type="dxa"/>
          </w:tblCellMar>
        </w:tblPrEx>
        <w:tc>
          <w:tcPr>
            <w:tcW w:w="1560" w:type="dxa"/>
            <w:tcBorders>
              <w:bottom w:val="single" w:color="auto" w:sz="0" w:space="0"/>
            </w:tcBorders>
            <w:vAlign w:val="bottom"/>
          </w:tcPr>
          <w:p w14:paraId="25857375">
            <w:pPr>
              <w:pStyle w:val="24"/>
              <w:spacing w:after="0"/>
              <w:jc w:val="left"/>
            </w:pPr>
            <w:r>
              <w:rPr>
                <w:rFonts w:ascii="Aptos" w:hAnsi="Aptos"/>
                <w:color w:val="1F2937"/>
                <w:sz w:val="18"/>
              </w:rPr>
              <w:t>Puesto</w:t>
            </w:r>
          </w:p>
        </w:tc>
        <w:tc>
          <w:tcPr>
            <w:tcW w:w="1560" w:type="dxa"/>
            <w:tcBorders>
              <w:bottom w:val="single" w:color="auto" w:sz="0" w:space="0"/>
            </w:tcBorders>
            <w:vAlign w:val="bottom"/>
          </w:tcPr>
          <w:p w14:paraId="26611D3B">
            <w:pPr>
              <w:pStyle w:val="24"/>
              <w:spacing w:after="0"/>
              <w:jc w:val="center"/>
            </w:pPr>
            <w:r>
              <w:rPr>
                <w:rFonts w:ascii="Aptos" w:hAnsi="Aptos"/>
                <w:color w:val="1F2937"/>
                <w:sz w:val="18"/>
              </w:rPr>
              <w:t>FTE</w:t>
            </w:r>
          </w:p>
        </w:tc>
        <w:tc>
          <w:tcPr>
            <w:tcW w:w="1560" w:type="dxa"/>
            <w:tcBorders>
              <w:bottom w:val="single" w:color="auto" w:sz="0" w:space="0"/>
            </w:tcBorders>
            <w:vAlign w:val="bottom"/>
          </w:tcPr>
          <w:p w14:paraId="2ABA0686">
            <w:pPr>
              <w:pStyle w:val="24"/>
              <w:spacing w:after="0"/>
              <w:jc w:val="right"/>
            </w:pPr>
            <w:r>
              <w:rPr>
                <w:rFonts w:ascii="Aptos" w:hAnsi="Aptos"/>
                <w:color w:val="1F2937"/>
                <w:sz w:val="18"/>
              </w:rPr>
              <w:t>Retribución bruta</w:t>
            </w:r>
          </w:p>
        </w:tc>
        <w:tc>
          <w:tcPr>
            <w:tcW w:w="1560" w:type="dxa"/>
            <w:tcBorders>
              <w:bottom w:val="single" w:color="auto" w:sz="0" w:space="0"/>
            </w:tcBorders>
            <w:vAlign w:val="bottom"/>
          </w:tcPr>
          <w:p w14:paraId="42034C4F">
            <w:pPr>
              <w:pStyle w:val="24"/>
              <w:spacing w:after="0"/>
              <w:jc w:val="right"/>
            </w:pPr>
            <w:r>
              <w:rPr>
                <w:rFonts w:ascii="Aptos" w:hAnsi="Aptos"/>
                <w:color w:val="1F2937"/>
                <w:sz w:val="18"/>
              </w:rPr>
              <w:t>Cargas (RETA/SS)</w:t>
            </w:r>
          </w:p>
        </w:tc>
        <w:tc>
          <w:tcPr>
            <w:tcW w:w="1560" w:type="dxa"/>
            <w:tcBorders>
              <w:bottom w:val="single" w:color="auto" w:sz="0" w:space="0"/>
            </w:tcBorders>
            <w:vAlign w:val="bottom"/>
          </w:tcPr>
          <w:p w14:paraId="0EC54907">
            <w:pPr>
              <w:pStyle w:val="24"/>
              <w:spacing w:after="0"/>
              <w:jc w:val="right"/>
            </w:pPr>
            <w:r>
              <w:rPr>
                <w:rFonts w:ascii="Aptos" w:hAnsi="Aptos"/>
                <w:color w:val="1F2937"/>
                <w:sz w:val="18"/>
              </w:rPr>
              <w:t>Coste con medios</w:t>
            </w:r>
          </w:p>
        </w:tc>
        <w:tc>
          <w:tcPr>
            <w:tcW w:w="1560" w:type="dxa"/>
            <w:tcBorders>
              <w:bottom w:val="single" w:color="auto" w:sz="0" w:space="0"/>
            </w:tcBorders>
            <w:vAlign w:val="bottom"/>
          </w:tcPr>
          <w:p w14:paraId="6E3A2F1D">
            <w:pPr>
              <w:pStyle w:val="24"/>
              <w:spacing w:after="0"/>
              <w:jc w:val="left"/>
            </w:pPr>
            <w:r>
              <w:rPr>
                <w:rFonts w:ascii="Aptos" w:hAnsi="Aptos"/>
                <w:color w:val="1F2937"/>
                <w:sz w:val="18"/>
              </w:rPr>
              <w:t>Estado</w:t>
            </w:r>
          </w:p>
        </w:tc>
      </w:tr>
      <w:tr w14:paraId="15B3200F">
        <w:tblPrEx>
          <w:tblCellMar>
            <w:top w:w="0" w:type="dxa"/>
            <w:left w:w="108" w:type="dxa"/>
            <w:bottom w:w="0" w:type="dxa"/>
            <w:right w:w="108" w:type="dxa"/>
          </w:tblCellMar>
        </w:tblPrEx>
        <w:tc>
          <w:p w14:paraId="3C7F8C34">
            <w:pPr>
              <w:pStyle w:val="24"/>
              <w:spacing w:after="0"/>
              <w:jc w:val="left"/>
            </w:pPr>
            <w:r>
              <w:rPr>
                <w:rFonts w:ascii="Aptos" w:hAnsi="Aptos"/>
                <w:color w:val="1F2937"/>
                <w:sz w:val="18"/>
              </w:rPr>
              <w:t>Promotor / dirección técnica</w:t>
            </w:r>
          </w:p>
        </w:tc>
        <w:tc>
          <w:p w14:paraId="43FEAF33">
            <w:pPr>
              <w:pStyle w:val="24"/>
              <w:spacing w:after="0"/>
              <w:jc w:val="center"/>
            </w:pPr>
            <w:r>
              <w:rPr>
                <w:rFonts w:ascii="Aptos" w:hAnsi="Aptos"/>
                <w:color w:val="1F2937"/>
                <w:sz w:val="18"/>
              </w:rPr>
              <w:t>1,0</w:t>
            </w:r>
          </w:p>
        </w:tc>
        <w:tc>
          <w:p w14:paraId="4E64C232">
            <w:pPr>
              <w:pStyle w:val="24"/>
              <w:spacing w:after="0"/>
              <w:jc w:val="right"/>
            </w:pPr>
            <w:r>
              <w:rPr>
                <w:rFonts w:ascii="Aptos" w:hAnsi="Aptos"/>
                <w:color w:val="1F2937"/>
                <w:sz w:val="18"/>
              </w:rPr>
              <w:t>30.000 €</w:t>
            </w:r>
          </w:p>
        </w:tc>
        <w:tc>
          <w:p w14:paraId="3C2C9B45">
            <w:pPr>
              <w:pStyle w:val="24"/>
              <w:spacing w:after="0"/>
              <w:jc w:val="right"/>
            </w:pPr>
            <w:r>
              <w:rPr>
                <w:rFonts w:ascii="Aptos" w:hAnsi="Aptos"/>
                <w:color w:val="1F2937"/>
                <w:sz w:val="18"/>
              </w:rPr>
              <w:t>4.800 € (RETA)</w:t>
            </w:r>
          </w:p>
        </w:tc>
        <w:tc>
          <w:p w14:paraId="27882106">
            <w:pPr>
              <w:pStyle w:val="24"/>
              <w:spacing w:after="0"/>
              <w:jc w:val="right"/>
            </w:pPr>
            <w:r>
              <w:rPr>
                <w:rFonts w:ascii="Aptos" w:hAnsi="Aptos"/>
                <w:color w:val="1F2937"/>
                <w:sz w:val="18"/>
              </w:rPr>
              <w:t>≈39.860 €</w:t>
            </w:r>
          </w:p>
        </w:tc>
        <w:tc>
          <w:p w14:paraId="33E86E13">
            <w:pPr>
              <w:pStyle w:val="24"/>
              <w:spacing w:after="0"/>
              <w:jc w:val="left"/>
            </w:pPr>
            <w:r>
              <w:rPr>
                <w:rFonts w:ascii="Aptos" w:hAnsi="Aptos"/>
                <w:color w:val="1F2937"/>
                <w:sz w:val="18"/>
              </w:rPr>
              <w:t>F1 — planificado</w:t>
            </w:r>
          </w:p>
        </w:tc>
      </w:tr>
      <w:tr w14:paraId="7EBFAC9B">
        <w:tblPrEx>
          <w:tblCellMar>
            <w:top w:w="0" w:type="dxa"/>
            <w:left w:w="108" w:type="dxa"/>
            <w:bottom w:w="0" w:type="dxa"/>
            <w:right w:w="108" w:type="dxa"/>
          </w:tblCellMar>
        </w:tblPrEx>
        <w:tc>
          <w:p w14:paraId="1E1631BF">
            <w:pPr>
              <w:pStyle w:val="24"/>
              <w:spacing w:after="0"/>
              <w:jc w:val="left"/>
            </w:pPr>
            <w:r>
              <w:rPr>
                <w:rFonts w:ascii="Aptos" w:hAnsi="Aptos"/>
                <w:color w:val="1F2937"/>
                <w:sz w:val="18"/>
              </w:rPr>
              <w:t>Técnico/a de software</w:t>
            </w:r>
          </w:p>
        </w:tc>
        <w:tc>
          <w:p w14:paraId="10E406AB">
            <w:pPr>
              <w:pStyle w:val="24"/>
              <w:spacing w:after="0"/>
              <w:jc w:val="center"/>
            </w:pPr>
            <w:r>
              <w:rPr>
                <w:rFonts w:ascii="Aptos" w:hAnsi="Aptos"/>
                <w:color w:val="1F2937"/>
                <w:sz w:val="18"/>
              </w:rPr>
              <w:t>1,0</w:t>
            </w:r>
          </w:p>
        </w:tc>
        <w:tc>
          <w:p w14:paraId="6648B0C0">
            <w:pPr>
              <w:pStyle w:val="24"/>
              <w:spacing w:after="0"/>
              <w:jc w:val="right"/>
            </w:pPr>
            <w:r>
              <w:rPr>
                <w:rFonts w:ascii="Aptos" w:hAnsi="Aptos"/>
                <w:color w:val="1F2937"/>
                <w:sz w:val="18"/>
              </w:rPr>
              <w:t>28.000 €</w:t>
            </w:r>
          </w:p>
        </w:tc>
        <w:tc>
          <w:p w14:paraId="49AD188E">
            <w:pPr>
              <w:pStyle w:val="24"/>
              <w:spacing w:after="0"/>
              <w:jc w:val="right"/>
            </w:pPr>
            <w:r>
              <w:rPr>
                <w:rFonts w:ascii="Aptos" w:hAnsi="Aptos"/>
                <w:color w:val="1F2937"/>
                <w:sz w:val="18"/>
              </w:rPr>
              <w:t>8.400 € (SS 30 %)</w:t>
            </w:r>
          </w:p>
        </w:tc>
        <w:tc>
          <w:p w14:paraId="5678DB9C">
            <w:pPr>
              <w:pStyle w:val="24"/>
              <w:spacing w:after="0"/>
              <w:jc w:val="right"/>
            </w:pPr>
            <w:r>
              <w:rPr>
                <w:rFonts w:ascii="Aptos" w:hAnsi="Aptos"/>
                <w:color w:val="1F2937"/>
                <w:sz w:val="18"/>
              </w:rPr>
              <w:t>≈40.260 €</w:t>
            </w:r>
          </w:p>
        </w:tc>
        <w:tc>
          <w:p w14:paraId="29C2586C">
            <w:pPr>
              <w:pStyle w:val="24"/>
              <w:spacing w:after="0"/>
              <w:jc w:val="left"/>
            </w:pPr>
            <w:r>
              <w:rPr>
                <w:rFonts w:ascii="Aptos" w:hAnsi="Aptos"/>
                <w:color w:val="1F2937"/>
                <w:sz w:val="18"/>
              </w:rPr>
              <w:t>F1 — planificado</w:t>
            </w:r>
          </w:p>
        </w:tc>
      </w:tr>
      <w:tr w14:paraId="0E10287F">
        <w:tblPrEx>
          <w:tblCellMar>
            <w:top w:w="0" w:type="dxa"/>
            <w:left w:w="108" w:type="dxa"/>
            <w:bottom w:w="0" w:type="dxa"/>
            <w:right w:w="108" w:type="dxa"/>
          </w:tblCellMar>
        </w:tblPrEx>
        <w:tc>
          <w:p w14:paraId="368C5C0C">
            <w:pPr>
              <w:pStyle w:val="24"/>
              <w:spacing w:after="0"/>
              <w:jc w:val="left"/>
            </w:pPr>
            <w:r>
              <w:rPr>
                <w:rFonts w:ascii="Aptos" w:hAnsi="Aptos"/>
                <w:color w:val="1F2937"/>
                <w:sz w:val="18"/>
              </w:rPr>
              <w:t>Técnico/a de campo · comercial</w:t>
            </w:r>
          </w:p>
        </w:tc>
        <w:tc>
          <w:p w14:paraId="55CB85A8">
            <w:pPr>
              <w:pStyle w:val="24"/>
              <w:spacing w:after="0"/>
              <w:jc w:val="center"/>
            </w:pPr>
            <w:r>
              <w:rPr>
                <w:rFonts w:ascii="Aptos" w:hAnsi="Aptos"/>
                <w:color w:val="1F2937"/>
                <w:sz w:val="18"/>
              </w:rPr>
              <w:t>0,4</w:t>
            </w:r>
          </w:p>
        </w:tc>
        <w:tc>
          <w:p w14:paraId="0A744E19">
            <w:pPr>
              <w:pStyle w:val="24"/>
              <w:spacing w:after="0"/>
              <w:jc w:val="right"/>
            </w:pPr>
            <w:r>
              <w:rPr>
                <w:rFonts w:ascii="Aptos" w:hAnsi="Aptos"/>
                <w:color w:val="1F2937"/>
                <w:sz w:val="18"/>
              </w:rPr>
              <w:t>12.000 €</w:t>
            </w:r>
          </w:p>
        </w:tc>
        <w:tc>
          <w:p w14:paraId="5BACDA42">
            <w:pPr>
              <w:pStyle w:val="24"/>
              <w:spacing w:after="0"/>
              <w:jc w:val="right"/>
            </w:pPr>
            <w:r>
              <w:rPr>
                <w:rFonts w:ascii="Aptos" w:hAnsi="Aptos"/>
                <w:color w:val="1F2937"/>
                <w:sz w:val="18"/>
              </w:rPr>
              <w:t>3.600 € (SS 30 %)</w:t>
            </w:r>
          </w:p>
        </w:tc>
        <w:tc>
          <w:p w14:paraId="48C947D3">
            <w:pPr>
              <w:pStyle w:val="24"/>
              <w:spacing w:after="0"/>
              <w:jc w:val="right"/>
            </w:pPr>
            <w:r>
              <w:rPr>
                <w:rFonts w:ascii="Aptos" w:hAnsi="Aptos"/>
                <w:color w:val="1F2937"/>
                <w:sz w:val="18"/>
              </w:rPr>
              <w:t>≈20.660 €</w:t>
            </w:r>
          </w:p>
        </w:tc>
        <w:tc>
          <w:p w14:paraId="57915DE9">
            <w:pPr>
              <w:pStyle w:val="24"/>
              <w:spacing w:after="0"/>
              <w:jc w:val="left"/>
            </w:pPr>
            <w:r>
              <w:rPr>
                <w:rFonts w:ascii="Aptos" w:hAnsi="Aptos"/>
                <w:color w:val="1F2937"/>
                <w:sz w:val="18"/>
              </w:rPr>
              <w:t>F1 — condicionado a validación comercial</w:t>
            </w:r>
          </w:p>
        </w:tc>
      </w:tr>
      <w:tr w14:paraId="255E2D0D">
        <w:tblPrEx>
          <w:tblCellMar>
            <w:top w:w="0" w:type="dxa"/>
            <w:left w:w="108" w:type="dxa"/>
            <w:bottom w:w="0" w:type="dxa"/>
            <w:right w:w="108" w:type="dxa"/>
          </w:tblCellMar>
        </w:tblPrEx>
        <w:tc>
          <w:p w14:paraId="70A8F2BB">
            <w:pPr>
              <w:pStyle w:val="24"/>
              <w:spacing w:after="0"/>
              <w:jc w:val="left"/>
            </w:pPr>
            <w:r>
              <w:rPr>
                <w:rFonts w:ascii="Aptos" w:hAnsi="Aptos"/>
                <w:b/>
                <w:color w:val="1F2937"/>
                <w:sz w:val="18"/>
              </w:rPr>
              <w:t>Estructura humana pura (F1)</w:t>
            </w:r>
          </w:p>
        </w:tc>
        <w:tc>
          <w:p w14:paraId="79B75E9C">
            <w:pPr>
              <w:spacing w:after="0"/>
            </w:pPr>
          </w:p>
        </w:tc>
        <w:tc>
          <w:p w14:paraId="1946DCD2">
            <w:pPr>
              <w:spacing w:after="0"/>
            </w:pPr>
          </w:p>
        </w:tc>
        <w:tc>
          <w:p w14:paraId="7BEC366C">
            <w:pPr>
              <w:spacing w:after="0"/>
            </w:pPr>
          </w:p>
        </w:tc>
        <w:tc>
          <w:p w14:paraId="49A4BE6A">
            <w:pPr>
              <w:pStyle w:val="24"/>
              <w:spacing w:after="0"/>
              <w:jc w:val="right"/>
            </w:pPr>
            <w:r>
              <w:rPr>
                <w:rFonts w:ascii="Aptos" w:hAnsi="Aptos"/>
                <w:b/>
                <w:color w:val="1F2937"/>
                <w:sz w:val="18"/>
              </w:rPr>
              <w:t>52.566,67 €</w:t>
            </w:r>
          </w:p>
        </w:tc>
        <w:tc>
          <w:p w14:paraId="68AB3E43">
            <w:pPr>
              <w:spacing w:after="0"/>
            </w:pPr>
          </w:p>
        </w:tc>
      </w:tr>
    </w:tbl>
    <w:p w14:paraId="660E1A51">
      <w:pPr>
        <w:pStyle w:val="3"/>
      </w:pPr>
      <w:r>
        <w:rPr>
          <w:rFonts w:ascii="Aptos" w:hAnsi="Aptos"/>
          <w:i/>
          <w:color w:val="1F2937"/>
          <w:sz w:val="21"/>
        </w:rPr>
        <w:t>«Coste con medios» incluye equipos informáticos, SaaS/herramientas por usuario y movilidad, detallados por separado en el Plan Económico-Financiero. Las cifras salariales son hipótesis de planificación y serán sustituidas por importes contractuales y de nómina cuando se formalicen las incorporaciones.</w:t>
      </w:r>
    </w:p>
    <w:p w14:paraId="5B2A31D8">
      <w:pPr>
        <w:pStyle w:val="5"/>
      </w:pPr>
      <w:bookmarkStart w:id="71" w:name="estrategia-de-empleo-escalonado"/>
      <w:r>
        <w:rPr>
          <w:rFonts w:ascii="Aptos Display" w:hAnsi="Aptos Display"/>
          <w:b/>
          <w:color w:val="174A2E"/>
          <w:sz w:val="21"/>
        </w:rPr>
        <w:t>8.1.1. Estrategia de empleo escalonado</w:t>
      </w:r>
      <w:bookmarkEnd w:id="71"/>
    </w:p>
    <w:p w14:paraId="46200B22">
      <w:pPr>
        <w:pStyle w:val="23"/>
      </w:pPr>
      <w:r>
        <w:rPr>
          <w:rFonts w:ascii="Aptos" w:hAnsi="Aptos"/>
          <w:color w:val="1F2937"/>
          <w:sz w:val="21"/>
        </w:rPr>
        <w:t xml:space="preserve">La incorporación de personal es </w:t>
      </w:r>
      <w:r>
        <w:rPr>
          <w:rFonts w:ascii="Aptos" w:hAnsi="Aptos"/>
          <w:b/>
          <w:color w:val="1F2937"/>
          <w:sz w:val="21"/>
        </w:rPr>
        <w:t>progresiva y ligada a la actividad real</w:t>
      </w:r>
      <w:r>
        <w:rPr>
          <w:rFonts w:ascii="Aptos" w:hAnsi="Aptos"/>
          <w:color w:val="1F2937"/>
          <w:sz w:val="21"/>
        </w:rPr>
        <w:t xml:space="preserve">, en tres capas: primero </w:t>
      </w:r>
      <w:r>
        <w:rPr>
          <w:rFonts w:ascii="Aptos" w:hAnsi="Aptos"/>
          <w:b/>
          <w:color w:val="1F2937"/>
          <w:sz w:val="21"/>
        </w:rPr>
        <w:t>capacidad digital</w:t>
      </w:r>
      <w:r>
        <w:rPr>
          <w:rFonts w:ascii="Aptos" w:hAnsi="Aptos"/>
          <w:color w:val="1F2937"/>
          <w:sz w:val="21"/>
        </w:rPr>
        <w:t xml:space="preserve"> (Fase 1: promotor + técnico de software + apoyo parcial de campo/comercial, reduciendo la dependencia del promotor); después </w:t>
      </w:r>
      <w:r>
        <w:rPr>
          <w:rFonts w:ascii="Aptos" w:hAnsi="Aptos"/>
          <w:b/>
          <w:color w:val="1F2937"/>
          <w:sz w:val="21"/>
        </w:rPr>
        <w:t>capacidad comercial e institucional</w:t>
      </w:r>
      <w:r>
        <w:rPr>
          <w:rFonts w:ascii="Aptos" w:hAnsi="Aptos"/>
          <w:color w:val="1F2937"/>
          <w:sz w:val="21"/>
        </w:rPr>
        <w:t xml:space="preserve"> (tras el Gate G1, con tracción suficiente: refuerzo de desarrollo, soporte, implantación y gestión de clientes, cooperativas y administraciones); y finalmente </w:t>
      </w:r>
      <w:r>
        <w:rPr>
          <w:rFonts w:ascii="Aptos" w:hAnsi="Aptos"/>
          <w:b/>
          <w:color w:val="1F2937"/>
          <w:sz w:val="21"/>
        </w:rPr>
        <w:t>capacidad operativa y energética</w:t>
      </w:r>
      <w:r>
        <w:rPr>
          <w:rFonts w:ascii="Aptos" w:hAnsi="Aptos"/>
          <w:color w:val="1F2937"/>
          <w:sz w:val="21"/>
        </w:rPr>
        <w:t xml:space="preserve"> (fases posteriores, condicionadas a sus Gates: perfiles agronómicos, operativos, de mantenimiento, datos e IA). Cada incorporación se vincula a un hito, una necesidad empresarial y una capacidad financiera suficiente, evitando sobredimensionar la estructura inicial y creando </w:t>
      </w:r>
      <w:r>
        <w:rPr>
          <w:rFonts w:ascii="Aptos" w:hAnsi="Aptos"/>
          <w:b/>
          <w:color w:val="1F2937"/>
          <w:sz w:val="21"/>
        </w:rPr>
        <w:t>empleo cualificado en el medio rural</w:t>
      </w:r>
      <w:r>
        <w:rPr>
          <w:rFonts w:ascii="Aptos" w:hAnsi="Aptos"/>
          <w:color w:val="1F2937"/>
          <w:sz w:val="21"/>
        </w:rPr>
        <w:t xml:space="preserve"> (puestos tecnológicos/gestión con teletrabajo parcial y puestos presenciales de operación y pilotos en Membrío).</w:t>
      </w:r>
    </w:p>
    <w:p w14:paraId="51F329D7">
      <w:pPr>
        <w:pStyle w:val="5"/>
      </w:pPr>
      <w:bookmarkStart w:id="72" w:name="reducción-del-riesgo-de-persona-clave"/>
      <w:r>
        <w:rPr>
          <w:rFonts w:ascii="Aptos Display" w:hAnsi="Aptos Display"/>
          <w:b/>
          <w:color w:val="174A2E"/>
          <w:sz w:val="21"/>
        </w:rPr>
        <w:t>8.1.2. Reducción del riesgo de persona clave</w:t>
      </w:r>
      <w:bookmarkEnd w:id="72"/>
    </w:p>
    <w:p w14:paraId="541392D6">
      <w:pPr>
        <w:pStyle w:val="23"/>
      </w:pPr>
      <w:r>
        <w:rPr>
          <w:rFonts w:ascii="Aptos" w:hAnsi="Aptos"/>
          <w:color w:val="1F2937"/>
          <w:sz w:val="21"/>
        </w:rPr>
        <w:t>La dependencia del promotor constituye un riesgo reconocido en el DAFO y no se presenta como resuelto. El plan incorpora una estrategia explícita de reducción basada en cuatro mecanismos: documentación y versionado del conocimiento técnico; incorporación progresiva de personal de desarrollo y soporte; separación de funciones técnicas, comerciales e institucionales; y externalización o colaboración especializada en materias que requieren conocimiento específico. La incorporación de personal no es una expansión anticipada de plantilla, sino un mecanismo de continuidad vinculado a la tracción y a la activación de nuevas fases: el objetivo es que el conocimiento y la capacidad operativa pasen progresivamente de un modelo concentrado en el promotor a una organización reproducible y escalable. El detalle por puesto/fase/activador figura en el Excel (hoja «Gastos de Personal» del Excel oficial).</w:t>
      </w:r>
      <w:r>
        <w:rPr>
          <w:rFonts w:ascii="Aptos" w:hAnsi="Aptos"/>
          <w:b/>
          <w:color w:val="1F2937"/>
          <w:sz w:val="21"/>
        </w:rPr>
      </w:r>
      <w:r>
        <w:rPr>
          <w:rFonts w:ascii="Aptos" w:hAnsi="Aptos"/>
          <w:color w:val="1F2937"/>
          <w:sz w:val="21"/>
        </w:rPr>
      </w:r>
      <w:r>
        <w:rPr>
          <w:rFonts w:ascii="Aptos" w:hAnsi="Aptos"/>
          <w:b/>
          <w:color w:val="1F2937"/>
          <w:sz w:val="21"/>
        </w:rPr>
      </w:r>
      <w:r>
        <w:rPr>
          <w:rFonts w:ascii="Aptos" w:hAnsi="Aptos"/>
          <w:color w:val="1F2937"/>
          <w:sz w:val="21"/>
        </w:rPr>
      </w:r>
      <w:r>
        <w:rPr>
          <w:rFonts w:ascii="Aptos" w:hAnsi="Aptos"/>
          <w:b/>
          <w:color w:val="1F2937"/>
          <w:sz w:val="21"/>
        </w:rPr>
      </w:r>
      <w:r>
        <w:rPr>
          <w:rFonts w:ascii="Aptos" w:hAnsi="Aptos"/>
          <w:color w:val="1F2937"/>
          <w:sz w:val="21"/>
        </w:rPr>
      </w:r>
      <w:r>
        <w:rPr>
          <w:rFonts w:ascii="Aptos" w:hAnsi="Aptos"/>
          <w:b/>
          <w:color w:val="1F2937"/>
          <w:sz w:val="21"/>
        </w:rPr>
      </w:r>
      <w:r>
        <w:rPr>
          <w:rFonts w:ascii="Aptos" w:hAnsi="Aptos"/>
          <w:color w:val="1F2937"/>
          <w:sz w:val="21"/>
        </w:rPr>
      </w:r>
      <w:r>
        <w:rPr>
          <w:rFonts w:ascii="Aptos" w:hAnsi="Aptos"/>
          <w:b/>
          <w:color w:val="1F2937"/>
          <w:sz w:val="21"/>
        </w:rPr>
      </w:r>
      <w:r>
        <w:rPr>
          <w:rFonts w:ascii="Aptos" w:hAnsi="Aptos"/>
          <w:color w:val="1F2937"/>
          <w:sz w:val="21"/>
        </w:rPr>
      </w:r>
      <w:r>
        <w:rPr>
          <w:rFonts w:ascii="Aptos" w:hAnsi="Aptos"/>
          <w:b/>
          <w:color w:val="1F2937"/>
          <w:sz w:val="21"/>
        </w:rPr>
      </w:r>
      <w:r>
        <w:rPr>
          <w:rFonts w:ascii="Aptos" w:hAnsi="Aptos"/>
          <w:color w:val="1F2937"/>
          <w:sz w:val="21"/>
        </w:rPr>
      </w:r>
      <w:r>
        <w:rPr>
          <w:rFonts w:ascii="Aptos" w:hAnsi="Aptos"/>
          <w:b/>
          <w:color w:val="1F2937"/>
          <w:sz w:val="21"/>
        </w:rPr>
      </w:r>
      <w:r>
        <w:rPr>
          <w:rFonts w:ascii="Aptos" w:hAnsi="Aptos"/>
          <w:color w:val="1F2937"/>
          <w:sz w:val="21"/>
        </w:rPr>
      </w:r>
      <w:r>
        <w:rPr>
          <w:rFonts w:ascii="Aptos" w:hAnsi="Aptos"/>
          <w:b/>
          <w:color w:val="1F2937"/>
          <w:sz w:val="21"/>
        </w:rPr>
      </w:r>
      <w:r>
        <w:rPr>
          <w:rFonts w:ascii="Aptos" w:hAnsi="Aptos"/>
          <w:color w:val="1F2937"/>
          <w:sz w:val="21"/>
        </w:rPr>
      </w:r>
    </w:p>
    <w:p w14:paraId="6AD3B349">
      <w:pPr>
        <w:pStyle w:val="4"/>
      </w:pPr>
      <w:bookmarkStart w:id="73" w:name="Xc755d6c01b942a2151b5f483b6277050102ed14"/>
      <w:r>
        <w:rPr>
          <w:rFonts w:ascii="Aptos Display" w:hAnsi="Aptos Display"/>
          <w:b/>
          <w:color w:val="174A2E"/>
          <w:sz w:val="21"/>
        </w:rPr>
        <w:t>8.2. Estructura organizativa e impacto en el empleo local</w:t>
      </w:r>
      <w:bookmarkEnd w:id="73"/>
    </w:p>
    <w:p w14:paraId="1B1C142D">
      <w:pPr>
        <w:pStyle w:val="23"/>
      </w:pPr>
      <w:r>
        <w:rPr>
          <w:rFonts w:ascii="Aptos" w:hAnsi="Aptos"/>
          <w:b/>
          <w:color w:val="1F2937"/>
          <w:sz w:val="21"/>
        </w:rPr>
        <w:t>Organigrama inicial (F1), plano:</w:t>
      </w:r>
      <w:r>
        <w:rPr>
          <w:rFonts w:ascii="Aptos" w:hAnsi="Aptos"/>
          <w:color w:val="1F2937"/>
          <w:sz w:val="21"/>
        </w:rPr>
        <w:t xml:space="preserve"> Dirección (promotor) → Área de desarrollo (1–2 personas) + colaboraciones externas de validación (revisor independiente, ingenierías, incubadoras). </w:t>
      </w:r>
      <w:r>
        <w:rPr>
          <w:rFonts w:ascii="Aptos" w:hAnsi="Aptos"/>
          <w:b/>
          <w:color w:val="1F2937"/>
          <w:sz w:val="21"/>
        </w:rPr>
        <w:t>En régimen (F3–F4):</w:t>
      </w:r>
      <w:r>
        <w:rPr>
          <w:rFonts w:ascii="Aptos" w:hAnsi="Aptos"/>
          <w:color w:val="1F2937"/>
          <w:sz w:val="21"/>
        </w:rPr>
        <w:t xml:space="preserve"> Dirección → Tecnología, Producción, y Energía y mantenimiento, más Administración/comercial transversal. </w:t>
      </w:r>
      <w:r>
        <w:rPr>
          <w:rFonts w:ascii="Aptos" w:hAnsi="Aptos"/>
          <w:b/>
          <w:color w:val="1F2937"/>
          <w:sz w:val="21"/>
        </w:rPr>
        <w:t>Empleo creado además del promotor:</w:t>
      </w:r>
      <w:r>
        <w:rPr>
          <w:rFonts w:ascii="Aptos" w:hAnsi="Aptos"/>
          <w:color w:val="1F2937"/>
          <w:sz w:val="21"/>
        </w:rPr>
        <w:t xml:space="preserve"> 5–9 directos + 3–5 indirectos. </w:t>
      </w:r>
      <w:r>
        <w:rPr>
          <w:rFonts w:ascii="Aptos" w:hAnsi="Aptos"/>
          <w:b/>
          <w:color w:val="1F2937"/>
          <w:sz w:val="21"/>
        </w:rPr>
        <w:t>Compromiso social medible:</w:t>
      </w:r>
      <w:r>
        <w:rPr>
          <w:rFonts w:ascii="Aptos" w:hAnsi="Aptos"/>
          <w:color w:val="1F2937"/>
          <w:sz w:val="21"/>
        </w:rPr>
        <w:t xml:space="preserve"> el objetivo declarado es que mujeres y jóvenes (&lt;35 años) representen conjuntamente al menos la mitad de las nuevas contrataciones locales; el dato se mide y publica anualmente en la MISV. En un municipio de ≈600 habitantes, 6–10 empleos estables equivalen proporcionalmente a miles en una capital.</w:t>
      </w:r>
    </w:p>
    <w:p w14:paraId="41FABD32">
      <w:pPr>
        <w:pStyle w:val="5"/>
      </w:pPr>
      <w:bookmarkStart w:id="74" w:name="visión-de-escalado-por-capas"/>
      <w:r>
        <w:rPr>
          <w:rFonts w:ascii="Aptos Display" w:hAnsi="Aptos Display"/>
          <w:b/>
          <w:color w:val="174A2E"/>
          <w:sz w:val="21"/>
        </w:rPr>
        <w:t>8.2.1. Visión de escalado por capas</w:t>
      </w:r>
      <w:bookmarkEnd w:id="74"/>
    </w:p>
    <w:p w14:paraId="3CBDBDE1">
      <w:pPr>
        <w:pStyle w:val="23"/>
      </w:pPr>
      <w:r>
        <w:rPr>
          <w:rFonts w:ascii="Aptos" w:hAnsi="Aptos"/>
          <w:color w:val="1F2937"/>
          <w:sz w:val="21"/>
        </w:rPr>
        <w:t xml:space="preserve">La estrategia de crecimiento no se limita a incrementar el número de clientes: requiere aumentar de forma progresiva la </w:t>
      </w:r>
      <w:r>
        <w:rPr>
          <w:rFonts w:ascii="Aptos" w:hAnsi="Aptos"/>
          <w:b/>
          <w:color w:val="1F2937"/>
          <w:sz w:val="21"/>
        </w:rPr>
        <w:t>capacidad interna</w:t>
      </w:r>
      <w:r>
        <w:rPr>
          <w:rFonts w:ascii="Aptos" w:hAnsi="Aptos"/>
          <w:color w:val="1F2937"/>
          <w:sz w:val="21"/>
        </w:rPr>
        <w:t xml:space="preserve"> para atenderlos y convertir la validación tecnológica en actividad económica recurrente. El </w:t>
      </w:r>
      <w:r>
        <w:rPr>
          <w:rFonts w:ascii="Aptos" w:hAnsi="Aptos"/>
          <w:b/>
          <w:color w:val="1F2937"/>
          <w:sz w:val="21"/>
        </w:rPr>
        <w:t>escalado digital</w:t>
      </w:r>
      <w:r>
        <w:rPr>
          <w:rFonts w:ascii="Aptos" w:hAnsi="Aptos"/>
          <w:color w:val="1F2937"/>
          <w:sz w:val="21"/>
        </w:rPr>
        <w:t xml:space="preserve"> comprende desarrollo de software, IoT/edge, infraestructura, seguridad, datos, IA, soporte e implantación. El </w:t>
      </w:r>
      <w:r>
        <w:rPr>
          <w:rFonts w:ascii="Aptos" w:hAnsi="Aptos"/>
          <w:b/>
          <w:color w:val="1F2937"/>
          <w:sz w:val="21"/>
        </w:rPr>
        <w:t>escalado comercial</w:t>
      </w:r>
      <w:r>
        <w:rPr>
          <w:rFonts w:ascii="Aptos" w:hAnsi="Aptos"/>
          <w:color w:val="1F2937"/>
          <w:sz w:val="21"/>
        </w:rPr>
        <w:t xml:space="preserve"> abarca prospección, demostración, pilotos, gestión de cuentas, canal cooperativo y atención de clientes. El </w:t>
      </w:r>
      <w:r>
        <w:rPr>
          <w:rFonts w:ascii="Aptos" w:hAnsi="Aptos"/>
          <w:b/>
          <w:color w:val="1F2937"/>
          <w:sz w:val="21"/>
        </w:rPr>
        <w:t>escalado institucional</w:t>
      </w:r>
      <w:r>
        <w:rPr>
          <w:rFonts w:ascii="Aptos" w:hAnsi="Aptos"/>
          <w:color w:val="1F2937"/>
          <w:sz w:val="21"/>
        </w:rPr>
        <w:t xml:space="preserve"> incluye preparación y gestión de proyectos, convocatorias y relaciones con administraciones, cooperativas, centros tecnológicos, universidades e interlocutores territoriales. El </w:t>
      </w:r>
      <w:r>
        <w:rPr>
          <w:rFonts w:ascii="Aptos" w:hAnsi="Aptos"/>
          <w:b/>
          <w:color w:val="1F2937"/>
          <w:sz w:val="21"/>
        </w:rPr>
        <w:t>escalado operativo</w:t>
      </w:r>
      <w:r>
        <w:rPr>
          <w:rFonts w:ascii="Aptos" w:hAnsi="Aptos"/>
          <w:color w:val="1F2937"/>
          <w:sz w:val="21"/>
        </w:rPr>
        <w:t xml:space="preserve"> incorpora agronomía, producción, mantenimiento, energía y soporte de las infraestructuras físicas cuando sus Gates lo autoricen. La </w:t>
      </w:r>
      <w:r>
        <w:rPr>
          <w:rFonts w:ascii="Aptos" w:hAnsi="Aptos"/>
          <w:b/>
          <w:color w:val="1F2937"/>
          <w:sz w:val="21"/>
        </w:rPr>
        <w:t>creación de empleo se produce por capas</w:t>
      </w:r>
      <w:r>
        <w:rPr>
          <w:rFonts w:ascii="Aptos" w:hAnsi="Aptos"/>
          <w:color w:val="1F2937"/>
          <w:sz w:val="21"/>
        </w:rPr>
        <w:t xml:space="preserve"> —digital, luego comercial e institucional, finalmente operativo y energético—, activándose cada capa en función de la demanda y de la superación de Gates.</w:t>
      </w:r>
    </w:p>
    <w:p w14:paraId="1805F059">
      <w:pPr>
        <w:pStyle w:val="4"/>
      </w:pPr>
      <w:bookmarkStart w:id="75" w:name="X0b75c8461a0ecc94ed368e92139d6d1eb05c5ff"/>
      <w:r>
        <w:rPr>
          <w:rFonts w:ascii="Aptos Display" w:hAnsi="Aptos Display"/>
          <w:b/>
          <w:color w:val="174A2E"/>
          <w:sz w:val="21"/>
        </w:rPr>
        <w:t>8.3. Ecosistema de alianzas, colaboraciones externas y cooperación</w:t>
      </w:r>
      <w:bookmarkEnd w:id="75"/>
    </w:p>
    <w:p w14:paraId="475D9725">
      <w:pPr>
        <w:pStyle w:val="23"/>
      </w:pPr>
      <w:r>
        <w:rPr>
          <w:rFonts w:ascii="Aptos" w:hAnsi="Aptos"/>
          <w:color w:val="1F2937"/>
          <w:sz w:val="21"/>
        </w:rPr>
        <w:t xml:space="preserve">En el medio rural la cooperación no es retórica: es el canal, la validación y la réplica. Todas las alianzas se declaran con su </w:t>
      </w:r>
      <w:r>
        <w:rPr>
          <w:rFonts w:ascii="Aptos" w:hAnsi="Aptos"/>
          <w:b/>
          <w:color w:val="1F2937"/>
          <w:sz w:val="21"/>
        </w:rPr>
        <w:t>estado real</w:t>
      </w:r>
      <w:r>
        <w:rPr>
          <w:rFonts w:ascii="Aptos" w:hAnsi="Aptos"/>
          <w:color w:val="1F2937"/>
          <w:sz w:val="21"/>
        </w:rPr>
        <w:t xml:space="preserve"> — ninguna se presenta como firmada sin estarlo — y quedan registradas con fecha y documento en el SEV.</w:t>
      </w:r>
    </w:p>
    <w:p w14:paraId="763164EB">
      <w:pPr>
        <w:pStyle w:val="5"/>
      </w:pPr>
      <w:bookmarkStart w:id="76" w:name="Xb09aac1c40c6ae489baf394a67443b7a3cc0bbe"/>
      <w:r>
        <w:rPr>
          <w:rFonts w:ascii="Aptos Display" w:hAnsi="Aptos Display"/>
          <w:b/>
          <w:color w:val="174A2E"/>
          <w:sz w:val="21"/>
        </w:rPr>
        <w:t>Alianzas institucionales, comerciales e industriales</w:t>
      </w:r>
      <w:bookmarkEnd w:id="76"/>
    </w:p>
    <w:tbl>
      <w:tblPr>
        <w:tblStyle w:val="28"/>
        <w:tblW w:w="5000" w:type="pct"/>
        <w:jc w:val="center"/>
        <w:tblInd w:w="0" w:type="dxa"/>
        <w:tblLayout w:type="fixed"/>
        <w:tblCellMar>
          <w:top w:w="0" w:type="dxa"/>
          <w:left w:w="108" w:type="dxa"/>
          <w:bottom w:w="0" w:type="dxa"/>
          <w:right w:w="108" w:type="dxa"/>
        </w:tblCellMar>
      </w:tblPr>
      <w:tblGrid>
        <w:gridCol w:w="1980"/>
        <w:gridCol w:w="1980"/>
        <w:gridCol w:w="1980"/>
        <w:gridCol w:w="1980"/>
      </w:tblGrid>
      <w:tr w14:paraId="20C61EC1">
        <w:tblPrEx>
          <w:tblCellMar>
            <w:top w:w="0" w:type="dxa"/>
            <w:left w:w="108" w:type="dxa"/>
            <w:bottom w:w="0" w:type="dxa"/>
            <w:right w:w="108" w:type="dxa"/>
          </w:tblCellMar>
        </w:tblPrEx>
        <w:tc>
          <w:tcPr>
            <w:tcW w:w="2340" w:type="dxa"/>
            <w:tcBorders>
              <w:bottom w:val="single" w:color="auto" w:sz="0" w:space="0"/>
            </w:tcBorders>
            <w:vAlign w:val="bottom"/>
          </w:tcPr>
          <w:p w14:paraId="4EAA22CA">
            <w:pPr>
              <w:pStyle w:val="24"/>
              <w:spacing w:after="0"/>
              <w:jc w:val="left"/>
            </w:pPr>
            <w:r>
              <w:rPr>
                <w:rFonts w:ascii="Aptos" w:hAnsi="Aptos"/>
                <w:color w:val="1F2937"/>
                <w:sz w:val="18"/>
              </w:rPr>
              <w:t>Aliado</w:t>
            </w:r>
          </w:p>
        </w:tc>
        <w:tc>
          <w:tcPr>
            <w:tcW w:w="2340" w:type="dxa"/>
            <w:tcBorders>
              <w:bottom w:val="single" w:color="auto" w:sz="0" w:space="0"/>
            </w:tcBorders>
            <w:vAlign w:val="bottom"/>
          </w:tcPr>
          <w:p w14:paraId="20D1B557">
            <w:pPr>
              <w:pStyle w:val="24"/>
              <w:spacing w:after="0"/>
              <w:jc w:val="left"/>
            </w:pPr>
            <w:r>
              <w:rPr>
                <w:rFonts w:ascii="Aptos" w:hAnsi="Aptos"/>
                <w:color w:val="1F2937"/>
                <w:sz w:val="18"/>
              </w:rPr>
              <w:t>Tipo</w:t>
            </w:r>
          </w:p>
        </w:tc>
        <w:tc>
          <w:tcPr>
            <w:tcW w:w="2340" w:type="dxa"/>
            <w:tcBorders>
              <w:bottom w:val="single" w:color="auto" w:sz="0" w:space="0"/>
            </w:tcBorders>
            <w:vAlign w:val="bottom"/>
          </w:tcPr>
          <w:p w14:paraId="14F75802">
            <w:pPr>
              <w:pStyle w:val="24"/>
              <w:spacing w:after="0"/>
              <w:jc w:val="left"/>
            </w:pPr>
            <w:r>
              <w:rPr>
                <w:rFonts w:ascii="Aptos" w:hAnsi="Aptos"/>
                <w:color w:val="1F2937"/>
                <w:sz w:val="18"/>
              </w:rPr>
              <w:t>Objeto de la colaboración</w:t>
            </w:r>
          </w:p>
        </w:tc>
        <w:tc>
          <w:tcPr>
            <w:tcW w:w="2340" w:type="dxa"/>
            <w:tcBorders>
              <w:bottom w:val="single" w:color="auto" w:sz="0" w:space="0"/>
            </w:tcBorders>
            <w:vAlign w:val="bottom"/>
          </w:tcPr>
          <w:p w14:paraId="54E99FB4">
            <w:pPr>
              <w:pStyle w:val="24"/>
              <w:spacing w:after="0"/>
              <w:jc w:val="left"/>
            </w:pPr>
            <w:r>
              <w:rPr>
                <w:rFonts w:ascii="Aptos" w:hAnsi="Aptos"/>
                <w:color w:val="1F2937"/>
                <w:sz w:val="18"/>
              </w:rPr>
              <w:t>Estado declarado</w:t>
            </w:r>
          </w:p>
        </w:tc>
      </w:tr>
      <w:tr w14:paraId="079F2E02">
        <w:tblPrEx>
          <w:tblCellMar>
            <w:top w:w="0" w:type="dxa"/>
            <w:left w:w="108" w:type="dxa"/>
            <w:bottom w:w="0" w:type="dxa"/>
            <w:right w:w="108" w:type="dxa"/>
          </w:tblCellMar>
        </w:tblPrEx>
        <w:tc>
          <w:p w14:paraId="61800753">
            <w:pPr>
              <w:pStyle w:val="24"/>
              <w:spacing w:after="0"/>
              <w:jc w:val="left"/>
            </w:pPr>
            <w:r>
              <w:rPr>
                <w:rFonts w:ascii="Aptos" w:hAnsi="Aptos"/>
                <w:color w:val="1F2937"/>
                <w:sz w:val="18"/>
              </w:rPr>
              <w:t>Ayuntamiento de Membrío</w:t>
            </w:r>
          </w:p>
        </w:tc>
        <w:tc>
          <w:p w14:paraId="06C97D11">
            <w:pPr>
              <w:pStyle w:val="24"/>
              <w:spacing w:after="0"/>
              <w:jc w:val="left"/>
            </w:pPr>
            <w:r>
              <w:rPr>
                <w:rFonts w:ascii="Aptos" w:hAnsi="Aptos"/>
                <w:color w:val="1F2937"/>
                <w:sz w:val="18"/>
              </w:rPr>
              <w:t>Institucional</w:t>
            </w:r>
          </w:p>
        </w:tc>
        <w:tc>
          <w:p w14:paraId="30A7B01E">
            <w:pPr>
              <w:pStyle w:val="24"/>
              <w:spacing w:after="0"/>
              <w:jc w:val="left"/>
            </w:pPr>
            <w:r>
              <w:rPr>
                <w:rFonts w:ascii="Aptos" w:hAnsi="Aptos"/>
                <w:color w:val="1F2937"/>
                <w:sz w:val="18"/>
              </w:rPr>
              <w:t>Convenio de suelo (≥25 años), tramitación, vehículo de autoconsumo, comité de seguimiento</w:t>
            </w:r>
          </w:p>
        </w:tc>
        <w:tc>
          <w:p w14:paraId="6B942BFC">
            <w:pPr>
              <w:pStyle w:val="24"/>
              <w:spacing w:after="0"/>
              <w:jc w:val="left"/>
            </w:pPr>
            <w:r>
              <w:rPr>
                <w:rFonts w:ascii="Aptos" w:hAnsi="Aptos"/>
                <w:color w:val="1F2937"/>
                <w:sz w:val="18"/>
              </w:rPr>
              <w:t>En negociación (carta de intención; criterio de G1)</w:t>
            </w:r>
          </w:p>
        </w:tc>
      </w:tr>
      <w:tr w14:paraId="5E3CCF87">
        <w:tblPrEx>
          <w:tblCellMar>
            <w:top w:w="0" w:type="dxa"/>
            <w:left w:w="108" w:type="dxa"/>
            <w:bottom w:w="0" w:type="dxa"/>
            <w:right w:w="108" w:type="dxa"/>
          </w:tblCellMar>
        </w:tblPrEx>
        <w:tc>
          <w:p w14:paraId="0696E7B3">
            <w:pPr>
              <w:pStyle w:val="24"/>
              <w:spacing w:after="0"/>
              <w:jc w:val="left"/>
            </w:pPr>
            <w:r>
              <w:rPr>
                <w:rFonts w:ascii="Aptos" w:hAnsi="Aptos"/>
                <w:color w:val="1F2937"/>
                <w:sz w:val="18"/>
              </w:rPr>
              <w:t>Cooperativas de la comarca</w:t>
            </w:r>
          </w:p>
        </w:tc>
        <w:tc>
          <w:p w14:paraId="293ED5AF">
            <w:pPr>
              <w:pStyle w:val="24"/>
              <w:spacing w:after="0"/>
              <w:jc w:val="left"/>
            </w:pPr>
            <w:r>
              <w:rPr>
                <w:rFonts w:ascii="Aptos" w:hAnsi="Aptos"/>
                <w:color w:val="1F2937"/>
                <w:sz w:val="18"/>
              </w:rPr>
              <w:t>Comercial</w:t>
            </w:r>
          </w:p>
        </w:tc>
        <w:tc>
          <w:p w14:paraId="1DC44BF1">
            <w:pPr>
              <w:pStyle w:val="24"/>
              <w:spacing w:after="0"/>
              <w:jc w:val="left"/>
            </w:pPr>
            <w:r>
              <w:rPr>
                <w:rFonts w:ascii="Aptos" w:hAnsi="Aptos"/>
                <w:color w:val="1F2937"/>
                <w:sz w:val="18"/>
              </w:rPr>
              <w:t>Adopción colectiva del SaaS; canal hortícola; compras conjuntas</w:t>
            </w:r>
          </w:p>
        </w:tc>
        <w:tc>
          <w:p w14:paraId="74E76601">
            <w:pPr>
              <w:pStyle w:val="24"/>
              <w:spacing w:after="0"/>
              <w:jc w:val="left"/>
            </w:pPr>
            <w:r>
              <w:rPr>
                <w:rFonts w:ascii="Aptos" w:hAnsi="Aptos"/>
                <w:color w:val="1F2937"/>
                <w:sz w:val="18"/>
              </w:rPr>
              <w:t>En conversación</w:t>
            </w:r>
          </w:p>
        </w:tc>
      </w:tr>
      <w:tr w14:paraId="11C2C1B5">
        <w:tblPrEx>
          <w:tblCellMar>
            <w:top w:w="0" w:type="dxa"/>
            <w:left w:w="108" w:type="dxa"/>
            <w:bottom w:w="0" w:type="dxa"/>
            <w:right w:w="108" w:type="dxa"/>
          </w:tblCellMar>
        </w:tblPrEx>
        <w:tc>
          <w:p w14:paraId="1EAABF97">
            <w:pPr>
              <w:pStyle w:val="24"/>
              <w:spacing w:after="0"/>
              <w:jc w:val="left"/>
            </w:pPr>
            <w:r>
              <w:rPr>
                <w:rFonts w:ascii="Aptos" w:hAnsi="Aptos"/>
                <w:color w:val="1F2937"/>
                <w:sz w:val="18"/>
              </w:rPr>
              <w:t>Centro tecnológico agroalimentario y universidad</w:t>
            </w:r>
          </w:p>
        </w:tc>
        <w:tc>
          <w:p w14:paraId="64337C6B">
            <w:pPr>
              <w:pStyle w:val="24"/>
              <w:spacing w:after="0"/>
              <w:jc w:val="left"/>
            </w:pPr>
            <w:r>
              <w:rPr>
                <w:rFonts w:ascii="Aptos" w:hAnsi="Aptos"/>
                <w:color w:val="1F2937"/>
                <w:sz w:val="18"/>
              </w:rPr>
              <w:t>Conocimiento</w:t>
            </w:r>
          </w:p>
        </w:tc>
        <w:tc>
          <w:p w14:paraId="5237E98A">
            <w:pPr>
              <w:pStyle w:val="24"/>
              <w:spacing w:after="0"/>
              <w:jc w:val="left"/>
            </w:pPr>
            <w:r>
              <w:rPr>
                <w:rFonts w:ascii="Aptos" w:hAnsi="Aptos"/>
                <w:color w:val="1F2937"/>
                <w:sz w:val="18"/>
              </w:rPr>
              <w:t>Revisión independiente de ensayos; prácticas y captación de talento</w:t>
            </w:r>
          </w:p>
        </w:tc>
        <w:tc>
          <w:p w14:paraId="1D0F07DA">
            <w:pPr>
              <w:pStyle w:val="24"/>
              <w:spacing w:after="0"/>
              <w:jc w:val="left"/>
            </w:pPr>
            <w:r>
              <w:rPr>
                <w:rFonts w:ascii="Aptos" w:hAnsi="Aptos"/>
                <w:color w:val="1F2937"/>
                <w:sz w:val="18"/>
              </w:rPr>
              <w:t>A formalizar en F1</w:t>
            </w:r>
          </w:p>
        </w:tc>
      </w:tr>
      <w:tr w14:paraId="77A2B685">
        <w:tblPrEx>
          <w:tblCellMar>
            <w:top w:w="0" w:type="dxa"/>
            <w:left w:w="108" w:type="dxa"/>
            <w:bottom w:w="0" w:type="dxa"/>
            <w:right w:w="108" w:type="dxa"/>
          </w:tblCellMar>
        </w:tblPrEx>
        <w:tc>
          <w:p w14:paraId="41E2EDF3">
            <w:pPr>
              <w:pStyle w:val="24"/>
              <w:spacing w:after="0"/>
              <w:jc w:val="left"/>
            </w:pPr>
            <w:r>
              <w:rPr>
                <w:rFonts w:ascii="Aptos" w:hAnsi="Aptos"/>
                <w:color w:val="1F2937"/>
                <w:sz w:val="18"/>
              </w:rPr>
              <w:t>Ingenierías especializadas (TRT, terracota, FV)</w:t>
            </w:r>
          </w:p>
        </w:tc>
        <w:tc>
          <w:p w14:paraId="05E3956C">
            <w:pPr>
              <w:pStyle w:val="24"/>
              <w:spacing w:after="0"/>
              <w:jc w:val="left"/>
            </w:pPr>
            <w:r>
              <w:rPr>
                <w:rFonts w:ascii="Aptos" w:hAnsi="Aptos"/>
                <w:color w:val="1F2937"/>
                <w:sz w:val="18"/>
              </w:rPr>
              <w:t>Industrial</w:t>
            </w:r>
          </w:p>
        </w:tc>
        <w:tc>
          <w:p w14:paraId="174F90DF">
            <w:pPr>
              <w:pStyle w:val="24"/>
              <w:spacing w:after="0"/>
              <w:jc w:val="left"/>
            </w:pPr>
            <w:r>
              <w:rPr>
                <w:rFonts w:ascii="Aptos" w:hAnsi="Aptos"/>
                <w:color w:val="1F2937"/>
                <w:sz w:val="18"/>
              </w:rPr>
              <w:t>Ejecución técnica de los ensayos y futuras obras</w:t>
            </w:r>
          </w:p>
        </w:tc>
        <w:tc>
          <w:p w14:paraId="2BB091B2">
            <w:pPr>
              <w:pStyle w:val="24"/>
              <w:spacing w:after="0"/>
              <w:jc w:val="left"/>
            </w:pPr>
            <w:r>
              <w:rPr>
                <w:rFonts w:ascii="Aptos" w:hAnsi="Aptos"/>
                <w:color w:val="1F2937"/>
                <w:sz w:val="18"/>
              </w:rPr>
              <w:t>A licitar en F1</w:t>
            </w:r>
          </w:p>
        </w:tc>
      </w:tr>
      <w:tr w14:paraId="755BFD9F">
        <w:tblPrEx>
          <w:tblCellMar>
            <w:top w:w="0" w:type="dxa"/>
            <w:left w:w="108" w:type="dxa"/>
            <w:bottom w:w="0" w:type="dxa"/>
            <w:right w:w="108" w:type="dxa"/>
          </w:tblCellMar>
        </w:tblPrEx>
        <w:tc>
          <w:p w14:paraId="28C5884C">
            <w:pPr>
              <w:pStyle w:val="24"/>
              <w:spacing w:after="0"/>
              <w:jc w:val="left"/>
            </w:pPr>
            <w:r>
              <w:rPr>
                <w:rFonts w:ascii="Aptos" w:hAnsi="Aptos"/>
                <w:color w:val="1F2937"/>
                <w:sz w:val="18"/>
              </w:rPr>
              <w:t>Explotaciones colaboradoras (2–4)</w:t>
            </w:r>
          </w:p>
        </w:tc>
        <w:tc>
          <w:p w14:paraId="1395580F">
            <w:pPr>
              <w:pStyle w:val="24"/>
              <w:spacing w:after="0"/>
              <w:jc w:val="left"/>
            </w:pPr>
            <w:r>
              <w:rPr>
                <w:rFonts w:ascii="Aptos" w:hAnsi="Aptos"/>
                <w:color w:val="1F2937"/>
                <w:sz w:val="18"/>
              </w:rPr>
              <w:t>Piloto</w:t>
            </w:r>
          </w:p>
        </w:tc>
        <w:tc>
          <w:p w14:paraId="046692D0">
            <w:pPr>
              <w:pStyle w:val="24"/>
              <w:spacing w:after="0"/>
              <w:jc w:val="left"/>
            </w:pPr>
            <w:r>
              <w:rPr>
                <w:rFonts w:ascii="Aptos" w:hAnsi="Aptos"/>
                <w:color w:val="1F2937"/>
                <w:sz w:val="18"/>
              </w:rPr>
              <w:t>Primeros usuarios del SaaS (pilotos remunerados)</w:t>
            </w:r>
          </w:p>
        </w:tc>
        <w:tc>
          <w:p w14:paraId="48DC6D0E">
            <w:pPr>
              <w:pStyle w:val="24"/>
              <w:spacing w:after="0"/>
              <w:jc w:val="left"/>
            </w:pPr>
            <w:r>
              <w:rPr>
                <w:rFonts w:ascii="Aptos" w:hAnsi="Aptos"/>
                <w:color w:val="1F2937"/>
                <w:sz w:val="18"/>
              </w:rPr>
              <w:t>A seleccionar en F1</w:t>
            </w:r>
          </w:p>
        </w:tc>
      </w:tr>
      <w:tr w14:paraId="55A3E982">
        <w:tblPrEx>
          <w:tblCellMar>
            <w:top w:w="0" w:type="dxa"/>
            <w:left w:w="108" w:type="dxa"/>
            <w:bottom w:w="0" w:type="dxa"/>
            <w:right w:w="108" w:type="dxa"/>
          </w:tblCellMar>
        </w:tblPrEx>
        <w:tc>
          <w:p w14:paraId="68E7D2CC">
            <w:pPr>
              <w:pStyle w:val="24"/>
              <w:spacing w:after="0"/>
              <w:jc w:val="left"/>
            </w:pPr>
            <w:r>
              <w:rPr>
                <w:rFonts w:ascii="Aptos" w:hAnsi="Aptos"/>
                <w:color w:val="1F2937"/>
                <w:sz w:val="18"/>
              </w:rPr>
              <w:t>Transportistas y proveedores comarcales</w:t>
            </w:r>
          </w:p>
        </w:tc>
        <w:tc>
          <w:p w14:paraId="22D8CFF1">
            <w:pPr>
              <w:pStyle w:val="24"/>
              <w:spacing w:after="0"/>
              <w:jc w:val="left"/>
            </w:pPr>
            <w:r>
              <w:rPr>
                <w:rFonts w:ascii="Aptos" w:hAnsi="Aptos"/>
                <w:color w:val="1F2937"/>
                <w:sz w:val="18"/>
              </w:rPr>
              <w:t>Logístico</w:t>
            </w:r>
          </w:p>
        </w:tc>
        <w:tc>
          <w:p w14:paraId="02DC4EC9">
            <w:pPr>
              <w:pStyle w:val="24"/>
              <w:spacing w:after="0"/>
              <w:jc w:val="left"/>
            </w:pPr>
            <w:r>
              <w:rPr>
                <w:rFonts w:ascii="Aptos" w:hAnsi="Aptos"/>
                <w:color w:val="1F2937"/>
                <w:sz w:val="18"/>
              </w:rPr>
              <w:t>Distribución del canal corto y suministros</w:t>
            </w:r>
          </w:p>
        </w:tc>
        <w:tc>
          <w:p w14:paraId="73A5C991">
            <w:pPr>
              <w:pStyle w:val="24"/>
              <w:spacing w:after="0"/>
              <w:jc w:val="left"/>
            </w:pPr>
            <w:r>
              <w:rPr>
                <w:rFonts w:ascii="Aptos" w:hAnsi="Aptos"/>
                <w:color w:val="1F2937"/>
                <w:sz w:val="18"/>
              </w:rPr>
              <w:t>A acordar en F1</w:t>
            </w:r>
          </w:p>
        </w:tc>
      </w:tr>
      <w:tr w14:paraId="5FBA806C">
        <w:tblPrEx>
          <w:tblCellMar>
            <w:top w:w="0" w:type="dxa"/>
            <w:left w:w="108" w:type="dxa"/>
            <w:bottom w:w="0" w:type="dxa"/>
            <w:right w:w="108" w:type="dxa"/>
          </w:tblCellMar>
        </w:tblPrEx>
        <w:tc>
          <w:p w14:paraId="15C1271C">
            <w:pPr>
              <w:pStyle w:val="24"/>
              <w:spacing w:after="0"/>
              <w:jc w:val="left"/>
            </w:pPr>
            <w:r>
              <w:rPr>
                <w:rFonts w:ascii="Aptos" w:hAnsi="Aptos"/>
                <w:color w:val="1F2937"/>
                <w:sz w:val="18"/>
              </w:rPr>
              <w:t>Diputación de Cáceres / Junta de Extremadura</w:t>
            </w:r>
          </w:p>
        </w:tc>
        <w:tc>
          <w:p w14:paraId="46D917D0">
            <w:pPr>
              <w:pStyle w:val="24"/>
              <w:spacing w:after="0"/>
              <w:jc w:val="left"/>
            </w:pPr>
            <w:r>
              <w:rPr>
                <w:rFonts w:ascii="Aptos" w:hAnsi="Aptos"/>
                <w:color w:val="1F2937"/>
                <w:sz w:val="18"/>
              </w:rPr>
              <w:t>Institucional</w:t>
            </w:r>
          </w:p>
        </w:tc>
        <w:tc>
          <w:p w14:paraId="769E9CA8">
            <w:pPr>
              <w:pStyle w:val="24"/>
              <w:spacing w:after="0"/>
              <w:jc w:val="left"/>
            </w:pPr>
            <w:r>
              <w:rPr>
                <w:rFonts w:ascii="Aptos" w:hAnsi="Aptos"/>
                <w:color w:val="1F2937"/>
                <w:sz w:val="18"/>
              </w:rPr>
              <w:t>Programas de emprendimiento (PIE Plus), digitalización y desarrollo rural</w:t>
            </w:r>
          </w:p>
        </w:tc>
        <w:tc>
          <w:p w14:paraId="39C79BDB">
            <w:pPr>
              <w:pStyle w:val="24"/>
              <w:spacing w:after="0"/>
              <w:jc w:val="left"/>
            </w:pPr>
            <w:r>
              <w:rPr>
                <w:rFonts w:ascii="Aptos" w:hAnsi="Aptos"/>
                <w:color w:val="1F2937"/>
                <w:sz w:val="18"/>
              </w:rPr>
              <w:t>Concurrencia a convocatorias</w:t>
            </w:r>
          </w:p>
        </w:tc>
      </w:tr>
    </w:tbl>
    <w:p w14:paraId="21F9D777">
      <w:pPr>
        <w:pStyle w:val="5"/>
      </w:pPr>
      <w:bookmarkStart w:id="77" w:name="X4ebcc345b08085e368840bfb290b9a316a06d09"/>
      <w:r>
        <w:rPr>
          <w:rFonts w:ascii="Aptos Display" w:hAnsi="Aptos Display"/>
          <w:b/>
          <w:color w:val="174A2E"/>
          <w:sz w:val="21"/>
        </w:rPr>
        <w:t>Ecosistema de incubación y aceleración (cuatro programas)</w:t>
      </w:r>
      <w:bookmarkEnd w:id="77"/>
    </w:p>
    <w:p w14:paraId="01DED045">
      <w:pPr>
        <w:pStyle w:val="23"/>
      </w:pPr>
      <w:r>
        <w:rPr>
          <w:rFonts w:ascii="Aptos" w:hAnsi="Aptos"/>
          <w:color w:val="1F2937"/>
          <w:sz w:val="21"/>
        </w:rPr>
        <w:t xml:space="preserve">El proyecto refuerza su madurez comercial —el eje más débil del IGM (§2.1)— apoyándose en cuatro programas de incubación y aceleración complementarios, cada uno alineado con un eje del proyecto. </w:t>
      </w:r>
      <w:r>
        <w:rPr>
          <w:rFonts w:ascii="Aptos" w:hAnsi="Aptos"/>
          <w:b/>
          <w:color w:val="1F2937"/>
          <w:sz w:val="21"/>
        </w:rPr>
        <w:t>Todos se declaran con su estado real; la relación con cada programa se registra en el SEV y avanza allí, nunca en el texto de esta memoria.</w:t>
      </w:r>
    </w:p>
    <w:tbl>
      <w:tblPr>
        <w:tblStyle w:val="28"/>
        <w:tblW w:w="5000" w:type="pct"/>
        <w:jc w:val="center"/>
        <w:tblInd w:w="0" w:type="dxa"/>
        <w:tblLayout w:type="fixed"/>
        <w:tblCellMar>
          <w:top w:w="0" w:type="dxa"/>
          <w:left w:w="108" w:type="dxa"/>
          <w:bottom w:w="0" w:type="dxa"/>
          <w:right w:w="108" w:type="dxa"/>
        </w:tblCellMar>
      </w:tblPr>
      <w:tblGrid>
        <w:gridCol w:w="1584"/>
        <w:gridCol w:w="1584"/>
        <w:gridCol w:w="1584"/>
        <w:gridCol w:w="1584"/>
        <w:gridCol w:w="1584"/>
      </w:tblGrid>
      <w:tr w14:paraId="6F55F831">
        <w:tblPrEx>
          <w:tblCellMar>
            <w:top w:w="0" w:type="dxa"/>
            <w:left w:w="108" w:type="dxa"/>
            <w:bottom w:w="0" w:type="dxa"/>
            <w:right w:w="108" w:type="dxa"/>
          </w:tblCellMar>
        </w:tblPrEx>
        <w:tc>
          <w:tcPr>
            <w:tcW w:w="1872" w:type="dxa"/>
            <w:tcBorders>
              <w:bottom w:val="single" w:color="auto" w:sz="0" w:space="0"/>
            </w:tcBorders>
            <w:vAlign w:val="bottom"/>
          </w:tcPr>
          <w:p w14:paraId="1DEFE154">
            <w:pPr>
              <w:pStyle w:val="24"/>
              <w:spacing w:after="0"/>
              <w:jc w:val="left"/>
            </w:pPr>
            <w:r>
              <w:rPr>
                <w:rFonts w:ascii="Aptos" w:hAnsi="Aptos"/>
                <w:color w:val="1F2937"/>
                <w:sz w:val="18"/>
              </w:rPr>
              <w:t>Incubadora / programa</w:t>
            </w:r>
          </w:p>
        </w:tc>
        <w:tc>
          <w:tcPr>
            <w:tcW w:w="1872" w:type="dxa"/>
            <w:tcBorders>
              <w:bottom w:val="single" w:color="auto" w:sz="0" w:space="0"/>
            </w:tcBorders>
            <w:vAlign w:val="bottom"/>
          </w:tcPr>
          <w:p w14:paraId="1CD00A1C">
            <w:pPr>
              <w:pStyle w:val="24"/>
              <w:spacing w:after="0"/>
              <w:jc w:val="left"/>
            </w:pPr>
            <w:r>
              <w:rPr>
                <w:rFonts w:ascii="Aptos" w:hAnsi="Aptos"/>
                <w:color w:val="1F2937"/>
                <w:sz w:val="18"/>
              </w:rPr>
              <w:t>Promotor y foco</w:t>
            </w:r>
          </w:p>
        </w:tc>
        <w:tc>
          <w:tcPr>
            <w:tcW w:w="1872" w:type="dxa"/>
            <w:tcBorders>
              <w:bottom w:val="single" w:color="auto" w:sz="0" w:space="0"/>
            </w:tcBorders>
            <w:vAlign w:val="bottom"/>
          </w:tcPr>
          <w:p w14:paraId="6D9A0642">
            <w:pPr>
              <w:pStyle w:val="24"/>
              <w:spacing w:after="0"/>
              <w:jc w:val="left"/>
            </w:pPr>
            <w:r>
              <w:rPr>
                <w:rFonts w:ascii="Aptos" w:hAnsi="Aptos"/>
                <w:color w:val="1F2937"/>
                <w:sz w:val="18"/>
              </w:rPr>
              <w:t>Qué aporta a CASTÚO</w:t>
            </w:r>
          </w:p>
        </w:tc>
        <w:tc>
          <w:tcPr>
            <w:tcW w:w="1872" w:type="dxa"/>
            <w:tcBorders>
              <w:bottom w:val="single" w:color="auto" w:sz="0" w:space="0"/>
            </w:tcBorders>
            <w:vAlign w:val="bottom"/>
          </w:tcPr>
          <w:p w14:paraId="2357CB73">
            <w:pPr>
              <w:pStyle w:val="24"/>
              <w:spacing w:after="0"/>
              <w:jc w:val="left"/>
            </w:pPr>
            <w:r>
              <w:rPr>
                <w:rFonts w:ascii="Aptos" w:hAnsi="Aptos"/>
                <w:color w:val="1F2937"/>
                <w:sz w:val="18"/>
              </w:rPr>
              <w:t>Eje del proyecto que refuerza</w:t>
            </w:r>
          </w:p>
        </w:tc>
        <w:tc>
          <w:tcPr>
            <w:tcW w:w="1872" w:type="dxa"/>
            <w:tcBorders>
              <w:bottom w:val="single" w:color="auto" w:sz="0" w:space="0"/>
            </w:tcBorders>
            <w:vAlign w:val="bottom"/>
          </w:tcPr>
          <w:p w14:paraId="74EA52A5">
            <w:pPr>
              <w:pStyle w:val="24"/>
              <w:spacing w:after="0"/>
              <w:jc w:val="left"/>
            </w:pPr>
            <w:r>
              <w:rPr>
                <w:rFonts w:ascii="Aptos" w:hAnsi="Aptos"/>
                <w:color w:val="1F2937"/>
                <w:sz w:val="18"/>
              </w:rPr>
              <w:t>Estado declarado</w:t>
            </w:r>
          </w:p>
        </w:tc>
      </w:tr>
      <w:tr w14:paraId="0CD76E08">
        <w:tblPrEx>
          <w:tblCellMar>
            <w:top w:w="0" w:type="dxa"/>
            <w:left w:w="108" w:type="dxa"/>
            <w:bottom w:w="0" w:type="dxa"/>
            <w:right w:w="108" w:type="dxa"/>
          </w:tblCellMar>
        </w:tblPrEx>
        <w:tc>
          <w:p w14:paraId="7F6F8758">
            <w:pPr>
              <w:pStyle w:val="24"/>
              <w:spacing w:after="0"/>
              <w:jc w:val="left"/>
            </w:pPr>
            <w:r>
              <w:rPr>
                <w:rFonts w:ascii="Aptos" w:hAnsi="Aptos"/>
                <w:b/>
                <w:color w:val="1F2937"/>
                <w:sz w:val="18"/>
              </w:rPr>
              <w:t>FoodLab</w:t>
            </w:r>
          </w:p>
        </w:tc>
        <w:tc>
          <w:p w14:paraId="3950DF5B">
            <w:pPr>
              <w:pStyle w:val="24"/>
              <w:spacing w:after="0"/>
              <w:jc w:val="left"/>
            </w:pPr>
            <w:r>
              <w:rPr>
                <w:rFonts w:ascii="Aptos" w:hAnsi="Aptos"/>
                <w:color w:val="1F2937"/>
                <w:sz w:val="18"/>
              </w:rPr>
              <w:t>CTAEX (Centro Tecnológico Nacional Agroalimentario), financiado por la Junta de Extremadura</w:t>
            </w:r>
          </w:p>
        </w:tc>
        <w:tc>
          <w:p w14:paraId="44A63C2C">
            <w:pPr>
              <w:pStyle w:val="24"/>
              <w:spacing w:after="0"/>
              <w:jc w:val="left"/>
            </w:pPr>
            <w:r>
              <w:rPr>
                <w:rFonts w:ascii="Aptos" w:hAnsi="Aptos"/>
                <w:color w:val="1F2937"/>
                <w:sz w:val="18"/>
              </w:rPr>
              <w:t>Acceso a laboratorios, plantas piloto, personal técnico especializado, mentoría de negocio y metodologías de innovación para validación técnica y llegada al mercado</w:t>
            </w:r>
          </w:p>
        </w:tc>
        <w:tc>
          <w:p w14:paraId="163B0633">
            <w:pPr>
              <w:pStyle w:val="24"/>
              <w:spacing w:after="0"/>
              <w:jc w:val="left"/>
            </w:pPr>
            <w:r>
              <w:rPr>
                <w:rFonts w:ascii="Aptos" w:hAnsi="Aptos"/>
                <w:color w:val="1F2937"/>
                <w:sz w:val="18"/>
              </w:rPr>
              <w:t>Validación agroalimentaria del SaaS y de los ensayos (N1–N4)</w:t>
            </w:r>
          </w:p>
        </w:tc>
        <w:tc>
          <w:p w14:paraId="0E1AD36B">
            <w:pPr>
              <w:pStyle w:val="24"/>
              <w:spacing w:after="0"/>
              <w:jc w:val="left"/>
            </w:pPr>
            <w:r>
              <w:rPr>
                <w:rFonts w:ascii="Aptos" w:hAnsi="Aptos"/>
                <w:color w:val="1F2937"/>
                <w:sz w:val="18"/>
              </w:rPr>
              <w:t>En candidatura / conversación</w:t>
            </w:r>
          </w:p>
        </w:tc>
      </w:tr>
      <w:tr w14:paraId="513C0536">
        <w:tblPrEx>
          <w:tblCellMar>
            <w:top w:w="0" w:type="dxa"/>
            <w:left w:w="108" w:type="dxa"/>
            <w:bottom w:w="0" w:type="dxa"/>
            <w:right w:w="108" w:type="dxa"/>
          </w:tblCellMar>
        </w:tblPrEx>
        <w:tc>
          <w:p w14:paraId="52EC87C1">
            <w:pPr>
              <w:pStyle w:val="24"/>
              <w:spacing w:after="0"/>
              <w:jc w:val="left"/>
            </w:pPr>
            <w:r>
              <w:rPr>
                <w:rFonts w:ascii="Aptos" w:hAnsi="Aptos"/>
                <w:b/>
                <w:color w:val="1F2937"/>
                <w:sz w:val="18"/>
              </w:rPr>
              <w:t>Degreen Plus</w:t>
            </w:r>
          </w:p>
        </w:tc>
        <w:tc>
          <w:p w14:paraId="36B744A3">
            <w:pPr>
              <w:pStyle w:val="24"/>
              <w:spacing w:after="0"/>
              <w:jc w:val="left"/>
            </w:pPr>
            <w:r>
              <w:rPr>
                <w:rFonts w:ascii="Aptos" w:hAnsi="Aptos"/>
                <w:color w:val="1F2937"/>
                <w:sz w:val="18"/>
              </w:rPr>
              <w:t>Fundecyt-PCTEx (Parque Científico y Tecnológico de Extremadura); red de incubadoras de alta tecnología orientada a bioeconomía y economía verde/circular, cofinanciada FEDER 2021-2027</w:t>
            </w:r>
          </w:p>
        </w:tc>
        <w:tc>
          <w:p w14:paraId="01634E60">
            <w:pPr>
              <w:pStyle w:val="24"/>
              <w:spacing w:after="0"/>
              <w:jc w:val="left"/>
            </w:pPr>
            <w:r>
              <w:rPr>
                <w:rFonts w:ascii="Aptos" w:hAnsi="Aptos"/>
                <w:color w:val="1F2937"/>
                <w:sz w:val="18"/>
              </w:rPr>
              <w:t>Encaje con el eje energético-circular (agrovoltaica, geotermia, economía circular del agua/calor); red RIS3 Extremadura; mentoría tecnológica</w:t>
            </w:r>
          </w:p>
        </w:tc>
        <w:tc>
          <w:p w14:paraId="5EA233E2">
            <w:pPr>
              <w:pStyle w:val="24"/>
              <w:spacing w:after="0"/>
              <w:jc w:val="left"/>
            </w:pPr>
            <w:r>
              <w:rPr>
                <w:rFonts w:ascii="Aptos" w:hAnsi="Aptos"/>
                <w:color w:val="1F2937"/>
                <w:sz w:val="18"/>
              </w:rPr>
              <w:t>Eje energético y de economía circular; escalabilidad (N6)</w:t>
            </w:r>
          </w:p>
        </w:tc>
        <w:tc>
          <w:p w14:paraId="67746FA8">
            <w:pPr>
              <w:pStyle w:val="24"/>
              <w:spacing w:after="0"/>
              <w:jc w:val="left"/>
            </w:pPr>
            <w:r>
              <w:rPr>
                <w:rFonts w:ascii="Aptos" w:hAnsi="Aptos"/>
                <w:color w:val="1F2937"/>
                <w:sz w:val="18"/>
              </w:rPr>
              <w:t>En candidatura / conversación</w:t>
            </w:r>
          </w:p>
        </w:tc>
      </w:tr>
      <w:tr w14:paraId="4E60F6A3">
        <w:tblPrEx>
          <w:tblCellMar>
            <w:top w:w="0" w:type="dxa"/>
            <w:left w:w="108" w:type="dxa"/>
            <w:bottom w:w="0" w:type="dxa"/>
            <w:right w:w="108" w:type="dxa"/>
          </w:tblCellMar>
        </w:tblPrEx>
        <w:tc>
          <w:p w14:paraId="4A89DBBF">
            <w:pPr>
              <w:pStyle w:val="24"/>
              <w:spacing w:after="0"/>
              <w:jc w:val="left"/>
            </w:pPr>
            <w:r>
              <w:rPr>
                <w:rFonts w:ascii="Aptos" w:hAnsi="Aptos"/>
                <w:b/>
                <w:color w:val="1F2937"/>
                <w:sz w:val="18"/>
              </w:rPr>
              <w:t>Con Valores</w:t>
            </w:r>
          </w:p>
        </w:tc>
        <w:tc>
          <w:p w14:paraId="23350A8C">
            <w:pPr>
              <w:pStyle w:val="24"/>
              <w:spacing w:after="0"/>
              <w:jc w:val="left"/>
            </w:pPr>
            <w:r>
              <w:rPr>
                <w:rFonts w:ascii="Aptos" w:hAnsi="Aptos"/>
                <w:color w:val="1F2937"/>
                <w:sz w:val="18"/>
              </w:rPr>
              <w:t>Incubadora de emprendimiento social/inclusivo, en colaboración con Fundación ONCE y el Fondo Social Europeo Plus (FSE+)</w:t>
            </w:r>
          </w:p>
        </w:tc>
        <w:tc>
          <w:p w14:paraId="5B7BB489">
            <w:pPr>
              <w:pStyle w:val="24"/>
              <w:spacing w:after="0"/>
              <w:jc w:val="left"/>
            </w:pPr>
            <w:r>
              <w:rPr>
                <w:rFonts w:ascii="Aptos" w:hAnsi="Aptos"/>
                <w:color w:val="1F2937"/>
                <w:sz w:val="18"/>
              </w:rPr>
              <w:t>Formación en competencias digitales y de negocio, mentoría personalizada y enfoque de economía social y sostenibilidad</w:t>
            </w:r>
          </w:p>
        </w:tc>
        <w:tc>
          <w:p w14:paraId="2DC626DD">
            <w:pPr>
              <w:pStyle w:val="24"/>
              <w:spacing w:after="0"/>
              <w:jc w:val="left"/>
            </w:pPr>
            <w:r>
              <w:rPr>
                <w:rFonts w:ascii="Aptos" w:hAnsi="Aptos"/>
                <w:color w:val="1F2937"/>
                <w:sz w:val="18"/>
              </w:rPr>
              <w:t>Compromiso social y empleo inclusivo (prioridad a jóvenes, mujeres y colectivos vulnerables, §8.2)</w:t>
            </w:r>
          </w:p>
        </w:tc>
        <w:tc>
          <w:p w14:paraId="085C9EB6">
            <w:pPr>
              <w:pStyle w:val="24"/>
              <w:spacing w:after="0"/>
              <w:jc w:val="left"/>
            </w:pPr>
            <w:r>
              <w:rPr>
                <w:rFonts w:ascii="Aptos" w:hAnsi="Aptos"/>
                <w:color w:val="1F2937"/>
                <w:sz w:val="18"/>
              </w:rPr>
              <w:t>En candidatura / conversación</w:t>
            </w:r>
          </w:p>
        </w:tc>
      </w:tr>
      <w:tr w14:paraId="5399A013">
        <w:tblPrEx>
          <w:tblCellMar>
            <w:top w:w="0" w:type="dxa"/>
            <w:left w:w="108" w:type="dxa"/>
            <w:bottom w:w="0" w:type="dxa"/>
            <w:right w:w="108" w:type="dxa"/>
          </w:tblCellMar>
        </w:tblPrEx>
        <w:tc>
          <w:p w14:paraId="3873AC28">
            <w:pPr>
              <w:pStyle w:val="24"/>
              <w:spacing w:after="0"/>
              <w:jc w:val="left"/>
            </w:pPr>
            <w:r>
              <w:rPr>
                <w:rFonts w:ascii="Aptos" w:hAnsi="Aptos"/>
                <w:b/>
                <w:color w:val="1F2937"/>
                <w:sz w:val="18"/>
              </w:rPr>
              <w:t>100 Kairos</w:t>
            </w:r>
          </w:p>
        </w:tc>
        <w:tc>
          <w:p w14:paraId="26326CE1">
            <w:pPr>
              <w:pStyle w:val="24"/>
              <w:spacing w:after="0"/>
              <w:jc w:val="left"/>
            </w:pPr>
            <w:r>
              <w:rPr>
                <w:rFonts w:ascii="Aptos" w:hAnsi="Aptos"/>
                <w:color w:val="1F2937"/>
                <w:sz w:val="18"/>
              </w:rPr>
              <w:t>Programa de incubación/aceleración de emprendimiento (naturaleza y edición a confirmar en el SEV)</w:t>
            </w:r>
          </w:p>
        </w:tc>
        <w:tc>
          <w:p w14:paraId="394A8F27">
            <w:pPr>
              <w:pStyle w:val="24"/>
              <w:spacing w:after="0"/>
              <w:jc w:val="left"/>
            </w:pPr>
            <w:r>
              <w:rPr>
                <w:rFonts w:ascii="Aptos" w:hAnsi="Aptos"/>
                <w:color w:val="1F2937"/>
                <w:sz w:val="18"/>
              </w:rPr>
              <w:t>Aceleración, mentoría y acceso a red de emprendimiento e inversores</w:t>
            </w:r>
          </w:p>
        </w:tc>
        <w:tc>
          <w:p w14:paraId="5B3D84CF">
            <w:pPr>
              <w:pStyle w:val="24"/>
              <w:spacing w:after="0"/>
              <w:jc w:val="left"/>
            </w:pPr>
            <w:r>
              <w:rPr>
                <w:rFonts w:ascii="Aptos" w:hAnsi="Aptos"/>
                <w:color w:val="1F2937"/>
                <w:sz w:val="18"/>
              </w:rPr>
              <w:t>Madurez comercial y financiación escalonada (N4–N5)</w:t>
            </w:r>
          </w:p>
        </w:tc>
        <w:tc>
          <w:p w14:paraId="649BC0D3">
            <w:pPr>
              <w:pStyle w:val="24"/>
              <w:spacing w:after="0"/>
              <w:jc w:val="left"/>
            </w:pPr>
            <w:r>
              <w:rPr>
                <w:rFonts w:ascii="Aptos" w:hAnsi="Aptos"/>
                <w:color w:val="1F2937"/>
                <w:sz w:val="18"/>
              </w:rPr>
              <w:t>En candidatura / por confirmar</w:t>
            </w:r>
          </w:p>
        </w:tc>
      </w:tr>
    </w:tbl>
    <w:p w14:paraId="58643F43">
      <w:pPr>
        <w:pStyle w:val="3"/>
      </w:pPr>
      <w:r>
        <w:rPr>
          <w:rFonts w:ascii="Aptos" w:hAnsi="Aptos"/>
          <w:b/>
          <w:color w:val="1F2937"/>
          <w:sz w:val="21"/>
        </w:rPr>
        <w:t>Por qué estas cuatro y no más.</w:t>
      </w:r>
      <w:r>
        <w:rPr>
          <w:rFonts w:ascii="Aptos" w:hAnsi="Aptos"/>
          <w:color w:val="1F2937"/>
          <w:sz w:val="21"/>
        </w:rPr>
        <w:t xml:space="preserve"> Cada programa cubre una dimensión distinta y verificable del proyecto: </w:t>
      </w:r>
      <w:r>
        <w:rPr>
          <w:rFonts w:ascii="Aptos" w:hAnsi="Aptos"/>
          <w:b/>
          <w:color w:val="1F2937"/>
          <w:sz w:val="21"/>
        </w:rPr>
        <w:t>FoodLab</w:t>
      </w:r>
      <w:r>
        <w:rPr>
          <w:rFonts w:ascii="Aptos" w:hAnsi="Aptos"/>
          <w:color w:val="1F2937"/>
          <w:sz w:val="21"/>
        </w:rPr>
        <w:t xml:space="preserve"> aporta la validación agroalimentaria con infraestructura técnica real (plantas piloto y laboratorios), que acorta y abarata los ensayos de la Fase 1; </w:t>
      </w:r>
      <w:r>
        <w:rPr>
          <w:rFonts w:ascii="Aptos" w:hAnsi="Aptos"/>
          <w:b/>
          <w:color w:val="1F2937"/>
          <w:sz w:val="21"/>
        </w:rPr>
        <w:t>Degreen Plus</w:t>
      </w:r>
      <w:r>
        <w:rPr>
          <w:rFonts w:ascii="Aptos" w:hAnsi="Aptos"/>
          <w:color w:val="1F2937"/>
          <w:sz w:val="21"/>
        </w:rPr>
        <w:t xml:space="preserve"> encaja el componente energético-circular y conecta con la red científico-tecnológica regional necesaria para la réplica; </w:t>
      </w:r>
      <w:r>
        <w:rPr>
          <w:rFonts w:ascii="Aptos" w:hAnsi="Aptos"/>
          <w:b/>
          <w:color w:val="1F2937"/>
          <w:sz w:val="21"/>
        </w:rPr>
        <w:t>Con Valores</w:t>
      </w:r>
      <w:r>
        <w:rPr>
          <w:rFonts w:ascii="Aptos" w:hAnsi="Aptos"/>
          <w:color w:val="1F2937"/>
          <w:sz w:val="21"/>
        </w:rPr>
        <w:t xml:space="preserve"> alinea el proyecto con su compromiso social declarado (empleo inclusivo y economía social), coherente con la prioridad a jóvenes y mujeres; y </w:t>
      </w:r>
      <w:r>
        <w:rPr>
          <w:rFonts w:ascii="Aptos" w:hAnsi="Aptos"/>
          <w:b/>
          <w:color w:val="1F2937"/>
          <w:sz w:val="21"/>
        </w:rPr>
        <w:t>100 Kairos</w:t>
      </w:r>
      <w:r>
        <w:rPr>
          <w:rFonts w:ascii="Aptos" w:hAnsi="Aptos"/>
          <w:color w:val="1F2937"/>
          <w:sz w:val="21"/>
        </w:rPr>
        <w:t xml:space="preserve"> aporta aceleración comercial y acceso a red, el eje más débil del IGM. La participación en estos programas es </w:t>
      </w:r>
      <w:r>
        <w:rPr>
          <w:rFonts w:ascii="Aptos" w:hAnsi="Aptos"/>
          <w:b/>
          <w:color w:val="1F2937"/>
          <w:sz w:val="21"/>
        </w:rPr>
        <w:t>acompañamiento y validación, no financiación de la inversión</w:t>
      </w:r>
      <w:r>
        <w:rPr>
          <w:rFonts w:ascii="Aptos" w:hAnsi="Aptos"/>
          <w:color w:val="1F2937"/>
          <w:sz w:val="21"/>
        </w:rPr>
        <w:t>: ninguna partida del arranque depende de ser admitido, del mismo modo que el premio PIE PLUS es catalizador y no fuente. Que quien valida (incubadora, centro tecnológico, universidad) no sea quien ejecuta es un principio de diseño del proyecto.</w:t>
      </w:r>
    </w:p>
    <w:p w14:paraId="1C8C8EB5">
      <w:pPr>
        <w:pStyle w:val="3"/>
      </w:pPr>
      <w:r>
        <w:rPr>
          <w:rFonts w:ascii="Aptos" w:hAnsi="Aptos"/>
          <w:color w:val="1F2937"/>
          <w:sz w:val="21"/>
        </w:rPr>
        <w:t>Estas alianzas fortalecen a la empresa (suelo, canal, validación, talento, aceleración) y al territorio (empleo, ahorro energético municipal, formación e infraestructura de datos que queda en la comarca).</w:t>
      </w:r>
    </w:p>
    <w:p w14:paraId="464432DE">
      <w:pPr>
        <w:pStyle w:val="5"/>
      </w:pPr>
      <w:bookmarkStart w:id="78" w:name="Xd41764710fd8337dde9c0a8da29af4e85166b92"/>
      <w:r>
        <w:rPr>
          <w:rFonts w:ascii="Aptos Display" w:hAnsi="Aptos Display"/>
          <w:b/>
          <w:color w:val="174A2E"/>
          <w:sz w:val="21"/>
        </w:rPr>
        <w:t>Evidencia externa: estado real (auditoría v5.1)</w:t>
      </w:r>
      <w:bookmarkEnd w:id="78"/>
    </w:p>
    <w:p w14:paraId="6C3BC521">
      <w:pPr>
        <w:pStyle w:val="23"/>
      </w:pPr>
      <w:r>
        <w:rPr>
          <w:rFonts w:ascii="Aptos" w:hAnsi="Aptos"/>
          <w:b/>
          <w:color w:val="1F2937"/>
          <w:sz w:val="21"/>
        </w:rPr>
        <w:t>Regla de clasificación.</w:t>
      </w:r>
      <w:r>
        <w:rPr>
          <w:rFonts w:ascii="Aptos" w:hAnsi="Aptos"/>
          <w:color w:val="1F2937"/>
          <w:sz w:val="21"/>
        </w:rPr>
        <w:t xml:space="preserve"> Cada relación externa se declara por su </w:t>
      </w:r>
      <w:r>
        <w:rPr>
          <w:rFonts w:ascii="Aptos" w:hAnsi="Aptos"/>
          <w:b/>
          <w:color w:val="1F2937"/>
          <w:sz w:val="21"/>
        </w:rPr>
        <w:t>estado documental real</w:t>
      </w:r>
      <w:r>
        <w:rPr>
          <w:rFonts w:ascii="Aptos" w:hAnsi="Aptos"/>
          <w:color w:val="1F2937"/>
          <w:sz w:val="21"/>
        </w:rPr>
        <w:t>. No se emplea “alianza”, “admitida” o “seleccionada” cuando solo existe candidatura o contacto. Los estados no se convierten (candidatura ≠ admisión; colaboración ≠ cliente; solicitud ≠ concesión).</w:t>
      </w:r>
    </w:p>
    <w:p w14:paraId="0DFEC74C">
      <w:pPr>
        <w:pStyle w:val="3"/>
      </w:pPr>
      <w:r>
        <w:rPr>
          <w:rFonts w:ascii="Aptos" w:hAnsi="Aptos"/>
          <w:b/>
          <w:color w:val="1F2937"/>
          <w:sz w:val="21"/>
        </w:rPr>
        <w:t>Cuatrecasas Acelera / Cuatrecasas Innova — proceso de selección en curso.</w:t>
      </w:r>
      <w:r>
        <w:rPr>
          <w:rFonts w:ascii="Aptos" w:hAnsi="Aptos"/>
          <w:color w:val="1F2937"/>
          <w:sz w:val="21"/>
        </w:rPr>
        <w:t xml:space="preserve"> CASTÚO-SYSTEM se encuentra actualmente </w:t>
      </w:r>
      <w:r>
        <w:rPr>
          <w:rFonts w:ascii="Aptos" w:hAnsi="Aptos"/>
          <w:b/>
          <w:color w:val="1F2937"/>
          <w:sz w:val="21"/>
        </w:rPr>
        <w:t>en proceso de selección/admisión</w:t>
      </w:r>
      <w:r>
        <w:rPr>
          <w:rFonts w:ascii="Aptos" w:hAnsi="Aptos"/>
          <w:color w:val="1F2937"/>
          <w:sz w:val="21"/>
        </w:rPr>
        <w:t xml:space="preserve"> para el programa </w:t>
      </w:r>
      <w:r>
        <w:rPr>
          <w:rFonts w:ascii="Aptos" w:hAnsi="Aptos"/>
          <w:b/>
          <w:color w:val="1F2937"/>
          <w:sz w:val="21"/>
        </w:rPr>
        <w:t>Cuatrecasas Acelera</w:t>
      </w:r>
      <w:r>
        <w:rPr>
          <w:rFonts w:ascii="Aptos" w:hAnsi="Aptos"/>
          <w:color w:val="1F2937"/>
          <w:sz w:val="21"/>
        </w:rPr>
        <w:t xml:space="preserve">, programa de aceleración </w:t>
      </w:r>
      <w:r>
        <w:rPr>
          <w:rFonts w:ascii="Aptos" w:hAnsi="Aptos"/>
          <w:i/>
          <w:color w:val="1F2937"/>
          <w:sz w:val="21"/>
        </w:rPr>
        <w:t>equity-free</w:t>
      </w:r>
      <w:r>
        <w:rPr>
          <w:rFonts w:ascii="Aptos" w:hAnsi="Aptos"/>
          <w:color w:val="1F2937"/>
          <w:sz w:val="21"/>
        </w:rPr>
        <w:t xml:space="preserve"> integrado en </w:t>
      </w:r>
      <w:r>
        <w:rPr>
          <w:rFonts w:ascii="Aptos" w:hAnsi="Aptos"/>
          <w:b/>
          <w:color w:val="1F2937"/>
          <w:sz w:val="21"/>
        </w:rPr>
        <w:t>Cuatrecasas Innova</w:t>
      </w:r>
      <w:r>
        <w:rPr>
          <w:rFonts w:ascii="Aptos" w:hAnsi="Aptos"/>
          <w:color w:val="1F2937"/>
          <w:sz w:val="21"/>
        </w:rPr>
        <w:t xml:space="preserve"> (11.ª edición, 2026), orientado a </w:t>
      </w:r>
      <w:r>
        <w:rPr>
          <w:rFonts w:ascii="Aptos" w:hAnsi="Aptos"/>
          <w:i/>
          <w:color w:val="1F2937"/>
          <w:sz w:val="21"/>
        </w:rPr>
        <w:t>startups</w:t>
      </w:r>
      <w:r>
        <w:rPr>
          <w:rFonts w:ascii="Aptos" w:hAnsi="Aptos"/>
          <w:color w:val="1F2937"/>
          <w:sz w:val="21"/>
        </w:rPr>
        <w:t xml:space="preserve"> con MVP funcional y complejidad jurídica/regulatoria. La referencia se incorpora como evidencia de </w:t>
      </w:r>
      <w:r>
        <w:rPr>
          <w:rFonts w:ascii="Aptos" w:hAnsi="Aptos"/>
          <w:b/>
          <w:color w:val="1F2937"/>
          <w:sz w:val="21"/>
        </w:rPr>
        <w:t>búsqueda activa de validación y acompañamiento externo</w:t>
      </w:r>
      <w:r>
        <w:rPr>
          <w:rFonts w:ascii="Aptos" w:hAnsi="Aptos"/>
          <w:color w:val="1F2937"/>
          <w:sz w:val="21"/>
        </w:rPr>
        <w:t xml:space="preserve"> (negocio, innovación y cumplimiento jurídico/regulatorio). </w:t>
      </w:r>
      <w:r>
        <w:rPr>
          <w:rFonts w:ascii="Aptos" w:hAnsi="Aptos"/>
          <w:b/>
          <w:color w:val="1F2937"/>
          <w:sz w:val="21"/>
        </w:rPr>
        <w:t>Hasta la comunicación formal de resultado, no se presenta como admisión ni participación confirmada.</w:t>
      </w:r>
      <w:r>
        <w:rPr>
          <w:rFonts w:ascii="Aptos" w:hAnsi="Aptos"/>
          <w:color w:val="1F2937"/>
          <w:sz w:val="21"/>
        </w:rPr>
        <w:t xml:space="preserve"> Artefacto: SEV-EXT-CUATRECASAS-INNOVA-001 · estado </w:t>
      </w:r>
      <w:r>
        <w:rPr>
          <w:rFonts w:ascii="Aptos" w:hAnsi="Aptos"/>
          <w:b/>
          <w:color w:val="1F2937"/>
          <w:sz w:val="21"/>
        </w:rPr>
        <w:t>IN_SELECTION</w:t>
      </w:r>
      <w:r>
        <w:rPr>
          <w:rFonts w:ascii="Aptos" w:hAnsi="Aptos"/>
          <w:color w:val="1F2937"/>
          <w:sz w:val="21"/>
        </w:rPr>
        <w:t>.</w:t>
      </w:r>
    </w:p>
    <w:p w14:paraId="62B45C0C">
      <w:pPr>
        <w:pStyle w:val="3"/>
      </w:pPr>
      <w:r>
        <w:rPr>
          <w:rFonts w:ascii="Aptos" w:hAnsi="Aptos"/>
          <w:b/>
          <w:color w:val="1F2937"/>
          <w:sz w:val="21"/>
        </w:rPr>
        <w:t>Acceso a usuarios reales — acuerdos de colaboración con explotaciones ganaderas.</w:t>
      </w:r>
      <w:r>
        <w:rPr>
          <w:rFonts w:ascii="Aptos" w:hAnsi="Aptos"/>
          <w:color w:val="1F2937"/>
          <w:sz w:val="21"/>
        </w:rPr>
        <w:t xml:space="preserve"> CASTÚO-SYSTEM cuenta con </w:t>
      </w:r>
      <w:r>
        <w:rPr>
          <w:rFonts w:ascii="Aptos" w:hAnsi="Aptos"/>
          <w:b/>
          <w:color w:val="1F2937"/>
          <w:sz w:val="21"/>
        </w:rPr>
        <w:t>dos acuerdos de colaboración con explotaciones ganaderas</w:t>
      </w:r>
      <w:r>
        <w:rPr>
          <w:rFonts w:ascii="Aptos" w:hAnsi="Aptos"/>
          <w:color w:val="1F2937"/>
          <w:sz w:val="21"/>
        </w:rPr>
        <w:t xml:space="preserve"> que aportan </w:t>
      </w:r>
      <w:r>
        <w:rPr>
          <w:rFonts w:ascii="Aptos" w:hAnsi="Aptos"/>
          <w:b/>
          <w:color w:val="1F2937"/>
          <w:sz w:val="21"/>
        </w:rPr>
        <w:t>acceso a usuarios reales para validación de campo</w:t>
      </w:r>
      <w:r>
        <w:rPr>
          <w:rFonts w:ascii="Aptos" w:hAnsi="Aptos"/>
          <w:color w:val="1F2937"/>
          <w:sz w:val="21"/>
        </w:rPr>
        <w:t xml:space="preserve"> (artefactos SEV-COM-GANADERO-001 y -002; identidad, fecha, objeto, obligaciones y firma </w:t>
      </w:r>
      <w:r>
        <w:rPr>
          <w:rFonts w:ascii="Aptos" w:hAnsi="Aptos"/>
          <w:b/>
          <w:color w:val="1F2937"/>
          <w:sz w:val="21"/>
        </w:rPr>
        <w:t>a consignar según documento</w:t>
      </w:r>
      <w:r>
        <w:rPr>
          <w:rFonts w:ascii="Aptos" w:hAnsi="Aptos"/>
          <w:color w:val="1F2937"/>
          <w:sz w:val="21"/>
        </w:rPr>
        <w:t xml:space="preserve">). Se declaran como </w:t>
      </w:r>
      <w:r>
        <w:rPr>
          <w:rFonts w:ascii="Aptos" w:hAnsi="Aptos"/>
          <w:b/>
          <w:color w:val="1F2937"/>
          <w:sz w:val="21"/>
        </w:rPr>
        <w:t>acuerdos de colaboración</w:t>
      </w:r>
      <w:r>
        <w:rPr>
          <w:rFonts w:ascii="Aptos" w:hAnsi="Aptos"/>
          <w:color w:val="1F2937"/>
          <w:sz w:val="21"/>
        </w:rPr>
        <w:t xml:space="preserve">, no como clientes ni pilotos remunerados salvo que el documento acredite contraprestación. </w:t>
      </w:r>
      <w:r>
        <w:rPr>
          <w:rFonts w:ascii="Aptos" w:hAnsi="Aptos"/>
          <w:b/>
          <w:color w:val="1F2937"/>
          <w:sz w:val="21"/>
        </w:rPr>
        <w:t>No satisfacen por sí solos</w:t>
      </w:r>
      <w:r>
        <w:rPr>
          <w:rFonts w:ascii="Aptos" w:hAnsi="Aptos"/>
          <w:color w:val="1F2937"/>
          <w:sz w:val="21"/>
        </w:rPr>
        <w:t xml:space="preserve"> el criterio del Gate G1 de ≥5 clientes/pilotos remunerados; reducen el riesgo comercial (acceso a usuario real y prueba de uso) pero no lo eliminan.</w:t>
      </w:r>
    </w:p>
    <w:p w14:paraId="6563F8FA">
      <w:pPr>
        <w:pStyle w:val="3"/>
      </w:pPr>
      <w:r>
        <w:rPr>
          <w:rFonts w:ascii="Aptos" w:hAnsi="Aptos"/>
          <w:b/>
          <w:color w:val="1F2937"/>
          <w:sz w:val="21"/>
        </w:rPr>
        <w:t>Matriz de evidencia externa.</w:t>
      </w:r>
    </w:p>
    <w:tbl>
      <w:tblPr>
        <w:tblStyle w:val="28"/>
        <w:tblW w:w="5000" w:type="pct"/>
        <w:jc w:val="center"/>
        <w:tblInd w:w="0" w:type="dxa"/>
        <w:tblLayout w:type="fixed"/>
        <w:tblCellMar>
          <w:top w:w="0" w:type="dxa"/>
          <w:left w:w="108" w:type="dxa"/>
          <w:bottom w:w="0" w:type="dxa"/>
          <w:right w:w="108" w:type="dxa"/>
        </w:tblCellMar>
      </w:tblPr>
      <w:tblGrid>
        <w:gridCol w:w="1584"/>
        <w:gridCol w:w="1584"/>
        <w:gridCol w:w="1584"/>
        <w:gridCol w:w="1584"/>
        <w:gridCol w:w="1584"/>
      </w:tblGrid>
      <w:tr w14:paraId="3281275B">
        <w:tc>
          <w:tcPr>
            <w:tcW w:w="1872" w:type="dxa"/>
            <w:tcBorders>
              <w:bottom w:val="single" w:color="auto" w:sz="0" w:space="0"/>
            </w:tcBorders>
            <w:vAlign w:val="bottom"/>
          </w:tcPr>
          <w:p w14:paraId="0A3CD93D">
            <w:pPr>
              <w:pStyle w:val="24"/>
              <w:spacing w:after="0"/>
              <w:jc w:val="left"/>
            </w:pPr>
            <w:r>
              <w:rPr>
                <w:rFonts w:ascii="Aptos" w:hAnsi="Aptos"/>
                <w:color w:val="1F2937"/>
                <w:sz w:val="18"/>
              </w:rPr>
              <w:t>Evidencia</w:t>
            </w:r>
          </w:p>
        </w:tc>
        <w:tc>
          <w:tcPr>
            <w:tcW w:w="1872" w:type="dxa"/>
            <w:tcBorders>
              <w:bottom w:val="single" w:color="auto" w:sz="0" w:space="0"/>
            </w:tcBorders>
            <w:vAlign w:val="bottom"/>
          </w:tcPr>
          <w:p w14:paraId="0ED33EF4">
            <w:pPr>
              <w:pStyle w:val="24"/>
              <w:spacing w:after="0"/>
              <w:jc w:val="left"/>
            </w:pPr>
            <w:r>
              <w:rPr>
                <w:rFonts w:ascii="Aptos" w:hAnsi="Aptos"/>
                <w:color w:val="1F2937"/>
                <w:sz w:val="18"/>
              </w:rPr>
              <w:t>Tipo</w:t>
            </w:r>
          </w:p>
        </w:tc>
        <w:tc>
          <w:tcPr>
            <w:tcW w:w="1872" w:type="dxa"/>
            <w:tcBorders>
              <w:bottom w:val="single" w:color="auto" w:sz="0" w:space="0"/>
            </w:tcBorders>
            <w:vAlign w:val="bottom"/>
          </w:tcPr>
          <w:p w14:paraId="333EA8EF">
            <w:pPr>
              <w:pStyle w:val="24"/>
              <w:spacing w:after="0"/>
              <w:jc w:val="left"/>
            </w:pPr>
            <w:r>
              <w:rPr>
                <w:rFonts w:ascii="Aptos" w:hAnsi="Aptos"/>
                <w:color w:val="1F2937"/>
                <w:sz w:val="18"/>
              </w:rPr>
              <w:t>Estado declarado</w:t>
            </w:r>
          </w:p>
        </w:tc>
        <w:tc>
          <w:tcPr>
            <w:tcW w:w="1872" w:type="dxa"/>
            <w:tcBorders>
              <w:bottom w:val="single" w:color="auto" w:sz="0" w:space="0"/>
            </w:tcBorders>
            <w:vAlign w:val="bottom"/>
          </w:tcPr>
          <w:p w14:paraId="5609D919">
            <w:pPr>
              <w:pStyle w:val="24"/>
              <w:spacing w:after="0"/>
              <w:jc w:val="left"/>
            </w:pPr>
            <w:r>
              <w:rPr>
                <w:rFonts w:ascii="Aptos" w:hAnsi="Aptos"/>
                <w:color w:val="1F2937"/>
                <w:sz w:val="18"/>
              </w:rPr>
              <w:t>Qué demuestra</w:t>
            </w:r>
          </w:p>
        </w:tc>
        <w:tc>
          <w:tcPr>
            <w:tcW w:w="1872" w:type="dxa"/>
            <w:tcBorders>
              <w:bottom w:val="single" w:color="auto" w:sz="0" w:space="0"/>
            </w:tcBorders>
            <w:vAlign w:val="bottom"/>
          </w:tcPr>
          <w:p w14:paraId="4221BAD7">
            <w:pPr>
              <w:pStyle w:val="24"/>
              <w:spacing w:after="0"/>
              <w:jc w:val="left"/>
            </w:pPr>
            <w:r>
              <w:rPr>
                <w:rFonts w:ascii="Aptos" w:hAnsi="Aptos"/>
                <w:color w:val="1F2937"/>
                <w:sz w:val="18"/>
              </w:rPr>
              <w:t>Qué NO demuestra</w:t>
            </w:r>
          </w:p>
        </w:tc>
      </w:tr>
      <w:tr w14:paraId="00833158">
        <w:tblPrEx>
          <w:tblCellMar>
            <w:top w:w="0" w:type="dxa"/>
            <w:left w:w="108" w:type="dxa"/>
            <w:bottom w:w="0" w:type="dxa"/>
            <w:right w:w="108" w:type="dxa"/>
          </w:tblCellMar>
        </w:tblPrEx>
        <w:tc>
          <w:p w14:paraId="29DDC288">
            <w:pPr>
              <w:pStyle w:val="24"/>
              <w:spacing w:after="0"/>
              <w:jc w:val="left"/>
            </w:pPr>
            <w:r>
              <w:rPr>
                <w:rFonts w:ascii="Aptos" w:hAnsi="Aptos"/>
                <w:color w:val="1F2937"/>
                <w:sz w:val="18"/>
              </w:rPr>
              <w:t>FoodLab (CTAEX)</w:t>
            </w:r>
          </w:p>
        </w:tc>
        <w:tc>
          <w:p w14:paraId="0C5B6C1D">
            <w:pPr>
              <w:pStyle w:val="24"/>
              <w:spacing w:after="0"/>
              <w:jc w:val="left"/>
            </w:pPr>
            <w:r>
              <w:rPr>
                <w:rFonts w:ascii="Aptos" w:hAnsi="Aptos"/>
                <w:color w:val="1F2937"/>
                <w:sz w:val="18"/>
              </w:rPr>
              <w:t>Incubación / validación</w:t>
            </w:r>
          </w:p>
        </w:tc>
        <w:tc>
          <w:p w14:paraId="52024520">
            <w:pPr>
              <w:pStyle w:val="24"/>
              <w:spacing w:after="0"/>
              <w:jc w:val="left"/>
            </w:pPr>
            <w:r>
              <w:rPr>
                <w:rFonts w:ascii="Aptos" w:hAnsi="Aptos"/>
                <w:color w:val="1F2937"/>
                <w:sz w:val="18"/>
              </w:rPr>
              <w:t>En candidatura</w:t>
            </w:r>
          </w:p>
        </w:tc>
        <w:tc>
          <w:p w14:paraId="0AF104DF">
            <w:pPr>
              <w:pStyle w:val="24"/>
              <w:spacing w:after="0"/>
              <w:jc w:val="left"/>
            </w:pPr>
            <w:r>
              <w:rPr>
                <w:rFonts w:ascii="Aptos" w:hAnsi="Aptos"/>
                <w:color w:val="1F2937"/>
                <w:sz w:val="18"/>
              </w:rPr>
              <w:t>Encaje agroalimentario / acompañamiento potencial</w:t>
            </w:r>
          </w:p>
        </w:tc>
        <w:tc>
          <w:p w14:paraId="77B3A56C">
            <w:pPr>
              <w:pStyle w:val="24"/>
              <w:spacing w:after="0"/>
              <w:jc w:val="left"/>
            </w:pPr>
            <w:r>
              <w:rPr>
                <w:rFonts w:ascii="Aptos" w:hAnsi="Aptos"/>
                <w:color w:val="1F2937"/>
                <w:sz w:val="18"/>
              </w:rPr>
              <w:t>No admisión; no cliente</w:t>
            </w:r>
          </w:p>
        </w:tc>
      </w:tr>
      <w:tr w14:paraId="0FAA914F">
        <w:tblPrEx>
          <w:tblCellMar>
            <w:top w:w="0" w:type="dxa"/>
            <w:left w:w="108" w:type="dxa"/>
            <w:bottom w:w="0" w:type="dxa"/>
            <w:right w:w="108" w:type="dxa"/>
          </w:tblCellMar>
        </w:tblPrEx>
        <w:tc>
          <w:p w14:paraId="6C25622A">
            <w:pPr>
              <w:pStyle w:val="24"/>
              <w:spacing w:after="0"/>
              <w:jc w:val="left"/>
            </w:pPr>
            <w:r>
              <w:rPr>
                <w:rFonts w:ascii="Aptos" w:hAnsi="Aptos"/>
                <w:color w:val="1F2937"/>
                <w:sz w:val="18"/>
              </w:rPr>
              <w:t>Degreen Plus (Fundecyt-PCTEx)</w:t>
            </w:r>
          </w:p>
        </w:tc>
        <w:tc>
          <w:p w14:paraId="1C4683BE">
            <w:pPr>
              <w:pStyle w:val="24"/>
              <w:spacing w:after="0"/>
              <w:jc w:val="left"/>
            </w:pPr>
            <w:r>
              <w:rPr>
                <w:rFonts w:ascii="Aptos" w:hAnsi="Aptos"/>
                <w:color w:val="1F2937"/>
                <w:sz w:val="18"/>
              </w:rPr>
              <w:t>Incubación</w:t>
            </w:r>
          </w:p>
        </w:tc>
        <w:tc>
          <w:p w14:paraId="3070ACAB">
            <w:pPr>
              <w:pStyle w:val="24"/>
              <w:spacing w:after="0"/>
              <w:jc w:val="left"/>
            </w:pPr>
            <w:r>
              <w:rPr>
                <w:rFonts w:ascii="Aptos" w:hAnsi="Aptos"/>
                <w:color w:val="1F2937"/>
                <w:sz w:val="18"/>
              </w:rPr>
              <w:t>En candidatura</w:t>
            </w:r>
          </w:p>
        </w:tc>
        <w:tc>
          <w:p w14:paraId="75DCD96C">
            <w:pPr>
              <w:pStyle w:val="24"/>
              <w:spacing w:after="0"/>
              <w:jc w:val="left"/>
            </w:pPr>
            <w:r>
              <w:rPr>
                <w:rFonts w:ascii="Aptos" w:hAnsi="Aptos"/>
                <w:color w:val="1F2937"/>
                <w:sz w:val="18"/>
              </w:rPr>
              <w:t>Encaje energético-circular</w:t>
            </w:r>
          </w:p>
        </w:tc>
        <w:tc>
          <w:p w14:paraId="61B8EA70">
            <w:pPr>
              <w:pStyle w:val="24"/>
              <w:spacing w:after="0"/>
              <w:jc w:val="left"/>
            </w:pPr>
            <w:r>
              <w:rPr>
                <w:rFonts w:ascii="Aptos" w:hAnsi="Aptos"/>
                <w:color w:val="1F2937"/>
                <w:sz w:val="18"/>
              </w:rPr>
              <w:t>No admisión; no concesión</w:t>
            </w:r>
          </w:p>
        </w:tc>
      </w:tr>
      <w:tr w14:paraId="21F77590">
        <w:tblPrEx>
          <w:tblCellMar>
            <w:top w:w="0" w:type="dxa"/>
            <w:left w:w="108" w:type="dxa"/>
            <w:bottom w:w="0" w:type="dxa"/>
            <w:right w:w="108" w:type="dxa"/>
          </w:tblCellMar>
        </w:tblPrEx>
        <w:tc>
          <w:p w14:paraId="004667AF">
            <w:pPr>
              <w:pStyle w:val="24"/>
              <w:spacing w:after="0"/>
              <w:jc w:val="left"/>
            </w:pPr>
            <w:r>
              <w:rPr>
                <w:rFonts w:ascii="Aptos" w:hAnsi="Aptos"/>
                <w:color w:val="1F2937"/>
                <w:sz w:val="18"/>
              </w:rPr>
              <w:t>Con Valores (Fundación ONCE)</w:t>
            </w:r>
          </w:p>
        </w:tc>
        <w:tc>
          <w:p w14:paraId="77871E2C">
            <w:pPr>
              <w:pStyle w:val="24"/>
              <w:spacing w:after="0"/>
              <w:jc w:val="left"/>
            </w:pPr>
            <w:r>
              <w:rPr>
                <w:rFonts w:ascii="Aptos" w:hAnsi="Aptos"/>
                <w:color w:val="1F2937"/>
                <w:sz w:val="18"/>
              </w:rPr>
              <w:t>Incubación social</w:t>
            </w:r>
          </w:p>
        </w:tc>
        <w:tc>
          <w:p w14:paraId="4156FD80">
            <w:pPr>
              <w:pStyle w:val="24"/>
              <w:spacing w:after="0"/>
              <w:jc w:val="left"/>
            </w:pPr>
            <w:r>
              <w:rPr>
                <w:rFonts w:ascii="Aptos" w:hAnsi="Aptos"/>
                <w:color w:val="1F2937"/>
                <w:sz w:val="18"/>
              </w:rPr>
              <w:t>En candidatura</w:t>
            </w:r>
          </w:p>
        </w:tc>
        <w:tc>
          <w:p w14:paraId="5AB25C59">
            <w:pPr>
              <w:pStyle w:val="24"/>
              <w:spacing w:after="0"/>
              <w:jc w:val="left"/>
            </w:pPr>
            <w:r>
              <w:rPr>
                <w:rFonts w:ascii="Aptos" w:hAnsi="Aptos"/>
                <w:color w:val="1F2937"/>
                <w:sz w:val="18"/>
              </w:rPr>
              <w:t>Dimensión social/inclusiva</w:t>
            </w:r>
          </w:p>
        </w:tc>
        <w:tc>
          <w:p w14:paraId="671D187B">
            <w:pPr>
              <w:pStyle w:val="24"/>
              <w:spacing w:after="0"/>
              <w:jc w:val="left"/>
            </w:pPr>
            <w:r>
              <w:rPr>
                <w:rFonts w:ascii="Aptos" w:hAnsi="Aptos"/>
                <w:color w:val="1F2937"/>
                <w:sz w:val="18"/>
              </w:rPr>
              <w:t>No concesión de ayuda</w:t>
            </w:r>
          </w:p>
        </w:tc>
      </w:tr>
      <w:tr w14:paraId="7C673E3E">
        <w:tblPrEx>
          <w:tblCellMar>
            <w:top w:w="0" w:type="dxa"/>
            <w:left w:w="108" w:type="dxa"/>
            <w:bottom w:w="0" w:type="dxa"/>
            <w:right w:w="108" w:type="dxa"/>
          </w:tblCellMar>
        </w:tblPrEx>
        <w:tc>
          <w:p w14:paraId="61D4C618">
            <w:pPr>
              <w:pStyle w:val="24"/>
              <w:spacing w:after="0"/>
              <w:jc w:val="left"/>
            </w:pPr>
            <w:r>
              <w:rPr>
                <w:rFonts w:ascii="Aptos" w:hAnsi="Aptos"/>
                <w:color w:val="1F2937"/>
                <w:sz w:val="18"/>
              </w:rPr>
              <w:t>100 Kairós</w:t>
            </w:r>
          </w:p>
        </w:tc>
        <w:tc>
          <w:p w14:paraId="0B66B40E">
            <w:pPr>
              <w:pStyle w:val="24"/>
              <w:spacing w:after="0"/>
              <w:jc w:val="left"/>
            </w:pPr>
            <w:r>
              <w:rPr>
                <w:rFonts w:ascii="Aptos" w:hAnsi="Aptos"/>
                <w:color w:val="1F2937"/>
                <w:sz w:val="18"/>
              </w:rPr>
              <w:t>Aceleración</w:t>
            </w:r>
          </w:p>
        </w:tc>
        <w:tc>
          <w:p w14:paraId="211179E5">
            <w:pPr>
              <w:pStyle w:val="24"/>
              <w:spacing w:after="0"/>
              <w:jc w:val="left"/>
            </w:pPr>
            <w:r>
              <w:rPr>
                <w:rFonts w:ascii="Aptos" w:hAnsi="Aptos"/>
                <w:color w:val="1F2937"/>
                <w:sz w:val="18"/>
              </w:rPr>
              <w:t>En candidatura / contacto</w:t>
            </w:r>
          </w:p>
        </w:tc>
        <w:tc>
          <w:p w14:paraId="71317A76">
            <w:pPr>
              <w:pStyle w:val="24"/>
              <w:spacing w:after="0"/>
              <w:jc w:val="left"/>
            </w:pPr>
            <w:r>
              <w:rPr>
                <w:rFonts w:ascii="Aptos" w:hAnsi="Aptos"/>
                <w:color w:val="1F2937"/>
                <w:sz w:val="18"/>
              </w:rPr>
              <w:t>Interés de aceleración comercial</w:t>
            </w:r>
          </w:p>
        </w:tc>
        <w:tc>
          <w:p w14:paraId="18EEA6C8">
            <w:pPr>
              <w:pStyle w:val="24"/>
              <w:spacing w:after="0"/>
              <w:jc w:val="left"/>
            </w:pPr>
            <w:r>
              <w:rPr>
                <w:rFonts w:ascii="Aptos" w:hAnsi="Aptos"/>
                <w:color w:val="1F2937"/>
                <w:sz w:val="18"/>
              </w:rPr>
              <w:t>No selección</w:t>
            </w:r>
          </w:p>
        </w:tc>
      </w:tr>
      <w:tr w14:paraId="6A48864D">
        <w:tblPrEx>
          <w:tblCellMar>
            <w:top w:w="0" w:type="dxa"/>
            <w:left w:w="108" w:type="dxa"/>
            <w:bottom w:w="0" w:type="dxa"/>
            <w:right w:w="108" w:type="dxa"/>
          </w:tblCellMar>
        </w:tblPrEx>
        <w:tc>
          <w:p w14:paraId="1FC03593">
            <w:pPr>
              <w:pStyle w:val="24"/>
              <w:spacing w:after="0"/>
              <w:jc w:val="left"/>
            </w:pPr>
            <w:r>
              <w:rPr>
                <w:rFonts w:ascii="Aptos" w:hAnsi="Aptos"/>
                <w:color w:val="1F2937"/>
                <w:sz w:val="18"/>
              </w:rPr>
              <w:t>Cuatrecasas Acelera / Innova</w:t>
            </w:r>
          </w:p>
        </w:tc>
        <w:tc>
          <w:p w14:paraId="218819E4">
            <w:pPr>
              <w:pStyle w:val="24"/>
              <w:spacing w:after="0"/>
              <w:jc w:val="left"/>
            </w:pPr>
            <w:r>
              <w:rPr>
                <w:rFonts w:ascii="Aptos" w:hAnsi="Aptos"/>
                <w:color w:val="1F2937"/>
                <w:sz w:val="18"/>
              </w:rPr>
              <w:t>Aceleración (selección)</w:t>
            </w:r>
          </w:p>
        </w:tc>
        <w:tc>
          <w:p w14:paraId="3F9E473B">
            <w:pPr>
              <w:pStyle w:val="24"/>
              <w:spacing w:after="0"/>
              <w:jc w:val="left"/>
            </w:pPr>
            <w:r>
              <w:rPr>
                <w:rFonts w:ascii="Aptos" w:hAnsi="Aptos"/>
                <w:b/>
                <w:color w:val="1F2937"/>
                <w:sz w:val="18"/>
              </w:rPr>
              <w:t>IN_SELECTION</w:t>
            </w:r>
          </w:p>
        </w:tc>
        <w:tc>
          <w:p w14:paraId="4B77A2F3">
            <w:pPr>
              <w:pStyle w:val="24"/>
              <w:spacing w:after="0"/>
              <w:jc w:val="left"/>
            </w:pPr>
            <w:r>
              <w:rPr>
                <w:rFonts w:ascii="Aptos" w:hAnsi="Aptos"/>
                <w:color w:val="1F2937"/>
                <w:sz w:val="18"/>
              </w:rPr>
              <w:t>Posicionamiento y validación externa en curso</w:t>
            </w:r>
          </w:p>
        </w:tc>
        <w:tc>
          <w:p w14:paraId="05BC3A5A">
            <w:pPr>
              <w:pStyle w:val="24"/>
              <w:spacing w:after="0"/>
              <w:jc w:val="left"/>
            </w:pPr>
            <w:r>
              <w:rPr>
                <w:rFonts w:ascii="Aptos" w:hAnsi="Aptos"/>
                <w:color w:val="1F2937"/>
                <w:sz w:val="18"/>
              </w:rPr>
              <w:t>No admisión; no participación confirmada</w:t>
            </w:r>
          </w:p>
        </w:tc>
      </w:tr>
      <w:tr w14:paraId="27FD1723">
        <w:tblPrEx>
          <w:tblCellMar>
            <w:top w:w="0" w:type="dxa"/>
            <w:left w:w="108" w:type="dxa"/>
            <w:bottom w:w="0" w:type="dxa"/>
            <w:right w:w="108" w:type="dxa"/>
          </w:tblCellMar>
        </w:tblPrEx>
        <w:tc>
          <w:p w14:paraId="477E30D5">
            <w:pPr>
              <w:pStyle w:val="24"/>
              <w:spacing w:after="0"/>
              <w:jc w:val="left"/>
            </w:pPr>
            <w:r>
              <w:rPr>
                <w:rFonts w:ascii="Aptos" w:hAnsi="Aptos"/>
                <w:color w:val="1F2937"/>
                <w:sz w:val="18"/>
              </w:rPr>
              <w:t>Ganadero 1</w:t>
            </w:r>
          </w:p>
        </w:tc>
        <w:tc>
          <w:p w14:paraId="10CF9F5A">
            <w:pPr>
              <w:pStyle w:val="24"/>
              <w:spacing w:after="0"/>
              <w:jc w:val="left"/>
            </w:pPr>
            <w:r>
              <w:rPr>
                <w:rFonts w:ascii="Aptos" w:hAnsi="Aptos"/>
                <w:color w:val="1F2937"/>
                <w:sz w:val="18"/>
              </w:rPr>
              <w:t>Acuerdo de colaboración</w:t>
            </w:r>
          </w:p>
        </w:tc>
        <w:tc>
          <w:p w14:paraId="45991DA8">
            <w:pPr>
              <w:pStyle w:val="24"/>
              <w:spacing w:after="0"/>
              <w:jc w:val="left"/>
            </w:pPr>
            <w:r>
              <w:rPr>
                <w:rFonts w:ascii="Aptos" w:hAnsi="Aptos"/>
                <w:color w:val="1F2937"/>
                <w:sz w:val="18"/>
              </w:rPr>
              <w:t>A consignar (según documento)</w:t>
            </w:r>
          </w:p>
        </w:tc>
        <w:tc>
          <w:p w14:paraId="15AACDC6">
            <w:pPr>
              <w:pStyle w:val="24"/>
              <w:spacing w:after="0"/>
              <w:jc w:val="left"/>
            </w:pPr>
            <w:r>
              <w:rPr>
                <w:rFonts w:ascii="Aptos" w:hAnsi="Aptos"/>
                <w:color w:val="1F2937"/>
                <w:sz w:val="18"/>
              </w:rPr>
              <w:t>Acceso a usuario real, validación de campo</w:t>
            </w:r>
          </w:p>
        </w:tc>
        <w:tc>
          <w:p w14:paraId="2A549DE9">
            <w:pPr>
              <w:pStyle w:val="24"/>
              <w:spacing w:after="0"/>
              <w:jc w:val="left"/>
            </w:pPr>
            <w:r>
              <w:rPr>
                <w:rFonts w:ascii="Aptos" w:hAnsi="Aptos"/>
                <w:color w:val="1F2937"/>
                <w:sz w:val="18"/>
              </w:rPr>
              <w:t>No cliente; no piloto remunerado</w:t>
            </w:r>
          </w:p>
        </w:tc>
      </w:tr>
      <w:tr w14:paraId="5F2460F5">
        <w:tblPrEx>
          <w:tblCellMar>
            <w:top w:w="0" w:type="dxa"/>
            <w:left w:w="108" w:type="dxa"/>
            <w:bottom w:w="0" w:type="dxa"/>
            <w:right w:w="108" w:type="dxa"/>
          </w:tblCellMar>
        </w:tblPrEx>
        <w:tc>
          <w:p w14:paraId="67995D77">
            <w:pPr>
              <w:pStyle w:val="24"/>
              <w:spacing w:after="0"/>
              <w:jc w:val="left"/>
            </w:pPr>
            <w:r>
              <w:rPr>
                <w:rFonts w:ascii="Aptos" w:hAnsi="Aptos"/>
                <w:color w:val="1F2937"/>
                <w:sz w:val="18"/>
              </w:rPr>
              <w:t>Ganadero 2</w:t>
            </w:r>
          </w:p>
        </w:tc>
        <w:tc>
          <w:p w14:paraId="64F2729D">
            <w:pPr>
              <w:pStyle w:val="24"/>
              <w:spacing w:after="0"/>
              <w:jc w:val="left"/>
            </w:pPr>
            <w:r>
              <w:rPr>
                <w:rFonts w:ascii="Aptos" w:hAnsi="Aptos"/>
                <w:color w:val="1F2937"/>
                <w:sz w:val="18"/>
              </w:rPr>
              <w:t>Acuerdo de colaboración</w:t>
            </w:r>
          </w:p>
        </w:tc>
        <w:tc>
          <w:p w14:paraId="0B8534E3">
            <w:pPr>
              <w:pStyle w:val="24"/>
              <w:spacing w:after="0"/>
              <w:jc w:val="left"/>
            </w:pPr>
            <w:r>
              <w:rPr>
                <w:rFonts w:ascii="Aptos" w:hAnsi="Aptos"/>
                <w:color w:val="1F2937"/>
                <w:sz w:val="18"/>
              </w:rPr>
              <w:t>A consignar (según documento)</w:t>
            </w:r>
          </w:p>
        </w:tc>
        <w:tc>
          <w:p w14:paraId="3B524D30">
            <w:pPr>
              <w:pStyle w:val="24"/>
              <w:spacing w:after="0"/>
              <w:jc w:val="left"/>
            </w:pPr>
            <w:r>
              <w:rPr>
                <w:rFonts w:ascii="Aptos" w:hAnsi="Aptos"/>
                <w:color w:val="1F2937"/>
                <w:sz w:val="18"/>
              </w:rPr>
              <w:t>Acceso a usuario real, validación de campo</w:t>
            </w:r>
          </w:p>
        </w:tc>
        <w:tc>
          <w:p w14:paraId="36D42BD7">
            <w:pPr>
              <w:pStyle w:val="24"/>
              <w:spacing w:after="0"/>
              <w:jc w:val="left"/>
            </w:pPr>
            <w:r>
              <w:rPr>
                <w:rFonts w:ascii="Aptos" w:hAnsi="Aptos"/>
                <w:color w:val="1F2937"/>
                <w:sz w:val="18"/>
              </w:rPr>
              <w:t>No cliente; no piloto remunerado</w:t>
            </w:r>
          </w:p>
        </w:tc>
      </w:tr>
    </w:tbl>
    <w:p w14:paraId="23948E85">
      <w:pPr>
        <w:pStyle w:val="3"/>
      </w:pPr>
      <w:r>
        <w:rPr>
          <w:rFonts w:ascii="Aptos" w:hAnsi="Aptos"/>
          <w:color w:val="1F2937"/>
          <w:sz w:val="21"/>
        </w:rPr>
        <w:t xml:space="preserve">Cuando un documento no aporte evidencia suficiente, prevalece: </w:t>
      </w:r>
      <w:r>
        <w:rPr>
          <w:rFonts w:ascii="Aptos" w:hAnsi="Aptos"/>
          <w:i/>
          <w:color w:val="1F2937"/>
          <w:sz w:val="21"/>
        </w:rPr>
        <w:t>“estado no verificable documentalmente / no se reclama como evidencia de selección”</w:t>
      </w:r>
      <w:r>
        <w:rPr>
          <w:rFonts w:ascii="Aptos" w:hAnsi="Aptos"/>
          <w:color w:val="1F2937"/>
          <w:sz w:val="21"/>
        </w:rPr>
        <w:t xml:space="preserve">. El valor no está en el </w:t>
      </w:r>
      <w:r>
        <w:rPr>
          <w:rFonts w:ascii="Aptos" w:hAnsi="Aptos"/>
          <w:b/>
          <w:color w:val="1F2937"/>
          <w:sz w:val="21"/>
        </w:rPr>
        <w:t>número</w:t>
      </w:r>
      <w:r>
        <w:rPr>
          <w:rFonts w:ascii="Aptos" w:hAnsi="Aptos"/>
          <w:color w:val="1F2937"/>
          <w:sz w:val="21"/>
        </w:rPr>
        <w:t xml:space="preserve"> de programas, sino en la </w:t>
      </w:r>
      <w:r>
        <w:rPr>
          <w:rFonts w:ascii="Aptos" w:hAnsi="Aptos"/>
          <w:b/>
          <w:color w:val="1F2937"/>
          <w:sz w:val="21"/>
        </w:rPr>
        <w:t>reducción de riesgo</w:t>
      </w:r>
      <w:r>
        <w:rPr>
          <w:rFonts w:ascii="Aptos" w:hAnsi="Aptos"/>
          <w:color w:val="1F2937"/>
          <w:sz w:val="21"/>
        </w:rPr>
        <w:t xml:space="preserve"> que cada evidencia acredita.</w:t>
      </w:r>
    </w:p>
    <w:p w14:paraId="2BD2F886">
      <w:pPr>
        <w:pStyle w:val="4"/>
      </w:pPr>
      <w:bookmarkStart w:id="79" w:name="X582d26ad3c35cbd2a9dc38a513e062c4660485a"/>
      <w:r>
        <w:rPr>
          <w:rFonts w:ascii="Aptos Display" w:hAnsi="Aptos Display"/>
          <w:b/>
          <w:color w:val="174A2E"/>
          <w:sz w:val="21"/>
        </w:rPr>
        <w:t>8.4. Desarrollo ampliado — Matriz RACI del proyecto</w:t>
      </w:r>
      <w:bookmarkEnd w:id="79"/>
    </w:p>
    <w:p w14:paraId="05FB54D3">
      <w:pPr>
        <w:pStyle w:val="23"/>
      </w:pPr>
      <w:r>
        <w:rPr>
          <w:rFonts w:ascii="Aptos" w:hAnsi="Aptos"/>
          <w:color w:val="1F2937"/>
          <w:sz w:val="21"/>
        </w:rPr>
        <w:t>(R = responsable de ejecutar; A = aprueba; C = consultado; I = informado.)</w:t>
      </w:r>
    </w:p>
    <w:tbl>
      <w:tblPr>
        <w:tblStyle w:val="28"/>
        <w:tblW w:w="4999" w:type="pct"/>
        <w:jc w:val="center"/>
        <w:tblInd w:w="0" w:type="dxa"/>
        <w:tblLayout w:type="fixed"/>
        <w:tblCellMar>
          <w:top w:w="0" w:type="dxa"/>
          <w:left w:w="108" w:type="dxa"/>
          <w:bottom w:w="0" w:type="dxa"/>
          <w:right w:w="108" w:type="dxa"/>
        </w:tblCellMar>
      </w:tblPr>
      <w:tblGrid>
        <w:gridCol w:w="1131"/>
        <w:gridCol w:w="1131"/>
        <w:gridCol w:w="1131"/>
        <w:gridCol w:w="1131"/>
        <w:gridCol w:w="1131"/>
        <w:gridCol w:w="1131"/>
        <w:gridCol w:w="1131"/>
      </w:tblGrid>
      <w:tr w14:paraId="0EDE3457">
        <w:tblPrEx>
          <w:tblCellMar>
            <w:top w:w="0" w:type="dxa"/>
            <w:left w:w="108" w:type="dxa"/>
            <w:bottom w:w="0" w:type="dxa"/>
            <w:right w:w="108" w:type="dxa"/>
          </w:tblCellMar>
        </w:tblPrEx>
        <w:tc>
          <w:tcPr>
            <w:tcW w:w="1337" w:type="dxa"/>
            <w:tcBorders>
              <w:bottom w:val="single" w:color="auto" w:sz="0" w:space="0"/>
            </w:tcBorders>
            <w:vAlign w:val="bottom"/>
          </w:tcPr>
          <w:p w14:paraId="5F19BE03">
            <w:pPr>
              <w:pStyle w:val="24"/>
              <w:spacing w:after="0"/>
              <w:jc w:val="left"/>
            </w:pPr>
            <w:r>
              <w:rPr>
                <w:rFonts w:ascii="Aptos" w:hAnsi="Aptos"/>
                <w:color w:val="1F2937"/>
                <w:sz w:val="18"/>
              </w:rPr>
              <w:t>Actividad</w:t>
            </w:r>
          </w:p>
        </w:tc>
        <w:tc>
          <w:tcPr>
            <w:tcW w:w="1337" w:type="dxa"/>
            <w:tcBorders>
              <w:bottom w:val="single" w:color="auto" w:sz="0" w:space="0"/>
            </w:tcBorders>
            <w:vAlign w:val="bottom"/>
          </w:tcPr>
          <w:p w14:paraId="5138BF1C">
            <w:pPr>
              <w:pStyle w:val="24"/>
              <w:spacing w:after="0"/>
              <w:jc w:val="left"/>
            </w:pPr>
            <w:r>
              <w:rPr>
                <w:rFonts w:ascii="Aptos" w:hAnsi="Aptos"/>
                <w:color w:val="1F2937"/>
                <w:sz w:val="18"/>
              </w:rPr>
              <w:t>Dir. proyecto</w:t>
            </w:r>
          </w:p>
        </w:tc>
        <w:tc>
          <w:tcPr>
            <w:tcW w:w="1337" w:type="dxa"/>
            <w:tcBorders>
              <w:bottom w:val="single" w:color="auto" w:sz="0" w:space="0"/>
            </w:tcBorders>
            <w:vAlign w:val="bottom"/>
          </w:tcPr>
          <w:p w14:paraId="759EF1A0">
            <w:pPr>
              <w:pStyle w:val="24"/>
              <w:spacing w:after="0"/>
              <w:jc w:val="left"/>
            </w:pPr>
            <w:r>
              <w:rPr>
                <w:rFonts w:ascii="Aptos" w:hAnsi="Aptos"/>
                <w:color w:val="1F2937"/>
                <w:sz w:val="18"/>
              </w:rPr>
              <w:t>Comité técnico</w:t>
            </w:r>
          </w:p>
        </w:tc>
        <w:tc>
          <w:tcPr>
            <w:tcW w:w="1337" w:type="dxa"/>
            <w:tcBorders>
              <w:bottom w:val="single" w:color="auto" w:sz="0" w:space="0"/>
            </w:tcBorders>
            <w:vAlign w:val="bottom"/>
          </w:tcPr>
          <w:p w14:paraId="1E28C41E">
            <w:pPr>
              <w:pStyle w:val="24"/>
              <w:spacing w:after="0"/>
              <w:jc w:val="left"/>
            </w:pPr>
            <w:r>
              <w:rPr>
                <w:rFonts w:ascii="Aptos" w:hAnsi="Aptos"/>
                <w:color w:val="1F2937"/>
                <w:sz w:val="18"/>
              </w:rPr>
              <w:t>Comité económico</w:t>
            </w:r>
          </w:p>
        </w:tc>
        <w:tc>
          <w:tcPr>
            <w:tcW w:w="1337" w:type="dxa"/>
            <w:tcBorders>
              <w:bottom w:val="single" w:color="auto" w:sz="0" w:space="0"/>
            </w:tcBorders>
            <w:vAlign w:val="bottom"/>
          </w:tcPr>
          <w:p w14:paraId="21B8C8BB">
            <w:pPr>
              <w:pStyle w:val="24"/>
              <w:spacing w:after="0"/>
              <w:jc w:val="left"/>
            </w:pPr>
            <w:r>
              <w:rPr>
                <w:rFonts w:ascii="Aptos" w:hAnsi="Aptos"/>
                <w:color w:val="1F2937"/>
                <w:sz w:val="18"/>
              </w:rPr>
              <w:t>Ayuntamiento</w:t>
            </w:r>
          </w:p>
        </w:tc>
        <w:tc>
          <w:tcPr>
            <w:tcW w:w="1337" w:type="dxa"/>
            <w:tcBorders>
              <w:bottom w:val="single" w:color="auto" w:sz="0" w:space="0"/>
            </w:tcBorders>
            <w:vAlign w:val="bottom"/>
          </w:tcPr>
          <w:p w14:paraId="4D933872">
            <w:pPr>
              <w:pStyle w:val="24"/>
              <w:spacing w:after="0"/>
              <w:jc w:val="left"/>
            </w:pPr>
            <w:r>
              <w:rPr>
                <w:rFonts w:ascii="Aptos" w:hAnsi="Aptos"/>
                <w:color w:val="1F2937"/>
                <w:sz w:val="18"/>
              </w:rPr>
              <w:t>Dir. facultativa</w:t>
            </w:r>
          </w:p>
        </w:tc>
        <w:tc>
          <w:tcPr>
            <w:tcW w:w="1337" w:type="dxa"/>
            <w:tcBorders>
              <w:bottom w:val="single" w:color="auto" w:sz="0" w:space="0"/>
            </w:tcBorders>
            <w:vAlign w:val="bottom"/>
          </w:tcPr>
          <w:p w14:paraId="32DFE050">
            <w:pPr>
              <w:pStyle w:val="24"/>
              <w:spacing w:after="0"/>
              <w:jc w:val="left"/>
            </w:pPr>
            <w:r>
              <w:rPr>
                <w:rFonts w:ascii="Aptos" w:hAnsi="Aptos"/>
                <w:color w:val="1F2937"/>
                <w:sz w:val="18"/>
              </w:rPr>
              <w:t>Asesoría jurídica</w:t>
            </w:r>
          </w:p>
        </w:tc>
      </w:tr>
      <w:tr w14:paraId="5326791C">
        <w:tblPrEx>
          <w:tblCellMar>
            <w:top w:w="0" w:type="dxa"/>
            <w:left w:w="108" w:type="dxa"/>
            <w:bottom w:w="0" w:type="dxa"/>
            <w:right w:w="108" w:type="dxa"/>
          </w:tblCellMar>
        </w:tblPrEx>
        <w:tc>
          <w:p w14:paraId="3C5C7A35">
            <w:pPr>
              <w:pStyle w:val="24"/>
              <w:spacing w:after="0"/>
              <w:jc w:val="left"/>
            </w:pPr>
            <w:r>
              <w:rPr>
                <w:rFonts w:ascii="Aptos" w:hAnsi="Aptos"/>
                <w:color w:val="1F2937"/>
                <w:sz w:val="18"/>
              </w:rPr>
              <w:t>Desarrollo y operación del SaaS</w:t>
            </w:r>
          </w:p>
        </w:tc>
        <w:tc>
          <w:p w14:paraId="6CA363A0">
            <w:pPr>
              <w:pStyle w:val="24"/>
              <w:spacing w:after="0"/>
              <w:jc w:val="left"/>
            </w:pPr>
            <w:r>
              <w:rPr>
                <w:rFonts w:ascii="Aptos" w:hAnsi="Aptos"/>
                <w:color w:val="1F2937"/>
                <w:sz w:val="18"/>
              </w:rPr>
              <w:t>A</w:t>
            </w:r>
          </w:p>
        </w:tc>
        <w:tc>
          <w:p w14:paraId="76934EDE">
            <w:pPr>
              <w:pStyle w:val="24"/>
              <w:spacing w:after="0"/>
              <w:jc w:val="left"/>
            </w:pPr>
            <w:r>
              <w:rPr>
                <w:rFonts w:ascii="Aptos" w:hAnsi="Aptos"/>
                <w:color w:val="1F2937"/>
                <w:sz w:val="18"/>
              </w:rPr>
              <w:t>R</w:t>
            </w:r>
          </w:p>
        </w:tc>
        <w:tc>
          <w:p w14:paraId="782A68B8">
            <w:pPr>
              <w:pStyle w:val="24"/>
              <w:spacing w:after="0"/>
              <w:jc w:val="left"/>
            </w:pPr>
            <w:r>
              <w:rPr>
                <w:rFonts w:ascii="Aptos" w:hAnsi="Aptos"/>
                <w:color w:val="1F2937"/>
                <w:sz w:val="18"/>
              </w:rPr>
              <w:t>I</w:t>
            </w:r>
          </w:p>
        </w:tc>
        <w:tc>
          <w:p w14:paraId="50EB4D78">
            <w:pPr>
              <w:pStyle w:val="24"/>
              <w:spacing w:after="0"/>
              <w:jc w:val="left"/>
            </w:pPr>
            <w:r>
              <w:rPr>
                <w:rFonts w:ascii="Aptos" w:hAnsi="Aptos"/>
                <w:color w:val="1F2937"/>
                <w:sz w:val="18"/>
              </w:rPr>
              <w:t>I</w:t>
            </w:r>
          </w:p>
        </w:tc>
        <w:tc>
          <w:p w14:paraId="7A928F48">
            <w:pPr>
              <w:pStyle w:val="24"/>
              <w:spacing w:after="0"/>
              <w:jc w:val="left"/>
            </w:pPr>
            <w:r>
              <w:rPr>
                <w:rFonts w:ascii="Aptos" w:hAnsi="Aptos"/>
                <w:color w:val="1F2937"/>
                <w:sz w:val="18"/>
              </w:rPr>
              <w:t>—</w:t>
            </w:r>
          </w:p>
        </w:tc>
        <w:tc>
          <w:p w14:paraId="48232F62">
            <w:pPr>
              <w:pStyle w:val="24"/>
              <w:spacing w:after="0"/>
              <w:jc w:val="left"/>
            </w:pPr>
            <w:r>
              <w:rPr>
                <w:rFonts w:ascii="Aptos" w:hAnsi="Aptos"/>
                <w:color w:val="1F2937"/>
                <w:sz w:val="18"/>
              </w:rPr>
              <w:t>C</w:t>
            </w:r>
          </w:p>
        </w:tc>
      </w:tr>
      <w:tr w14:paraId="3C498AC6">
        <w:tblPrEx>
          <w:tblCellMar>
            <w:top w:w="0" w:type="dxa"/>
            <w:left w:w="108" w:type="dxa"/>
            <w:bottom w:w="0" w:type="dxa"/>
            <w:right w:w="108" w:type="dxa"/>
          </w:tblCellMar>
        </w:tblPrEx>
        <w:tc>
          <w:p w14:paraId="49F3A418">
            <w:pPr>
              <w:pStyle w:val="24"/>
              <w:spacing w:after="0"/>
              <w:jc w:val="left"/>
            </w:pPr>
            <w:r>
              <w:rPr>
                <w:rFonts w:ascii="Aptos" w:hAnsi="Aptos"/>
                <w:color w:val="1F2937"/>
                <w:sz w:val="18"/>
              </w:rPr>
              <w:t>Pilotos de sensórica y módulo terracota</w:t>
            </w:r>
          </w:p>
        </w:tc>
        <w:tc>
          <w:p w14:paraId="44759A7F">
            <w:pPr>
              <w:pStyle w:val="24"/>
              <w:spacing w:after="0"/>
              <w:jc w:val="left"/>
            </w:pPr>
            <w:r>
              <w:rPr>
                <w:rFonts w:ascii="Aptos" w:hAnsi="Aptos"/>
                <w:color w:val="1F2937"/>
                <w:sz w:val="18"/>
              </w:rPr>
              <w:t>A</w:t>
            </w:r>
          </w:p>
        </w:tc>
        <w:tc>
          <w:p w14:paraId="677C8CBE">
            <w:pPr>
              <w:pStyle w:val="24"/>
              <w:spacing w:after="0"/>
              <w:jc w:val="left"/>
            </w:pPr>
            <w:r>
              <w:rPr>
                <w:rFonts w:ascii="Aptos" w:hAnsi="Aptos"/>
                <w:color w:val="1F2937"/>
                <w:sz w:val="18"/>
              </w:rPr>
              <w:t>R</w:t>
            </w:r>
          </w:p>
        </w:tc>
        <w:tc>
          <w:p w14:paraId="6C51F909">
            <w:pPr>
              <w:pStyle w:val="24"/>
              <w:spacing w:after="0"/>
              <w:jc w:val="left"/>
            </w:pPr>
            <w:r>
              <w:rPr>
                <w:rFonts w:ascii="Aptos" w:hAnsi="Aptos"/>
                <w:color w:val="1F2937"/>
                <w:sz w:val="18"/>
              </w:rPr>
              <w:t>I</w:t>
            </w:r>
          </w:p>
        </w:tc>
        <w:tc>
          <w:p w14:paraId="1AF6DE33">
            <w:pPr>
              <w:pStyle w:val="24"/>
              <w:spacing w:after="0"/>
              <w:jc w:val="left"/>
            </w:pPr>
            <w:r>
              <w:rPr>
                <w:rFonts w:ascii="Aptos" w:hAnsi="Aptos"/>
                <w:color w:val="1F2937"/>
                <w:sz w:val="18"/>
              </w:rPr>
              <w:t>C</w:t>
            </w:r>
          </w:p>
        </w:tc>
        <w:tc>
          <w:p w14:paraId="0F81DAE7">
            <w:pPr>
              <w:pStyle w:val="24"/>
              <w:spacing w:after="0"/>
              <w:jc w:val="left"/>
            </w:pPr>
            <w:r>
              <w:rPr>
                <w:rFonts w:ascii="Aptos" w:hAnsi="Aptos"/>
                <w:color w:val="1F2937"/>
                <w:sz w:val="18"/>
              </w:rPr>
              <w:t>—</w:t>
            </w:r>
          </w:p>
        </w:tc>
        <w:tc>
          <w:p w14:paraId="660EC314">
            <w:pPr>
              <w:pStyle w:val="24"/>
              <w:spacing w:after="0"/>
              <w:jc w:val="left"/>
            </w:pPr>
            <w:r>
              <w:rPr>
                <w:rFonts w:ascii="Aptos" w:hAnsi="Aptos"/>
                <w:color w:val="1F2937"/>
                <w:sz w:val="18"/>
              </w:rPr>
              <w:t>—</w:t>
            </w:r>
          </w:p>
        </w:tc>
      </w:tr>
      <w:tr w14:paraId="1086D04C">
        <w:tblPrEx>
          <w:tblCellMar>
            <w:top w:w="0" w:type="dxa"/>
            <w:left w:w="108" w:type="dxa"/>
            <w:bottom w:w="0" w:type="dxa"/>
            <w:right w:w="108" w:type="dxa"/>
          </w:tblCellMar>
        </w:tblPrEx>
        <w:tc>
          <w:p w14:paraId="5EBE7802">
            <w:pPr>
              <w:pStyle w:val="24"/>
              <w:spacing w:after="0"/>
              <w:jc w:val="left"/>
            </w:pPr>
            <w:r>
              <w:rPr>
                <w:rFonts w:ascii="Aptos" w:hAnsi="Aptos"/>
                <w:color w:val="1F2937"/>
                <w:sz w:val="18"/>
              </w:rPr>
              <w:t>Convenio de suelo y vehículo energético</w:t>
            </w:r>
          </w:p>
        </w:tc>
        <w:tc>
          <w:p w14:paraId="1F33CC35">
            <w:pPr>
              <w:pStyle w:val="24"/>
              <w:spacing w:after="0"/>
              <w:jc w:val="left"/>
            </w:pPr>
            <w:r>
              <w:rPr>
                <w:rFonts w:ascii="Aptos" w:hAnsi="Aptos"/>
                <w:color w:val="1F2937"/>
                <w:sz w:val="18"/>
              </w:rPr>
              <w:t>A</w:t>
            </w:r>
          </w:p>
        </w:tc>
        <w:tc>
          <w:p w14:paraId="4CC3E450">
            <w:pPr>
              <w:pStyle w:val="24"/>
              <w:spacing w:after="0"/>
              <w:jc w:val="left"/>
            </w:pPr>
            <w:r>
              <w:rPr>
                <w:rFonts w:ascii="Aptos" w:hAnsi="Aptos"/>
                <w:color w:val="1F2937"/>
                <w:sz w:val="18"/>
              </w:rPr>
              <w:t>C</w:t>
            </w:r>
          </w:p>
        </w:tc>
        <w:tc>
          <w:p w14:paraId="2579B111">
            <w:pPr>
              <w:pStyle w:val="24"/>
              <w:spacing w:after="0"/>
              <w:jc w:val="left"/>
            </w:pPr>
            <w:r>
              <w:rPr>
                <w:rFonts w:ascii="Aptos" w:hAnsi="Aptos"/>
                <w:color w:val="1F2937"/>
                <w:sz w:val="18"/>
              </w:rPr>
              <w:t>C</w:t>
            </w:r>
          </w:p>
        </w:tc>
        <w:tc>
          <w:p w14:paraId="6F39DD92">
            <w:pPr>
              <w:pStyle w:val="24"/>
              <w:spacing w:after="0"/>
              <w:jc w:val="left"/>
            </w:pPr>
            <w:r>
              <w:rPr>
                <w:rFonts w:ascii="Aptos" w:hAnsi="Aptos"/>
                <w:color w:val="1F2937"/>
                <w:sz w:val="18"/>
              </w:rPr>
              <w:t>R/A</w:t>
            </w:r>
          </w:p>
        </w:tc>
        <w:tc>
          <w:p w14:paraId="691FEEB9">
            <w:pPr>
              <w:pStyle w:val="24"/>
              <w:spacing w:after="0"/>
              <w:jc w:val="left"/>
            </w:pPr>
            <w:r>
              <w:rPr>
                <w:rFonts w:ascii="Aptos" w:hAnsi="Aptos"/>
                <w:color w:val="1F2937"/>
                <w:sz w:val="18"/>
              </w:rPr>
              <w:t>—</w:t>
            </w:r>
          </w:p>
        </w:tc>
        <w:tc>
          <w:p w14:paraId="2A6EA2EA">
            <w:pPr>
              <w:pStyle w:val="24"/>
              <w:spacing w:after="0"/>
              <w:jc w:val="left"/>
            </w:pPr>
            <w:r>
              <w:rPr>
                <w:rFonts w:ascii="Aptos" w:hAnsi="Aptos"/>
                <w:color w:val="1F2937"/>
                <w:sz w:val="18"/>
              </w:rPr>
              <w:t>C</w:t>
            </w:r>
          </w:p>
        </w:tc>
      </w:tr>
      <w:tr w14:paraId="041AA66A">
        <w:tblPrEx>
          <w:tblCellMar>
            <w:top w:w="0" w:type="dxa"/>
            <w:left w:w="108" w:type="dxa"/>
            <w:bottom w:w="0" w:type="dxa"/>
            <w:right w:w="108" w:type="dxa"/>
          </w:tblCellMar>
        </w:tblPrEx>
        <w:tc>
          <w:p w14:paraId="37D7AD5B">
            <w:pPr>
              <w:pStyle w:val="24"/>
              <w:spacing w:after="0"/>
              <w:jc w:val="left"/>
            </w:pPr>
            <w:r>
              <w:rPr>
                <w:rFonts w:ascii="Aptos" w:hAnsi="Aptos"/>
                <w:color w:val="1F2937"/>
                <w:sz w:val="18"/>
              </w:rPr>
              <w:t>TRT y estudio geotécnico</w:t>
            </w:r>
          </w:p>
        </w:tc>
        <w:tc>
          <w:p w14:paraId="436EEFB9">
            <w:pPr>
              <w:pStyle w:val="24"/>
              <w:spacing w:after="0"/>
              <w:jc w:val="left"/>
            </w:pPr>
            <w:r>
              <w:rPr>
                <w:rFonts w:ascii="Aptos" w:hAnsi="Aptos"/>
                <w:color w:val="1F2937"/>
                <w:sz w:val="18"/>
              </w:rPr>
              <w:t>A</w:t>
            </w:r>
          </w:p>
        </w:tc>
        <w:tc>
          <w:p w14:paraId="0E94B1BA">
            <w:pPr>
              <w:pStyle w:val="24"/>
              <w:spacing w:after="0"/>
              <w:jc w:val="left"/>
            </w:pPr>
            <w:r>
              <w:rPr>
                <w:rFonts w:ascii="Aptos" w:hAnsi="Aptos"/>
                <w:color w:val="1F2937"/>
                <w:sz w:val="18"/>
              </w:rPr>
              <w:t>C</w:t>
            </w:r>
          </w:p>
        </w:tc>
        <w:tc>
          <w:p w14:paraId="59C8E4D8">
            <w:pPr>
              <w:pStyle w:val="24"/>
              <w:spacing w:after="0"/>
              <w:jc w:val="left"/>
            </w:pPr>
            <w:r>
              <w:rPr>
                <w:rFonts w:ascii="Aptos" w:hAnsi="Aptos"/>
                <w:color w:val="1F2937"/>
                <w:sz w:val="18"/>
              </w:rPr>
              <w:t>I</w:t>
            </w:r>
          </w:p>
        </w:tc>
        <w:tc>
          <w:p w14:paraId="69299825">
            <w:pPr>
              <w:pStyle w:val="24"/>
              <w:spacing w:after="0"/>
              <w:jc w:val="left"/>
            </w:pPr>
            <w:r>
              <w:rPr>
                <w:rFonts w:ascii="Aptos" w:hAnsi="Aptos"/>
                <w:color w:val="1F2937"/>
                <w:sz w:val="18"/>
              </w:rPr>
              <w:t>I</w:t>
            </w:r>
          </w:p>
        </w:tc>
        <w:tc>
          <w:p w14:paraId="5797068F">
            <w:pPr>
              <w:pStyle w:val="24"/>
              <w:spacing w:after="0"/>
              <w:jc w:val="left"/>
            </w:pPr>
            <w:r>
              <w:rPr>
                <w:rFonts w:ascii="Aptos" w:hAnsi="Aptos"/>
                <w:color w:val="1F2937"/>
                <w:sz w:val="18"/>
              </w:rPr>
              <w:t>R</w:t>
            </w:r>
          </w:p>
        </w:tc>
        <w:tc>
          <w:p w14:paraId="2D4836FF">
            <w:pPr>
              <w:pStyle w:val="24"/>
              <w:spacing w:after="0"/>
              <w:jc w:val="left"/>
            </w:pPr>
            <w:r>
              <w:rPr>
                <w:rFonts w:ascii="Aptos" w:hAnsi="Aptos"/>
                <w:color w:val="1F2937"/>
                <w:sz w:val="18"/>
              </w:rPr>
              <w:t>—</w:t>
            </w:r>
          </w:p>
        </w:tc>
      </w:tr>
      <w:tr w14:paraId="2238514F">
        <w:tblPrEx>
          <w:tblCellMar>
            <w:top w:w="0" w:type="dxa"/>
            <w:left w:w="108" w:type="dxa"/>
            <w:bottom w:w="0" w:type="dxa"/>
            <w:right w:w="108" w:type="dxa"/>
          </w:tblCellMar>
        </w:tblPrEx>
        <w:tc>
          <w:p w14:paraId="3258BABE">
            <w:pPr>
              <w:pStyle w:val="24"/>
              <w:spacing w:after="0"/>
              <w:jc w:val="left"/>
            </w:pPr>
            <w:r>
              <w:rPr>
                <w:rFonts w:ascii="Aptos" w:hAnsi="Aptos"/>
                <w:color w:val="1F2937"/>
                <w:sz w:val="18"/>
              </w:rPr>
              <w:t>Obra profunda y sondeos (F2)</w:t>
            </w:r>
          </w:p>
        </w:tc>
        <w:tc>
          <w:p w14:paraId="1B69E244">
            <w:pPr>
              <w:pStyle w:val="24"/>
              <w:spacing w:after="0"/>
              <w:jc w:val="left"/>
            </w:pPr>
            <w:r>
              <w:rPr>
                <w:rFonts w:ascii="Aptos" w:hAnsi="Aptos"/>
                <w:color w:val="1F2937"/>
                <w:sz w:val="18"/>
              </w:rPr>
              <w:t>A</w:t>
            </w:r>
          </w:p>
        </w:tc>
        <w:tc>
          <w:p w14:paraId="1356E940">
            <w:pPr>
              <w:pStyle w:val="24"/>
              <w:spacing w:after="0"/>
              <w:jc w:val="left"/>
            </w:pPr>
            <w:r>
              <w:rPr>
                <w:rFonts w:ascii="Aptos" w:hAnsi="Aptos"/>
                <w:color w:val="1F2937"/>
                <w:sz w:val="18"/>
              </w:rPr>
              <w:t>C</w:t>
            </w:r>
          </w:p>
        </w:tc>
        <w:tc>
          <w:p w14:paraId="5DE3A7F7">
            <w:pPr>
              <w:pStyle w:val="24"/>
              <w:spacing w:after="0"/>
              <w:jc w:val="left"/>
            </w:pPr>
            <w:r>
              <w:rPr>
                <w:rFonts w:ascii="Aptos" w:hAnsi="Aptos"/>
                <w:color w:val="1F2937"/>
                <w:sz w:val="18"/>
              </w:rPr>
              <w:t>I</w:t>
            </w:r>
          </w:p>
        </w:tc>
        <w:tc>
          <w:p w14:paraId="77E9DE5B">
            <w:pPr>
              <w:pStyle w:val="24"/>
              <w:spacing w:after="0"/>
              <w:jc w:val="left"/>
            </w:pPr>
            <w:r>
              <w:rPr>
                <w:rFonts w:ascii="Aptos" w:hAnsi="Aptos"/>
                <w:color w:val="1F2937"/>
                <w:sz w:val="18"/>
              </w:rPr>
              <w:t>I</w:t>
            </w:r>
          </w:p>
        </w:tc>
        <w:tc>
          <w:p w14:paraId="1B2C7217">
            <w:pPr>
              <w:pStyle w:val="24"/>
              <w:spacing w:after="0"/>
              <w:jc w:val="left"/>
            </w:pPr>
            <w:r>
              <w:rPr>
                <w:rFonts w:ascii="Aptos" w:hAnsi="Aptos"/>
                <w:color w:val="1F2937"/>
                <w:sz w:val="18"/>
              </w:rPr>
              <w:t>R</w:t>
            </w:r>
          </w:p>
        </w:tc>
        <w:tc>
          <w:p w14:paraId="084D5B77">
            <w:pPr>
              <w:pStyle w:val="24"/>
              <w:spacing w:after="0"/>
              <w:jc w:val="left"/>
            </w:pPr>
            <w:r>
              <w:rPr>
                <w:rFonts w:ascii="Aptos" w:hAnsi="Aptos"/>
                <w:color w:val="1F2937"/>
                <w:sz w:val="18"/>
              </w:rPr>
              <w:t>C</w:t>
            </w:r>
          </w:p>
        </w:tc>
      </w:tr>
      <w:tr w14:paraId="665B8640">
        <w:tblPrEx>
          <w:tblCellMar>
            <w:top w:w="0" w:type="dxa"/>
            <w:left w:w="108" w:type="dxa"/>
            <w:bottom w:w="0" w:type="dxa"/>
            <w:right w:w="108" w:type="dxa"/>
          </w:tblCellMar>
        </w:tblPrEx>
        <w:tc>
          <w:p w14:paraId="31BA7A0E">
            <w:pPr>
              <w:pStyle w:val="24"/>
              <w:spacing w:after="0"/>
              <w:jc w:val="left"/>
            </w:pPr>
            <w:r>
              <w:rPr>
                <w:rFonts w:ascii="Aptos" w:hAnsi="Aptos"/>
                <w:color w:val="1F2937"/>
                <w:sz w:val="18"/>
              </w:rPr>
              <w:t>Invernadero e hidroponía (F3)</w:t>
            </w:r>
          </w:p>
        </w:tc>
        <w:tc>
          <w:p w14:paraId="538D07DC">
            <w:pPr>
              <w:pStyle w:val="24"/>
              <w:spacing w:after="0"/>
              <w:jc w:val="left"/>
            </w:pPr>
            <w:r>
              <w:rPr>
                <w:rFonts w:ascii="Aptos" w:hAnsi="Aptos"/>
                <w:color w:val="1F2937"/>
                <w:sz w:val="18"/>
              </w:rPr>
              <w:t>A</w:t>
            </w:r>
          </w:p>
        </w:tc>
        <w:tc>
          <w:p w14:paraId="78A69524">
            <w:pPr>
              <w:pStyle w:val="24"/>
              <w:spacing w:after="0"/>
              <w:jc w:val="left"/>
            </w:pPr>
            <w:r>
              <w:rPr>
                <w:rFonts w:ascii="Aptos" w:hAnsi="Aptos"/>
                <w:color w:val="1F2937"/>
                <w:sz w:val="18"/>
              </w:rPr>
              <w:t>R</w:t>
            </w:r>
          </w:p>
        </w:tc>
        <w:tc>
          <w:p w14:paraId="61572269">
            <w:pPr>
              <w:pStyle w:val="24"/>
              <w:spacing w:after="0"/>
              <w:jc w:val="left"/>
            </w:pPr>
            <w:r>
              <w:rPr>
                <w:rFonts w:ascii="Aptos" w:hAnsi="Aptos"/>
                <w:color w:val="1F2937"/>
                <w:sz w:val="18"/>
              </w:rPr>
              <w:t>I</w:t>
            </w:r>
          </w:p>
        </w:tc>
        <w:tc>
          <w:p w14:paraId="278FBEA5">
            <w:pPr>
              <w:pStyle w:val="24"/>
              <w:spacing w:after="0"/>
              <w:jc w:val="left"/>
            </w:pPr>
            <w:r>
              <w:rPr>
                <w:rFonts w:ascii="Aptos" w:hAnsi="Aptos"/>
                <w:color w:val="1F2937"/>
                <w:sz w:val="18"/>
              </w:rPr>
              <w:t>I</w:t>
            </w:r>
          </w:p>
        </w:tc>
        <w:tc>
          <w:p w14:paraId="3E684E7C">
            <w:pPr>
              <w:pStyle w:val="24"/>
              <w:spacing w:after="0"/>
              <w:jc w:val="left"/>
            </w:pPr>
            <w:r>
              <w:rPr>
                <w:rFonts w:ascii="Aptos" w:hAnsi="Aptos"/>
                <w:color w:val="1F2937"/>
                <w:sz w:val="18"/>
              </w:rPr>
              <w:t>R</w:t>
            </w:r>
          </w:p>
        </w:tc>
        <w:tc>
          <w:p w14:paraId="5F979C4C">
            <w:pPr>
              <w:pStyle w:val="24"/>
              <w:spacing w:after="0"/>
              <w:jc w:val="left"/>
            </w:pPr>
            <w:r>
              <w:rPr>
                <w:rFonts w:ascii="Aptos" w:hAnsi="Aptos"/>
                <w:color w:val="1F2937"/>
                <w:sz w:val="18"/>
              </w:rPr>
              <w:t>—</w:t>
            </w:r>
          </w:p>
        </w:tc>
      </w:tr>
      <w:tr w14:paraId="7E1ACE94">
        <w:tblPrEx>
          <w:tblCellMar>
            <w:top w:w="0" w:type="dxa"/>
            <w:left w:w="108" w:type="dxa"/>
            <w:bottom w:w="0" w:type="dxa"/>
            <w:right w:w="108" w:type="dxa"/>
          </w:tblCellMar>
        </w:tblPrEx>
        <w:tc>
          <w:p w14:paraId="41C04491">
            <w:pPr>
              <w:pStyle w:val="24"/>
              <w:spacing w:after="0"/>
              <w:jc w:val="left"/>
            </w:pPr>
            <w:r>
              <w:rPr>
                <w:rFonts w:ascii="Aptos" w:hAnsi="Aptos"/>
                <w:color w:val="1F2937"/>
                <w:sz w:val="18"/>
              </w:rPr>
              <w:t>Agrovoltaica y legalización (F4)</w:t>
            </w:r>
          </w:p>
        </w:tc>
        <w:tc>
          <w:p w14:paraId="3E17E4BD">
            <w:pPr>
              <w:pStyle w:val="24"/>
              <w:spacing w:after="0"/>
              <w:jc w:val="left"/>
            </w:pPr>
            <w:r>
              <w:rPr>
                <w:rFonts w:ascii="Aptos" w:hAnsi="Aptos"/>
                <w:color w:val="1F2937"/>
                <w:sz w:val="18"/>
              </w:rPr>
              <w:t>A</w:t>
            </w:r>
          </w:p>
        </w:tc>
        <w:tc>
          <w:p w14:paraId="2271784A">
            <w:pPr>
              <w:pStyle w:val="24"/>
              <w:spacing w:after="0"/>
              <w:jc w:val="left"/>
            </w:pPr>
            <w:r>
              <w:rPr>
                <w:rFonts w:ascii="Aptos" w:hAnsi="Aptos"/>
                <w:color w:val="1F2937"/>
                <w:sz w:val="18"/>
              </w:rPr>
              <w:t>C</w:t>
            </w:r>
          </w:p>
        </w:tc>
        <w:tc>
          <w:p w14:paraId="62E2D93F">
            <w:pPr>
              <w:pStyle w:val="24"/>
              <w:spacing w:after="0"/>
              <w:jc w:val="left"/>
            </w:pPr>
            <w:r>
              <w:rPr>
                <w:rFonts w:ascii="Aptos" w:hAnsi="Aptos"/>
                <w:color w:val="1F2937"/>
                <w:sz w:val="18"/>
              </w:rPr>
              <w:t>C</w:t>
            </w:r>
          </w:p>
        </w:tc>
        <w:tc>
          <w:p w14:paraId="647BDB2C">
            <w:pPr>
              <w:pStyle w:val="24"/>
              <w:spacing w:after="0"/>
              <w:jc w:val="left"/>
            </w:pPr>
            <w:r>
              <w:rPr>
                <w:rFonts w:ascii="Aptos" w:hAnsi="Aptos"/>
                <w:color w:val="1F2937"/>
                <w:sz w:val="18"/>
              </w:rPr>
              <w:t>C</w:t>
            </w:r>
          </w:p>
        </w:tc>
        <w:tc>
          <w:p w14:paraId="35030EB9">
            <w:pPr>
              <w:pStyle w:val="24"/>
              <w:spacing w:after="0"/>
              <w:jc w:val="left"/>
            </w:pPr>
            <w:r>
              <w:rPr>
                <w:rFonts w:ascii="Aptos" w:hAnsi="Aptos"/>
                <w:color w:val="1F2937"/>
                <w:sz w:val="18"/>
              </w:rPr>
              <w:t>R</w:t>
            </w:r>
          </w:p>
        </w:tc>
        <w:tc>
          <w:p w14:paraId="04E1C6BD">
            <w:pPr>
              <w:pStyle w:val="24"/>
              <w:spacing w:after="0"/>
              <w:jc w:val="left"/>
            </w:pPr>
            <w:r>
              <w:rPr>
                <w:rFonts w:ascii="Aptos" w:hAnsi="Aptos"/>
                <w:color w:val="1F2937"/>
                <w:sz w:val="18"/>
              </w:rPr>
              <w:t>C</w:t>
            </w:r>
          </w:p>
        </w:tc>
      </w:tr>
      <w:tr w14:paraId="65F5AB20">
        <w:tblPrEx>
          <w:tblCellMar>
            <w:top w:w="0" w:type="dxa"/>
            <w:left w:w="108" w:type="dxa"/>
            <w:bottom w:w="0" w:type="dxa"/>
            <w:right w:w="108" w:type="dxa"/>
          </w:tblCellMar>
        </w:tblPrEx>
        <w:tc>
          <w:p w14:paraId="104676EF">
            <w:pPr>
              <w:pStyle w:val="24"/>
              <w:spacing w:after="0"/>
              <w:jc w:val="left"/>
            </w:pPr>
            <w:r>
              <w:rPr>
                <w:rFonts w:ascii="Aptos" w:hAnsi="Aptos"/>
                <w:color w:val="1F2937"/>
                <w:sz w:val="18"/>
              </w:rPr>
              <w:t>Aprobación de gates G1–G4</w:t>
            </w:r>
          </w:p>
        </w:tc>
        <w:tc>
          <w:p w14:paraId="04A22E36">
            <w:pPr>
              <w:pStyle w:val="24"/>
              <w:spacing w:after="0"/>
              <w:jc w:val="left"/>
            </w:pPr>
            <w:r>
              <w:rPr>
                <w:rFonts w:ascii="Aptos" w:hAnsi="Aptos"/>
                <w:color w:val="1F2937"/>
                <w:sz w:val="18"/>
              </w:rPr>
              <w:t>A</w:t>
            </w:r>
          </w:p>
        </w:tc>
        <w:tc>
          <w:p w14:paraId="309647DC">
            <w:pPr>
              <w:pStyle w:val="24"/>
              <w:spacing w:after="0"/>
              <w:jc w:val="left"/>
            </w:pPr>
            <w:r>
              <w:rPr>
                <w:rFonts w:ascii="Aptos" w:hAnsi="Aptos"/>
                <w:color w:val="1F2937"/>
                <w:sz w:val="18"/>
              </w:rPr>
              <w:t>C</w:t>
            </w:r>
          </w:p>
        </w:tc>
        <w:tc>
          <w:p w14:paraId="33DFFE8E">
            <w:pPr>
              <w:pStyle w:val="24"/>
              <w:spacing w:after="0"/>
              <w:jc w:val="left"/>
            </w:pPr>
            <w:r>
              <w:rPr>
                <w:rFonts w:ascii="Aptos" w:hAnsi="Aptos"/>
                <w:color w:val="1F2937"/>
                <w:sz w:val="18"/>
              </w:rPr>
              <w:t>C</w:t>
            </w:r>
          </w:p>
        </w:tc>
        <w:tc>
          <w:p w14:paraId="4F20D332">
            <w:pPr>
              <w:pStyle w:val="24"/>
              <w:spacing w:after="0"/>
              <w:jc w:val="left"/>
            </w:pPr>
            <w:r>
              <w:rPr>
                <w:rFonts w:ascii="Aptos" w:hAnsi="Aptos"/>
                <w:color w:val="1F2937"/>
                <w:sz w:val="18"/>
              </w:rPr>
              <w:t>C</w:t>
            </w:r>
          </w:p>
        </w:tc>
        <w:tc>
          <w:p w14:paraId="0EF80239">
            <w:pPr>
              <w:pStyle w:val="24"/>
              <w:spacing w:after="0"/>
              <w:jc w:val="left"/>
            </w:pPr>
            <w:r>
              <w:rPr>
                <w:rFonts w:ascii="Aptos" w:hAnsi="Aptos"/>
                <w:color w:val="1F2937"/>
                <w:sz w:val="18"/>
              </w:rPr>
              <w:t>C</w:t>
            </w:r>
          </w:p>
        </w:tc>
        <w:tc>
          <w:p w14:paraId="53BA4B80">
            <w:pPr>
              <w:pStyle w:val="24"/>
              <w:spacing w:after="0"/>
              <w:jc w:val="left"/>
            </w:pPr>
            <w:r>
              <w:rPr>
                <w:rFonts w:ascii="Aptos" w:hAnsi="Aptos"/>
                <w:color w:val="1F2937"/>
                <w:sz w:val="18"/>
              </w:rPr>
              <w:t>I</w:t>
            </w:r>
          </w:p>
        </w:tc>
      </w:tr>
      <w:tr w14:paraId="66DC84ED">
        <w:tblPrEx>
          <w:tblCellMar>
            <w:top w:w="0" w:type="dxa"/>
            <w:left w:w="108" w:type="dxa"/>
            <w:bottom w:w="0" w:type="dxa"/>
            <w:right w:w="108" w:type="dxa"/>
          </w:tblCellMar>
        </w:tblPrEx>
        <w:tc>
          <w:p w14:paraId="5FDCC264">
            <w:pPr>
              <w:pStyle w:val="24"/>
              <w:spacing w:after="0"/>
              <w:jc w:val="left"/>
            </w:pPr>
            <w:r>
              <w:rPr>
                <w:rFonts w:ascii="Aptos" w:hAnsi="Aptos"/>
                <w:color w:val="1F2937"/>
                <w:sz w:val="18"/>
              </w:rPr>
              <w:t>Control presupuestario y sensibilidad</w:t>
            </w:r>
          </w:p>
        </w:tc>
        <w:tc>
          <w:p w14:paraId="1ECFCA2E">
            <w:pPr>
              <w:pStyle w:val="24"/>
              <w:spacing w:after="0"/>
              <w:jc w:val="left"/>
            </w:pPr>
            <w:r>
              <w:rPr>
                <w:rFonts w:ascii="Aptos" w:hAnsi="Aptos"/>
                <w:color w:val="1F2937"/>
                <w:sz w:val="18"/>
              </w:rPr>
              <w:t>I</w:t>
            </w:r>
          </w:p>
        </w:tc>
        <w:tc>
          <w:p w14:paraId="2E27CCCF">
            <w:pPr>
              <w:pStyle w:val="24"/>
              <w:spacing w:after="0"/>
              <w:jc w:val="left"/>
            </w:pPr>
            <w:r>
              <w:rPr>
                <w:rFonts w:ascii="Aptos" w:hAnsi="Aptos"/>
                <w:color w:val="1F2937"/>
                <w:sz w:val="18"/>
              </w:rPr>
              <w:t>I</w:t>
            </w:r>
          </w:p>
        </w:tc>
        <w:tc>
          <w:p w14:paraId="524399D2">
            <w:pPr>
              <w:pStyle w:val="24"/>
              <w:spacing w:after="0"/>
              <w:jc w:val="left"/>
            </w:pPr>
            <w:r>
              <w:rPr>
                <w:rFonts w:ascii="Aptos" w:hAnsi="Aptos"/>
                <w:color w:val="1F2937"/>
                <w:sz w:val="18"/>
              </w:rPr>
              <w:t>R/A</w:t>
            </w:r>
          </w:p>
        </w:tc>
        <w:tc>
          <w:p w14:paraId="58975769">
            <w:pPr>
              <w:pStyle w:val="24"/>
              <w:spacing w:after="0"/>
              <w:jc w:val="left"/>
            </w:pPr>
            <w:r>
              <w:rPr>
                <w:rFonts w:ascii="Aptos" w:hAnsi="Aptos"/>
                <w:color w:val="1F2937"/>
                <w:sz w:val="18"/>
              </w:rPr>
              <w:t>I</w:t>
            </w:r>
          </w:p>
        </w:tc>
        <w:tc>
          <w:p w14:paraId="51407C6C">
            <w:pPr>
              <w:pStyle w:val="24"/>
              <w:spacing w:after="0"/>
              <w:jc w:val="left"/>
            </w:pPr>
            <w:r>
              <w:rPr>
                <w:rFonts w:ascii="Aptos" w:hAnsi="Aptos"/>
                <w:color w:val="1F2937"/>
                <w:sz w:val="18"/>
              </w:rPr>
              <w:t>C</w:t>
            </w:r>
          </w:p>
        </w:tc>
        <w:tc>
          <w:p w14:paraId="1ED831E6">
            <w:pPr>
              <w:pStyle w:val="24"/>
              <w:spacing w:after="0"/>
              <w:jc w:val="left"/>
            </w:pPr>
            <w:r>
              <w:rPr>
                <w:rFonts w:ascii="Aptos" w:hAnsi="Aptos"/>
                <w:color w:val="1F2937"/>
                <w:sz w:val="18"/>
              </w:rPr>
              <w:t>—</w:t>
            </w:r>
          </w:p>
        </w:tc>
      </w:tr>
      <w:tr w14:paraId="3F3F45C0">
        <w:tblPrEx>
          <w:tblCellMar>
            <w:top w:w="0" w:type="dxa"/>
            <w:left w:w="108" w:type="dxa"/>
            <w:bottom w:w="0" w:type="dxa"/>
            <w:right w:w="108" w:type="dxa"/>
          </w:tblCellMar>
        </w:tblPrEx>
        <w:tc>
          <w:p w14:paraId="152F3A25">
            <w:pPr>
              <w:pStyle w:val="24"/>
              <w:spacing w:after="0"/>
              <w:jc w:val="left"/>
            </w:pPr>
            <w:r>
              <w:rPr>
                <w:rFonts w:ascii="Aptos" w:hAnsi="Aptos"/>
                <w:color w:val="1F2937"/>
                <w:sz w:val="18"/>
              </w:rPr>
              <w:t>Tramitación de permisos</w:t>
            </w:r>
          </w:p>
        </w:tc>
        <w:tc>
          <w:p w14:paraId="5AF88226">
            <w:pPr>
              <w:pStyle w:val="24"/>
              <w:spacing w:after="0"/>
              <w:jc w:val="left"/>
            </w:pPr>
            <w:r>
              <w:rPr>
                <w:rFonts w:ascii="Aptos" w:hAnsi="Aptos"/>
                <w:color w:val="1F2937"/>
                <w:sz w:val="18"/>
              </w:rPr>
              <w:t>A</w:t>
            </w:r>
          </w:p>
        </w:tc>
        <w:tc>
          <w:p w14:paraId="63316447">
            <w:pPr>
              <w:pStyle w:val="24"/>
              <w:spacing w:after="0"/>
              <w:jc w:val="left"/>
            </w:pPr>
            <w:r>
              <w:rPr>
                <w:rFonts w:ascii="Aptos" w:hAnsi="Aptos"/>
                <w:color w:val="1F2937"/>
                <w:sz w:val="18"/>
              </w:rPr>
              <w:t>I</w:t>
            </w:r>
          </w:p>
        </w:tc>
        <w:tc>
          <w:p w14:paraId="2A154C96">
            <w:pPr>
              <w:pStyle w:val="24"/>
              <w:spacing w:after="0"/>
              <w:jc w:val="left"/>
            </w:pPr>
            <w:r>
              <w:rPr>
                <w:rFonts w:ascii="Aptos" w:hAnsi="Aptos"/>
                <w:color w:val="1F2937"/>
                <w:sz w:val="18"/>
              </w:rPr>
              <w:t>I</w:t>
            </w:r>
          </w:p>
        </w:tc>
        <w:tc>
          <w:p w14:paraId="353F7A3B">
            <w:pPr>
              <w:pStyle w:val="24"/>
              <w:spacing w:after="0"/>
              <w:jc w:val="left"/>
            </w:pPr>
            <w:r>
              <w:rPr>
                <w:rFonts w:ascii="Aptos" w:hAnsi="Aptos"/>
                <w:color w:val="1F2937"/>
                <w:sz w:val="18"/>
              </w:rPr>
              <w:t>C</w:t>
            </w:r>
          </w:p>
        </w:tc>
        <w:tc>
          <w:p w14:paraId="38F1D30A">
            <w:pPr>
              <w:pStyle w:val="24"/>
              <w:spacing w:after="0"/>
              <w:jc w:val="left"/>
            </w:pPr>
            <w:r>
              <w:rPr>
                <w:rFonts w:ascii="Aptos" w:hAnsi="Aptos"/>
                <w:color w:val="1F2937"/>
                <w:sz w:val="18"/>
              </w:rPr>
              <w:t>C</w:t>
            </w:r>
          </w:p>
        </w:tc>
        <w:tc>
          <w:p w14:paraId="1BBDA7FF">
            <w:pPr>
              <w:pStyle w:val="24"/>
              <w:spacing w:after="0"/>
              <w:jc w:val="left"/>
            </w:pPr>
            <w:r>
              <w:rPr>
                <w:rFonts w:ascii="Aptos" w:hAnsi="Aptos"/>
                <w:color w:val="1F2937"/>
                <w:sz w:val="18"/>
              </w:rPr>
              <w:t>R</w:t>
            </w:r>
          </w:p>
        </w:tc>
      </w:tr>
      <w:tr w14:paraId="1600AD99">
        <w:tblPrEx>
          <w:tblCellMar>
            <w:top w:w="0" w:type="dxa"/>
            <w:left w:w="108" w:type="dxa"/>
            <w:bottom w:w="0" w:type="dxa"/>
            <w:right w:w="108" w:type="dxa"/>
          </w:tblCellMar>
        </w:tblPrEx>
        <w:tc>
          <w:p w14:paraId="114F82E4">
            <w:pPr>
              <w:pStyle w:val="24"/>
              <w:spacing w:after="0"/>
              <w:jc w:val="left"/>
            </w:pPr>
            <w:r>
              <w:rPr>
                <w:rFonts w:ascii="Aptos" w:hAnsi="Aptos"/>
                <w:color w:val="1F2937"/>
                <w:sz w:val="18"/>
              </w:rPr>
              <w:t>Comercialización SaaS y hortícola</w:t>
            </w:r>
          </w:p>
        </w:tc>
        <w:tc>
          <w:p w14:paraId="5E0BEB50">
            <w:pPr>
              <w:pStyle w:val="24"/>
              <w:spacing w:after="0"/>
              <w:jc w:val="left"/>
            </w:pPr>
            <w:r>
              <w:rPr>
                <w:rFonts w:ascii="Aptos" w:hAnsi="Aptos"/>
                <w:color w:val="1F2937"/>
                <w:sz w:val="18"/>
              </w:rPr>
              <w:t>R/A</w:t>
            </w:r>
          </w:p>
        </w:tc>
        <w:tc>
          <w:p w14:paraId="1E13513E">
            <w:pPr>
              <w:pStyle w:val="24"/>
              <w:spacing w:after="0"/>
              <w:jc w:val="left"/>
            </w:pPr>
            <w:r>
              <w:rPr>
                <w:rFonts w:ascii="Aptos" w:hAnsi="Aptos"/>
                <w:color w:val="1F2937"/>
                <w:sz w:val="18"/>
              </w:rPr>
              <w:t>C</w:t>
            </w:r>
          </w:p>
        </w:tc>
        <w:tc>
          <w:p w14:paraId="0ACA54CE">
            <w:pPr>
              <w:pStyle w:val="24"/>
              <w:spacing w:after="0"/>
              <w:jc w:val="left"/>
            </w:pPr>
            <w:r>
              <w:rPr>
                <w:rFonts w:ascii="Aptos" w:hAnsi="Aptos"/>
                <w:color w:val="1F2937"/>
                <w:sz w:val="18"/>
              </w:rPr>
              <w:t>C</w:t>
            </w:r>
          </w:p>
        </w:tc>
        <w:tc>
          <w:p w14:paraId="68FF8391">
            <w:pPr>
              <w:pStyle w:val="24"/>
              <w:spacing w:after="0"/>
              <w:jc w:val="left"/>
            </w:pPr>
            <w:r>
              <w:rPr>
                <w:rFonts w:ascii="Aptos" w:hAnsi="Aptos"/>
                <w:color w:val="1F2937"/>
                <w:sz w:val="18"/>
              </w:rPr>
              <w:t>I</w:t>
            </w:r>
          </w:p>
        </w:tc>
        <w:tc>
          <w:p w14:paraId="49FEFAE0">
            <w:pPr>
              <w:pStyle w:val="24"/>
              <w:spacing w:after="0"/>
              <w:jc w:val="left"/>
            </w:pPr>
            <w:r>
              <w:rPr>
                <w:rFonts w:ascii="Aptos" w:hAnsi="Aptos"/>
                <w:color w:val="1F2937"/>
                <w:sz w:val="18"/>
              </w:rPr>
              <w:t>—</w:t>
            </w:r>
          </w:p>
        </w:tc>
        <w:tc>
          <w:p w14:paraId="1ECDF566">
            <w:pPr>
              <w:pStyle w:val="24"/>
              <w:spacing w:after="0"/>
              <w:jc w:val="left"/>
            </w:pPr>
            <w:r>
              <w:rPr>
                <w:rFonts w:ascii="Aptos" w:hAnsi="Aptos"/>
                <w:color w:val="1F2937"/>
                <w:sz w:val="18"/>
              </w:rPr>
              <w:t>—</w:t>
            </w:r>
          </w:p>
        </w:tc>
      </w:tr>
    </w:tbl>
    <w:p w14:paraId="4E0178AD">
      <w:pPr>
        <w:pStyle w:val="3"/>
      </w:pPr>
      <w:r>
        <w:rPr>
          <w:rFonts w:ascii="Aptos" w:hAnsi="Aptos"/>
          <w:color w:val="1F2937"/>
          <w:sz w:val="21"/>
        </w:rPr>
        <w:t>En un equipo pequeño una misma persona puede ocupar más de una columna; lo que no puede ocurrir es que una actividad carezca de R y de A definidos.</w:t>
      </w:r>
    </w:p>
    <w:p w14:paraId="6A15305A">
      <w:pPr>
        <w:pStyle w:val="22"/>
      </w:pPr>
      <w:r>
        <w:rPr>
          <w:rFonts w:ascii="Aptos" w:hAnsi="Aptos"/>
          <w:b/>
          <w:color w:val="1F2937"/>
          <w:sz w:val="21"/>
        </w:rPr>
        <w:t>Evidencias asociadas (§8):</w:t>
      </w:r>
      <w:r>
        <w:rPr>
          <w:rFonts w:ascii="Aptos" w:hAnsi="Aptos"/>
          <w:color w:val="1F2937"/>
          <w:sz w:val="21"/>
        </w:rPr>
        <w:t xml:space="preserve"> convenios y LOI (estado declarado en SEV), altas en Seguridad Social · Nivel: documento (§11).</w:t>
      </w:r>
    </w:p>
    <w:p w14:paraId="1B4B069F">
      <w:pPr>
        <w:pStyle w:val="2"/>
      </w:pPr>
      <w:bookmarkStart w:id="80" w:name="análisis-dafo-matriz-de-diagnóstico"/>
      <w:r>
        <w:rPr>
          <w:rFonts w:ascii="Aptos Display" w:hAnsi="Aptos Display"/>
          <w:b/>
          <w:color w:val="174A2E"/>
          <w:sz w:val="21"/>
        </w:rPr>
        <w:t>9. Análisis DAFO (matriz de diagnóstico)</w:t>
      </w:r>
      <w:bookmarkEnd w:id="80"/>
    </w:p>
    <w:p w14:paraId="67D6425F">
      <w:pPr>
        <w:pStyle w:val="23"/>
      </w:pPr>
      <w:r>
        <w:rPr>
          <w:rFonts w:ascii="Aptos" w:hAnsi="Aptos"/>
          <w:b/>
          <w:color w:val="1F2937"/>
          <w:sz w:val="21"/>
        </w:rPr>
        <w:t>DEBILIDADES (interno).</w:t>
      </w:r>
      <w:r>
        <w:rPr>
          <w:rFonts w:ascii="Aptos" w:hAnsi="Aptos"/>
          <w:color w:val="1F2937"/>
          <w:sz w:val="21"/>
        </w:rPr>
        <w:t xml:space="preserve"> Promotor único en el arranque (mitigación: incorporación temprana del perfil de desarrollo, colaboraciones externas de validación —incubadoras, centro tecnológico, universidad— y documentación exhaustiva). Hipótesis técnica central (terracota, 30–45 %) sin serie de datos propia — TRL 4–5 (mitigación: el módulo instrumentado de F1 existe para esto; redimensionado geotérmico previsto y presupuestado). Marca desconocida sin clientes de pago hoy (mitigación: pilotos remunerados, demostrador físico, prescriptores, aceleración). Dependencia de cofinanciación pública para las fases físicas (mitigación: el negocio del software no depende de ellas). Presupuesto comercial reforzado y eficiente mediante cooperativas, comunidades de regantes, GAL y oficinas comarcales, con comisiones de prescripción presupuestadas y seguimiento del CAC/LTV. Sin instalaciones en propiedad. Experiencia comercial del equipo inicial menor que la técnica (mitigación: incorporación del perfil comercial en F4, apoyo de cooperativas e incubadoras).</w:t>
      </w:r>
    </w:p>
    <w:p w14:paraId="255DE172">
      <w:pPr>
        <w:pStyle w:val="3"/>
      </w:pPr>
      <w:r>
        <w:rPr>
          <w:rFonts w:ascii="Aptos" w:hAnsi="Aptos"/>
          <w:b/>
          <w:color w:val="1F2937"/>
          <w:sz w:val="21"/>
        </w:rPr>
        <w:t>FORTALEZAS (interno). Método de gobernanza único: inversión condicionada a hitos auditables con criterios cuantitativos públicos. Sistema de evidencias verificables (SEV) ya operativo. Preparación documental y económica completa (memoria desarrollada dentro del límite máximo de 65 páginas, plan económico parametrizado, plantilla PIE 2026 cumplimentada). Producto núcleo (SaaS) con margen bruto &gt;70 %, sin techo geográfico y con salida digna. Código base ya desarrollado y en integración continua (repositorio Castuo-system: backend FastAPI, seguridad Vault/JWT/MFA/RBAC + cifrado híbrido, IoT MQTT/LoRaWAN, trazabilidad GaiaChain/MCP, K8s Hetzner + Terraform, CI/CD staging→producción), estimación interna de coste de reposición nuevo de 420.000 € (5.600 h × 75 €/h); no es valoración de empresa, mercado, IP ni goodwill, ni demuestra una barrera de entrada (§3.8). Futuro demostrador físico propio. Integración única (agro + energía + trazabilidad). Conocimiento profundo del territorio. Costes fijos de arranque deliberadamente bajos.</w:t>
      </w:r>
      <w:r>
        <w:rPr>
          <w:rFonts w:ascii="Aptos" w:hAnsi="Aptos"/>
          <w:color w:val="1F2937"/>
          <w:sz w:val="21"/>
        </w:rPr>
      </w:r>
      <w:r>
        <w:rPr>
          <w:rFonts w:ascii="Aptos" w:hAnsi="Aptos"/>
          <w:b/>
          <w:color w:val="1F2937"/>
          <w:sz w:val="21"/>
        </w:rPr>
      </w:r>
      <w:r>
        <w:rPr>
          <w:rFonts w:ascii="Aptos" w:hAnsi="Aptos"/>
          <w:color w:val="1F2937"/>
          <w:sz w:val="21"/>
        </w:rPr>
      </w:r>
      <w:r>
        <w:rPr>
          <w:rStyle w:val="35"/>
          <w:rFonts w:ascii="Aptos" w:hAnsi="Aptos"/>
          <w:color w:val="1F2937"/>
          <w:sz w:val="21"/>
        </w:rPr>
      </w:r>
      <w:r>
        <w:rPr>
          <w:rFonts w:ascii="Aptos" w:hAnsi="Aptos"/>
          <w:color w:val="1F2937"/>
          <w:sz w:val="21"/>
        </w:rPr>
      </w:r>
      <w:r>
        <w:rPr>
          <w:rFonts w:ascii="Aptos" w:hAnsi="Aptos"/>
          <w:i/>
          <w:color w:val="1F2937"/>
          <w:sz w:val="21"/>
        </w:rPr>
      </w:r>
      <w:r>
        <w:rPr>
          <w:rFonts w:ascii="Aptos" w:hAnsi="Aptos"/>
          <w:color w:val="1F2937"/>
          <w:sz w:val="21"/>
        </w:rPr>
      </w:r>
      <w:r>
        <w:rPr>
          <w:rFonts w:ascii="Aptos" w:hAnsi="Aptos"/>
          <w:b/>
          <w:color w:val="1F2937"/>
          <w:sz w:val="21"/>
        </w:rPr>
      </w:r>
      <w:r>
        <w:rPr>
          <w:rFonts w:ascii="Aptos" w:hAnsi="Aptos"/>
          <w:color w:val="1F2937"/>
          <w:sz w:val="21"/>
        </w:rPr>
      </w:r>
    </w:p>
    <w:p w14:paraId="211369E3">
      <w:pPr>
        <w:pStyle w:val="3"/>
      </w:pPr>
      <w:r>
        <w:rPr>
          <w:rFonts w:ascii="Aptos" w:hAnsi="Aptos"/>
          <w:b/>
          <w:color w:val="1F2937"/>
          <w:sz w:val="21"/>
        </w:rPr>
        <w:t>AMENAZAS (externo).</w:t>
      </w:r>
      <w:r>
        <w:rPr>
          <w:rFonts w:ascii="Aptos" w:hAnsi="Aptos"/>
          <w:color w:val="1F2937"/>
          <w:sz w:val="21"/>
        </w:rPr>
        <w:t xml:space="preserve"> Despoblación que encoge el mercado local (protección: el SaaS no tiene techo geográfico; réplica). Retrasos administrativos (protección: tramitación abierta en F1 con 12–30 meses de margen). Volatilidad del precio hortícola (protección: contratos previos a siembra; mezcla de canales). Inflación de costes en FV y obra (protección: contingencia presupuestada). Entrada de un competidor digital con precios agresivos (protección: la combinación de cercanía, integración, demostrador y verificabilidad puede diferenciar la propuesta; no se afirma una barrera de entrada). Sequía extrema (protección: la propuesta reduce el consumo 70–90 % — la amenaza refuerza la demanda). Ciberincidente (protección: OT aislada, control local, copias cifradas). Cambios normativos en autoconsumo o PAC (protección: diseño por fases).</w:t>
      </w:r>
    </w:p>
    <w:p w14:paraId="4F99F23B">
      <w:pPr>
        <w:pStyle w:val="3"/>
      </w:pPr>
      <w:r>
        <w:rPr>
          <w:rFonts w:ascii="Aptos" w:hAnsi="Aptos"/>
          <w:b/>
          <w:color w:val="1F2937"/>
          <w:sz w:val="21"/>
        </w:rPr>
        <w:t>OPORTUNIDADES (externo).</w:t>
      </w:r>
      <w:r>
        <w:rPr>
          <w:rFonts w:ascii="Aptos" w:hAnsi="Aptos"/>
          <w:color w:val="1F2937"/>
          <w:sz w:val="21"/>
        </w:rPr>
        <w:t xml:space="preserve"> El cuaderno digital convierte la propuesta en necesidad normativa. Marcos de autoconsumo colectivo. Fondos activos de desarrollo rural, reto demográfico y digitalización, y </w:t>
      </w:r>
      <w:r>
        <w:rPr>
          <w:rFonts w:ascii="Aptos" w:hAnsi="Aptos"/>
          <w:b/>
          <w:color w:val="1F2937"/>
          <w:sz w:val="21"/>
        </w:rPr>
        <w:t>ecosistema regional de incubadoras</w:t>
      </w:r>
      <w:r>
        <w:rPr>
          <w:rFonts w:ascii="Aptos" w:hAnsi="Aptos"/>
          <w:color w:val="1F2937"/>
          <w:sz w:val="21"/>
        </w:rPr>
        <w:t xml:space="preserve"> (FoodLab, Degreen Plus, Con Valores, 100 Kairos). Interés creciente del consumidor por el producto local trazable. ~340 municipios &lt;5.000 hab como mercado de réplica. Premios PIE Plus (visibilidad y sello). Proximidad a Portugal. Escasez hídrica estructural (posicionamiento como herramienta de adaptación climática).</w:t>
      </w:r>
    </w:p>
    <w:p w14:paraId="17250369">
      <w:pPr>
        <w:pStyle w:val="3"/>
      </w:pPr>
      <w:r>
        <w:rPr>
          <w:rFonts w:ascii="Aptos" w:hAnsi="Aptos"/>
          <w:b/>
          <w:color w:val="1F2937"/>
          <w:sz w:val="21"/>
        </w:rPr>
        <w:t>Lectura estratégica (CAME).</w:t>
      </w:r>
      <w:r>
        <w:rPr>
          <w:rFonts w:ascii="Aptos" w:hAnsi="Aptos"/>
          <w:color w:val="1F2937"/>
          <w:sz w:val="21"/>
        </w:rPr>
        <w:t xml:space="preserve"> Corregir las debilidades validando barato (los tres ensayos de F1 cuestan &lt;2 % del CAPEX y resuelven las incógnitas del 98 % restante). Afrontar las amenazas con contratos previos, tramitación temprana y cero dependencia de la línea energética en las decisiones. Mantener las fortalezas publicando cada evidencia. Explotar las oportunidades con la norma como puerta comercial, el municipio como socio y las incubadoras como aceleradores. La cuantificación de riesgos (matriz probabilidad × impacto), la autoevaluación ponderada y el plan de acción pre-PIE PLUS figuran en el </w:t>
      </w:r>
      <w:r>
        <w:rPr>
          <w:rFonts w:ascii="Aptos" w:hAnsi="Aptos"/>
          <w:b/>
          <w:color w:val="1F2937"/>
          <w:sz w:val="21"/>
        </w:rPr>
        <w:t>§10</w:t>
      </w:r>
      <w:r>
        <w:rPr>
          <w:rFonts w:ascii="Aptos" w:hAnsi="Aptos"/>
          <w:color w:val="1F2937"/>
          <w:sz w:val="21"/>
        </w:rPr>
        <w:t>.</w:t>
      </w:r>
    </w:p>
    <w:p w14:paraId="0A159B50">
      <w:pPr>
        <w:pStyle w:val="4"/>
      </w:pPr>
      <w:bookmarkStart w:id="81" w:name="Xba7538042757b0f5568ccc3b4d66b34297d0174"/>
      <w:r>
        <w:rPr>
          <w:rFonts w:ascii="Aptos Display" w:hAnsi="Aptos Display"/>
          <w:b/>
          <w:color w:val="174A2E"/>
          <w:sz w:val="21"/>
        </w:rPr>
        <w:t>9.1. Desarrollo ampliado — Riesgos y contingencias</w:t>
      </w:r>
      <w:bookmarkEnd w:id="81"/>
    </w:p>
    <w:p w14:paraId="2147A117">
      <w:pPr>
        <w:pStyle w:val="23"/>
      </w:pPr>
      <w:r>
        <w:rPr>
          <w:rFonts w:ascii="Aptos" w:hAnsi="Aptos"/>
          <w:color w:val="1F2937"/>
          <w:sz w:val="21"/>
        </w:rPr>
        <w:t xml:space="preserve">Los tres riesgos que gobiernan el diseño: </w:t>
      </w:r>
      <w:r>
        <w:rPr>
          <w:rFonts w:ascii="Aptos" w:hAnsi="Aptos"/>
          <w:b/>
          <w:color w:val="1F2937"/>
          <w:sz w:val="21"/>
        </w:rPr>
        <w:t>R9 precio hortícola</w:t>
      </w:r>
      <w:r>
        <w:rPr>
          <w:rFonts w:ascii="Aptos" w:hAnsi="Aptos"/>
          <w:color w:val="1F2937"/>
          <w:sz w:val="21"/>
        </w:rPr>
        <w:t xml:space="preserve"> (la sensibilidad más dañina), </w:t>
      </w:r>
      <w:r>
        <w:rPr>
          <w:rFonts w:ascii="Aptos" w:hAnsi="Aptos"/>
          <w:b/>
          <w:color w:val="1F2937"/>
          <w:sz w:val="21"/>
        </w:rPr>
        <w:t>R5 retrasos administrativos</w:t>
      </w:r>
      <w:r>
        <w:rPr>
          <w:rFonts w:ascii="Aptos" w:hAnsi="Aptos"/>
          <w:color w:val="1F2937"/>
          <w:sz w:val="21"/>
        </w:rPr>
        <w:t xml:space="preserve"> (tramitación abierta en F1) y </w:t>
      </w:r>
      <w:r>
        <w:rPr>
          <w:rFonts w:ascii="Aptos" w:hAnsi="Aptos"/>
          <w:b/>
          <w:color w:val="1F2937"/>
          <w:sz w:val="21"/>
        </w:rPr>
        <w:t>R1 tracción SaaS</w:t>
      </w:r>
      <w:r>
        <w:rPr>
          <w:rFonts w:ascii="Aptos" w:hAnsi="Aptos"/>
          <w:color w:val="1F2937"/>
          <w:sz w:val="21"/>
        </w:rPr>
        <w:t xml:space="preserve"> (Gate G1 bloquea la obra).</w:t>
      </w:r>
    </w:p>
    <w:tbl>
      <w:tblPr>
        <w:tblStyle w:val="28"/>
        <w:tblW w:w="9360" w:type="dxa"/>
        <w:jc w:val="center"/>
        <w:tblInd w:w="0" w:type="dxa"/>
        <w:tblLayout w:type="fixed"/>
        <w:tblCellMar>
          <w:top w:w="0" w:type="dxa"/>
          <w:left w:w="108" w:type="dxa"/>
          <w:bottom w:w="0" w:type="dxa"/>
          <w:right w:w="108" w:type="dxa"/>
        </w:tblCellMar>
      </w:tblPr>
      <w:tblGrid>
        <w:gridCol w:w="3120"/>
        <w:gridCol w:w="3120"/>
        <w:gridCol w:w="3120"/>
      </w:tblGrid>
      <w:tr w14:paraId="7621655B">
        <w:tblPrEx>
          <w:tblCellMar>
            <w:top w:w="0" w:type="dxa"/>
            <w:left w:w="108" w:type="dxa"/>
            <w:bottom w:w="0" w:type="dxa"/>
            <w:right w:w="108" w:type="dxa"/>
          </w:tblCellMar>
        </w:tblPrEx>
        <w:tc>
          <w:tcPr>
            <w:tcW w:w="3120" w:type="dxa"/>
            <w:tcBorders>
              <w:bottom w:val="single" w:color="auto" w:sz="0" w:space="0"/>
            </w:tcBorders>
            <w:vAlign w:val="bottom"/>
          </w:tcPr>
          <w:p w14:paraId="37E082ED">
            <w:pPr>
              <w:pStyle w:val="24"/>
              <w:spacing w:after="0"/>
              <w:jc w:val="left"/>
            </w:pPr>
            <w:r>
              <w:rPr>
                <w:rFonts w:ascii="Aptos" w:hAnsi="Aptos"/>
                <w:color w:val="1F2937"/>
                <w:sz w:val="18"/>
              </w:rPr>
              <w:t>Variable</w:t>
            </w:r>
          </w:p>
        </w:tc>
        <w:tc>
          <w:tcPr>
            <w:tcW w:w="3120" w:type="dxa"/>
            <w:tcBorders>
              <w:bottom w:val="single" w:color="auto" w:sz="0" w:space="0"/>
            </w:tcBorders>
            <w:vAlign w:val="bottom"/>
          </w:tcPr>
          <w:p w14:paraId="78521F4C">
            <w:pPr>
              <w:pStyle w:val="24"/>
              <w:spacing w:after="0"/>
              <w:jc w:val="left"/>
            </w:pPr>
            <w:r>
              <w:rPr>
                <w:rFonts w:ascii="Aptos" w:hAnsi="Aptos"/>
                <w:color w:val="1F2937"/>
                <w:sz w:val="18"/>
              </w:rPr>
              <w:t>Movimiento</w:t>
            </w:r>
          </w:p>
        </w:tc>
        <w:tc>
          <w:tcPr>
            <w:tcW w:w="3120" w:type="dxa"/>
            <w:tcBorders>
              <w:bottom w:val="single" w:color="auto" w:sz="0" w:space="0"/>
            </w:tcBorders>
            <w:vAlign w:val="bottom"/>
          </w:tcPr>
          <w:p w14:paraId="1CB73FBA">
            <w:pPr>
              <w:pStyle w:val="24"/>
              <w:spacing w:after="0"/>
              <w:jc w:val="left"/>
            </w:pPr>
            <w:r>
              <w:rPr>
                <w:rFonts w:ascii="Aptos" w:hAnsi="Aptos"/>
                <w:color w:val="1F2937"/>
                <w:sz w:val="18"/>
              </w:rPr>
              <w:t>EBITDA resultante (k€/año)</w:t>
            </w:r>
          </w:p>
        </w:tc>
      </w:tr>
      <w:tr w14:paraId="121C7C4E">
        <w:tblPrEx>
          <w:tblCellMar>
            <w:top w:w="0" w:type="dxa"/>
            <w:left w:w="108" w:type="dxa"/>
            <w:bottom w:w="0" w:type="dxa"/>
            <w:right w:w="108" w:type="dxa"/>
          </w:tblCellMar>
        </w:tblPrEx>
        <w:tc>
          <w:p w14:paraId="4C61D36C">
            <w:pPr>
              <w:pStyle w:val="24"/>
              <w:spacing w:after="0"/>
              <w:jc w:val="left"/>
            </w:pPr>
            <w:r>
              <w:rPr>
                <w:rFonts w:ascii="Aptos" w:hAnsi="Aptos"/>
                <w:color w:val="1F2937"/>
                <w:sz w:val="18"/>
              </w:rPr>
              <w:t>Precio hortícola</w:t>
            </w:r>
          </w:p>
        </w:tc>
        <w:tc>
          <w:p w14:paraId="71A8BF65">
            <w:pPr>
              <w:pStyle w:val="24"/>
              <w:spacing w:after="0"/>
              <w:jc w:val="left"/>
            </w:pPr>
            <w:r>
              <w:rPr>
                <w:rFonts w:ascii="Aptos" w:hAnsi="Aptos"/>
                <w:color w:val="1F2937"/>
                <w:sz w:val="18"/>
              </w:rPr>
              <w:t>−30 %</w:t>
            </w:r>
          </w:p>
        </w:tc>
        <w:tc>
          <w:p w14:paraId="65B0667C">
            <w:pPr>
              <w:pStyle w:val="24"/>
              <w:spacing w:after="0"/>
              <w:jc w:val="left"/>
            </w:pPr>
            <w:r>
              <w:rPr>
                <w:rFonts w:ascii="Aptos" w:hAnsi="Aptos"/>
                <w:color w:val="1F2937"/>
                <w:sz w:val="18"/>
              </w:rPr>
              <w:t>≈ −48</w:t>
            </w:r>
          </w:p>
        </w:tc>
      </w:tr>
      <w:tr w14:paraId="6A35814B">
        <w:tblPrEx>
          <w:tblCellMar>
            <w:top w:w="0" w:type="dxa"/>
            <w:left w:w="108" w:type="dxa"/>
            <w:bottom w:w="0" w:type="dxa"/>
            <w:right w:w="108" w:type="dxa"/>
          </w:tblCellMar>
        </w:tblPrEx>
        <w:tc>
          <w:p w14:paraId="686589F7">
            <w:pPr>
              <w:pStyle w:val="24"/>
              <w:spacing w:after="0"/>
              <w:jc w:val="left"/>
            </w:pPr>
            <w:r>
              <w:rPr>
                <w:rFonts w:ascii="Aptos" w:hAnsi="Aptos"/>
                <w:color w:val="1F2937"/>
                <w:sz w:val="18"/>
              </w:rPr>
              <w:t>Producción</w:t>
            </w:r>
          </w:p>
        </w:tc>
        <w:tc>
          <w:p w14:paraId="27655763">
            <w:pPr>
              <w:pStyle w:val="24"/>
              <w:spacing w:after="0"/>
              <w:jc w:val="left"/>
            </w:pPr>
            <w:r>
              <w:rPr>
                <w:rFonts w:ascii="Aptos" w:hAnsi="Aptos"/>
                <w:color w:val="1F2937"/>
                <w:sz w:val="18"/>
              </w:rPr>
              <w:t>−25 %</w:t>
            </w:r>
          </w:p>
        </w:tc>
        <w:tc>
          <w:p w14:paraId="69DA5D28">
            <w:pPr>
              <w:pStyle w:val="24"/>
              <w:spacing w:after="0"/>
              <w:jc w:val="left"/>
            </w:pPr>
            <w:r>
              <w:rPr>
                <w:rFonts w:ascii="Aptos" w:hAnsi="Aptos"/>
                <w:color w:val="1F2937"/>
                <w:sz w:val="18"/>
              </w:rPr>
              <w:t>≈ −35</w:t>
            </w:r>
          </w:p>
        </w:tc>
      </w:tr>
      <w:tr w14:paraId="4B6C3934">
        <w:tblPrEx>
          <w:tblCellMar>
            <w:top w:w="0" w:type="dxa"/>
            <w:left w:w="108" w:type="dxa"/>
            <w:bottom w:w="0" w:type="dxa"/>
            <w:right w:w="108" w:type="dxa"/>
          </w:tblCellMar>
        </w:tblPrEx>
        <w:tc>
          <w:p w14:paraId="0798E9DD">
            <w:pPr>
              <w:pStyle w:val="24"/>
              <w:spacing w:after="0"/>
              <w:jc w:val="left"/>
            </w:pPr>
            <w:r>
              <w:rPr>
                <w:rFonts w:ascii="Aptos" w:hAnsi="Aptos"/>
                <w:color w:val="1F2937"/>
                <w:sz w:val="18"/>
              </w:rPr>
              <w:t>Valorización energética</w:t>
            </w:r>
          </w:p>
        </w:tc>
        <w:tc>
          <w:p w14:paraId="41B7BFC3">
            <w:pPr>
              <w:pStyle w:val="24"/>
              <w:spacing w:after="0"/>
              <w:jc w:val="left"/>
            </w:pPr>
            <w:r>
              <w:rPr>
                <w:rFonts w:ascii="Aptos" w:hAnsi="Aptos"/>
                <w:color w:val="1F2937"/>
                <w:sz w:val="18"/>
              </w:rPr>
              <w:t>−40 %</w:t>
            </w:r>
          </w:p>
        </w:tc>
        <w:tc>
          <w:p w14:paraId="646B6AB8">
            <w:pPr>
              <w:pStyle w:val="24"/>
              <w:spacing w:after="0"/>
              <w:jc w:val="left"/>
            </w:pPr>
            <w:r>
              <w:rPr>
                <w:rFonts w:ascii="Aptos" w:hAnsi="Aptos"/>
                <w:color w:val="1F2937"/>
                <w:sz w:val="18"/>
              </w:rPr>
              <w:t>≈ −36</w:t>
            </w:r>
          </w:p>
        </w:tc>
      </w:tr>
      <w:tr w14:paraId="58CE1CF9">
        <w:tblPrEx>
          <w:tblCellMar>
            <w:top w:w="0" w:type="dxa"/>
            <w:left w:w="108" w:type="dxa"/>
            <w:bottom w:w="0" w:type="dxa"/>
            <w:right w:w="108" w:type="dxa"/>
          </w:tblCellMar>
        </w:tblPrEx>
        <w:tc>
          <w:p w14:paraId="0B0AFE1F">
            <w:pPr>
              <w:pStyle w:val="24"/>
              <w:spacing w:after="0"/>
              <w:jc w:val="left"/>
            </w:pPr>
            <w:r>
              <w:rPr>
                <w:rFonts w:ascii="Aptos" w:hAnsi="Aptos"/>
                <w:color w:val="1F2937"/>
                <w:sz w:val="18"/>
              </w:rPr>
              <w:t>Clientes SaaS</w:t>
            </w:r>
          </w:p>
        </w:tc>
        <w:tc>
          <w:p w14:paraId="2822C306">
            <w:pPr>
              <w:pStyle w:val="24"/>
              <w:spacing w:after="0"/>
              <w:jc w:val="left"/>
            </w:pPr>
            <w:r>
              <w:rPr>
                <w:rFonts w:ascii="Aptos" w:hAnsi="Aptos"/>
                <w:color w:val="1F2937"/>
                <w:sz w:val="18"/>
              </w:rPr>
              <w:t>−50 %</w:t>
            </w:r>
          </w:p>
        </w:tc>
        <w:tc>
          <w:p w14:paraId="193D8A7E">
            <w:pPr>
              <w:pStyle w:val="24"/>
              <w:spacing w:after="0"/>
              <w:jc w:val="left"/>
            </w:pPr>
            <w:r>
              <w:rPr>
                <w:rFonts w:ascii="Aptos" w:hAnsi="Aptos"/>
                <w:color w:val="1F2937"/>
                <w:sz w:val="18"/>
              </w:rPr>
              <w:t>≈ −7</w:t>
            </w:r>
          </w:p>
        </w:tc>
      </w:tr>
      <w:tr w14:paraId="299BAD8E">
        <w:tblPrEx>
          <w:tblCellMar>
            <w:top w:w="0" w:type="dxa"/>
            <w:left w:w="108" w:type="dxa"/>
            <w:bottom w:w="0" w:type="dxa"/>
            <w:right w:w="108" w:type="dxa"/>
          </w:tblCellMar>
        </w:tblPrEx>
        <w:tc>
          <w:p w14:paraId="2FF4264D">
            <w:pPr>
              <w:pStyle w:val="24"/>
              <w:spacing w:after="0"/>
              <w:jc w:val="left"/>
            </w:pPr>
            <w:r>
              <w:rPr>
                <w:rFonts w:ascii="Aptos" w:hAnsi="Aptos"/>
                <w:color w:val="1F2937"/>
                <w:sz w:val="18"/>
              </w:rPr>
              <w:t>OPEX</w:t>
            </w:r>
          </w:p>
        </w:tc>
        <w:tc>
          <w:p w14:paraId="1E58726A">
            <w:pPr>
              <w:pStyle w:val="24"/>
              <w:spacing w:after="0"/>
              <w:jc w:val="left"/>
            </w:pPr>
            <w:r>
              <w:rPr>
                <w:rFonts w:ascii="Aptos" w:hAnsi="Aptos"/>
                <w:color w:val="1F2937"/>
                <w:sz w:val="18"/>
              </w:rPr>
              <w:t>+10 %</w:t>
            </w:r>
          </w:p>
        </w:tc>
        <w:tc>
          <w:p w14:paraId="3AEF1EB5">
            <w:pPr>
              <w:pStyle w:val="24"/>
              <w:spacing w:after="0"/>
              <w:jc w:val="left"/>
            </w:pPr>
            <w:r>
              <w:rPr>
                <w:rFonts w:ascii="Aptos" w:hAnsi="Aptos"/>
                <w:color w:val="1F2937"/>
                <w:sz w:val="18"/>
              </w:rPr>
              <w:t>≈ −20</w:t>
            </w:r>
          </w:p>
        </w:tc>
      </w:tr>
      <w:tr w14:paraId="500D4D1A">
        <w:tblPrEx>
          <w:tblCellMar>
            <w:top w:w="0" w:type="dxa"/>
            <w:left w:w="108" w:type="dxa"/>
            <w:bottom w:w="0" w:type="dxa"/>
            <w:right w:w="108" w:type="dxa"/>
          </w:tblCellMar>
        </w:tblPrEx>
        <w:tc>
          <w:p w14:paraId="08674C17">
            <w:pPr>
              <w:pStyle w:val="24"/>
              <w:spacing w:after="0"/>
              <w:jc w:val="left"/>
            </w:pPr>
            <w:r>
              <w:rPr>
                <w:rFonts w:ascii="Aptos" w:hAnsi="Aptos"/>
                <w:color w:val="1F2937"/>
                <w:sz w:val="18"/>
              </w:rPr>
              <w:t>CAPEX</w:t>
            </w:r>
          </w:p>
        </w:tc>
        <w:tc>
          <w:p w14:paraId="11E18D2D">
            <w:pPr>
              <w:pStyle w:val="24"/>
              <w:spacing w:after="0"/>
              <w:jc w:val="left"/>
            </w:pPr>
            <w:r>
              <w:rPr>
                <w:rFonts w:ascii="Aptos" w:hAnsi="Aptos"/>
                <w:color w:val="1F2937"/>
                <w:sz w:val="18"/>
              </w:rPr>
              <w:t>+15 %</w:t>
            </w:r>
          </w:p>
        </w:tc>
        <w:tc>
          <w:p w14:paraId="448E10CC">
            <w:pPr>
              <w:pStyle w:val="24"/>
              <w:spacing w:after="0"/>
              <w:jc w:val="left"/>
            </w:pPr>
            <w:r>
              <w:rPr>
                <w:rFonts w:ascii="Aptos" w:hAnsi="Aptos"/>
                <w:color w:val="1F2937"/>
                <w:sz w:val="18"/>
              </w:rPr>
              <w:t>EBITDA igual; payback +2–3 años</w:t>
            </w:r>
          </w:p>
        </w:tc>
      </w:tr>
    </w:tbl>
    <w:p w14:paraId="0E33A29C">
      <w:pPr>
        <w:pStyle w:val="3"/>
      </w:pPr>
      <w:r>
        <w:rPr>
          <w:rFonts w:ascii="Aptos" w:hAnsi="Aptos"/>
          <w:color w:val="1F2937"/>
          <w:sz w:val="21"/>
        </w:rPr>
        <w:t>Ninguna variable aislada quiebra el proyecto; dos simultáneas (precio hortícola + energía) sí — por eso ningún Gate depende de los ingresos energéticos.</w:t>
      </w:r>
    </w:p>
    <w:tbl>
      <w:tblPr>
        <w:tblStyle w:val="28"/>
        <w:tblW w:w="5000" w:type="pct"/>
        <w:jc w:val="center"/>
        <w:tblInd w:w="0" w:type="dxa"/>
        <w:tblLayout w:type="fixed"/>
        <w:tblCellMar>
          <w:top w:w="0" w:type="dxa"/>
          <w:left w:w="108" w:type="dxa"/>
          <w:bottom w:w="0" w:type="dxa"/>
          <w:right w:w="108" w:type="dxa"/>
        </w:tblCellMar>
      </w:tblPr>
      <w:tblGrid>
        <w:gridCol w:w="1584"/>
        <w:gridCol w:w="1584"/>
        <w:gridCol w:w="1584"/>
        <w:gridCol w:w="1584"/>
        <w:gridCol w:w="1584"/>
      </w:tblGrid>
      <w:tr w14:paraId="7B19F3F1">
        <w:tblPrEx>
          <w:tblCellMar>
            <w:top w:w="0" w:type="dxa"/>
            <w:left w:w="108" w:type="dxa"/>
            <w:bottom w:w="0" w:type="dxa"/>
            <w:right w:w="108" w:type="dxa"/>
          </w:tblCellMar>
        </w:tblPrEx>
        <w:tc>
          <w:tcPr>
            <w:tcW w:w="1872" w:type="dxa"/>
            <w:tcBorders>
              <w:bottom w:val="single" w:color="auto" w:sz="0" w:space="0"/>
            </w:tcBorders>
            <w:vAlign w:val="bottom"/>
          </w:tcPr>
          <w:p w14:paraId="5A9C7BE3">
            <w:pPr>
              <w:pStyle w:val="24"/>
              <w:spacing w:after="0"/>
              <w:jc w:val="left"/>
            </w:pPr>
            <w:r>
              <w:rPr>
                <w:rFonts w:ascii="Aptos" w:hAnsi="Aptos"/>
                <w:color w:val="1F2937"/>
                <w:sz w:val="18"/>
              </w:rPr>
              <w:t>Riesgo</w:t>
            </w:r>
          </w:p>
        </w:tc>
        <w:tc>
          <w:tcPr>
            <w:tcW w:w="1872" w:type="dxa"/>
            <w:tcBorders>
              <w:bottom w:val="single" w:color="auto" w:sz="0" w:space="0"/>
            </w:tcBorders>
            <w:vAlign w:val="bottom"/>
          </w:tcPr>
          <w:p w14:paraId="4BB8648B">
            <w:pPr>
              <w:pStyle w:val="24"/>
              <w:spacing w:after="0"/>
              <w:jc w:val="left"/>
            </w:pPr>
            <w:r>
              <w:rPr>
                <w:rFonts w:ascii="Aptos" w:hAnsi="Aptos"/>
                <w:color w:val="1F2937"/>
                <w:sz w:val="18"/>
              </w:rPr>
              <w:t>Impacto</w:t>
            </w:r>
          </w:p>
        </w:tc>
        <w:tc>
          <w:tcPr>
            <w:tcW w:w="1872" w:type="dxa"/>
            <w:tcBorders>
              <w:bottom w:val="single" w:color="auto" w:sz="0" w:space="0"/>
            </w:tcBorders>
            <w:vAlign w:val="bottom"/>
          </w:tcPr>
          <w:p w14:paraId="4AC8AED2">
            <w:pPr>
              <w:pStyle w:val="24"/>
              <w:spacing w:after="0"/>
              <w:jc w:val="left"/>
            </w:pPr>
            <w:r>
              <w:rPr>
                <w:rFonts w:ascii="Aptos" w:hAnsi="Aptos"/>
                <w:color w:val="1F2937"/>
                <w:sz w:val="18"/>
              </w:rPr>
              <w:t>Mitigación</w:t>
            </w:r>
          </w:p>
        </w:tc>
        <w:tc>
          <w:tcPr>
            <w:tcW w:w="1872" w:type="dxa"/>
            <w:tcBorders>
              <w:bottom w:val="single" w:color="auto" w:sz="0" w:space="0"/>
            </w:tcBorders>
            <w:vAlign w:val="bottom"/>
          </w:tcPr>
          <w:p w14:paraId="23308222">
            <w:pPr>
              <w:pStyle w:val="24"/>
              <w:spacing w:after="0"/>
              <w:jc w:val="left"/>
            </w:pPr>
            <w:r>
              <w:rPr>
                <w:rFonts w:ascii="Aptos" w:hAnsi="Aptos"/>
                <w:color w:val="1F2937"/>
                <w:sz w:val="18"/>
              </w:rPr>
              <w:t>Evidencia que lo reduce</w:t>
            </w:r>
          </w:p>
        </w:tc>
        <w:tc>
          <w:tcPr>
            <w:tcW w:w="1872" w:type="dxa"/>
            <w:tcBorders>
              <w:bottom w:val="single" w:color="auto" w:sz="0" w:space="0"/>
            </w:tcBorders>
            <w:vAlign w:val="bottom"/>
          </w:tcPr>
          <w:p w14:paraId="57907DEA">
            <w:pPr>
              <w:pStyle w:val="24"/>
              <w:spacing w:after="0"/>
              <w:jc w:val="left"/>
            </w:pPr>
            <w:r>
              <w:rPr>
                <w:rFonts w:ascii="Aptos" w:hAnsi="Aptos"/>
                <w:color w:val="1F2937"/>
                <w:sz w:val="18"/>
              </w:rPr>
              <w:t>Estado</w:t>
            </w:r>
          </w:p>
        </w:tc>
      </w:tr>
      <w:tr w14:paraId="1A5AF1AE">
        <w:tblPrEx>
          <w:tblCellMar>
            <w:top w:w="0" w:type="dxa"/>
            <w:left w:w="108" w:type="dxa"/>
            <w:bottom w:w="0" w:type="dxa"/>
            <w:right w:w="108" w:type="dxa"/>
          </w:tblCellMar>
        </w:tblPrEx>
        <w:tc>
          <w:p w14:paraId="301E97EB">
            <w:pPr>
              <w:pStyle w:val="24"/>
              <w:spacing w:after="0"/>
              <w:jc w:val="left"/>
            </w:pPr>
            <w:r>
              <w:rPr>
                <w:rFonts w:ascii="Aptos" w:hAnsi="Aptos"/>
                <w:color w:val="1F2937"/>
                <w:sz w:val="18"/>
              </w:rPr>
              <w:t>Retraso de permisos/sondeo</w:t>
            </w:r>
          </w:p>
        </w:tc>
        <w:tc>
          <w:p w14:paraId="3FBCE50E">
            <w:pPr>
              <w:pStyle w:val="24"/>
              <w:spacing w:after="0"/>
              <w:jc w:val="left"/>
            </w:pPr>
            <w:r>
              <w:rPr>
                <w:rFonts w:ascii="Aptos" w:hAnsi="Aptos"/>
                <w:color w:val="1F2937"/>
                <w:sz w:val="18"/>
              </w:rPr>
              <w:t>Camino crítico F1–F2</w:t>
            </w:r>
          </w:p>
        </w:tc>
        <w:tc>
          <w:p w14:paraId="74E4B987">
            <w:pPr>
              <w:pStyle w:val="24"/>
              <w:spacing w:after="0"/>
              <w:jc w:val="left"/>
            </w:pPr>
            <w:r>
              <w:rPr>
                <w:rFonts w:ascii="Aptos" w:hAnsi="Aptos"/>
                <w:color w:val="1F2937"/>
                <w:sz w:val="18"/>
              </w:rPr>
              <w:t>Registro temprano; acuse con nº de expediente</w:t>
            </w:r>
          </w:p>
        </w:tc>
        <w:tc>
          <w:p w14:paraId="6686931E">
            <w:pPr>
              <w:pStyle w:val="24"/>
              <w:spacing w:after="0"/>
              <w:jc w:val="left"/>
            </w:pPr>
            <w:r>
              <w:rPr>
                <w:rFonts w:ascii="Aptos" w:hAnsi="Aptos"/>
                <w:color w:val="1F2937"/>
                <w:sz w:val="18"/>
              </w:rPr>
              <w:t>SEV-F1-PERM-SONDEO-001</w:t>
            </w:r>
          </w:p>
        </w:tc>
        <w:tc>
          <w:p w14:paraId="7068B859">
            <w:pPr>
              <w:pStyle w:val="24"/>
              <w:spacing w:after="0"/>
              <w:jc w:val="left"/>
            </w:pPr>
            <w:r>
              <w:rPr>
                <w:rFonts w:ascii="Aptos" w:hAnsi="Aptos"/>
                <w:color w:val="1F2937"/>
                <w:sz w:val="18"/>
              </w:rPr>
              <w:t>Planificado</w:t>
            </w:r>
          </w:p>
        </w:tc>
      </w:tr>
      <w:tr w14:paraId="0CCD002B">
        <w:tblPrEx>
          <w:tblCellMar>
            <w:top w:w="0" w:type="dxa"/>
            <w:left w:w="108" w:type="dxa"/>
            <w:bottom w:w="0" w:type="dxa"/>
            <w:right w:w="108" w:type="dxa"/>
          </w:tblCellMar>
        </w:tblPrEx>
        <w:tc>
          <w:p w14:paraId="0EFD6767">
            <w:pPr>
              <w:pStyle w:val="24"/>
              <w:spacing w:after="0"/>
              <w:jc w:val="left"/>
            </w:pPr>
            <w:r>
              <w:rPr>
                <w:rFonts w:ascii="Aptos" w:hAnsi="Aptos"/>
                <w:color w:val="1F2937"/>
                <w:sz w:val="18"/>
              </w:rPr>
              <w:t>Retrasos en integración IoT</w:t>
            </w:r>
          </w:p>
        </w:tc>
        <w:tc>
          <w:p w14:paraId="419163F2">
            <w:pPr>
              <w:pStyle w:val="24"/>
              <w:spacing w:after="0"/>
              <w:jc w:val="left"/>
            </w:pPr>
            <w:r>
              <w:rPr>
                <w:rFonts w:ascii="Aptos" w:hAnsi="Aptos"/>
                <w:color w:val="1F2937"/>
                <w:sz w:val="18"/>
              </w:rPr>
              <w:t>Cronograma SaaS F1</w:t>
            </w:r>
          </w:p>
        </w:tc>
        <w:tc>
          <w:p w14:paraId="635C7EB4">
            <w:pPr>
              <w:pStyle w:val="24"/>
              <w:spacing w:after="0"/>
              <w:jc w:val="left"/>
            </w:pPr>
            <w:r>
              <w:rPr>
                <w:rFonts w:ascii="Aptos" w:hAnsi="Aptos"/>
                <w:color w:val="1F2937"/>
                <w:sz w:val="18"/>
              </w:rPr>
              <w:t>Estándares abiertos (MQTT, REST, OpenAPI)</w:t>
            </w:r>
          </w:p>
        </w:tc>
        <w:tc>
          <w:p w14:paraId="03846FE4">
            <w:pPr>
              <w:pStyle w:val="24"/>
              <w:spacing w:after="0"/>
              <w:jc w:val="left"/>
            </w:pPr>
            <w:r>
              <w:rPr>
                <w:rFonts w:ascii="Aptos" w:hAnsi="Aptos"/>
                <w:color w:val="1F2937"/>
                <w:sz w:val="18"/>
              </w:rPr>
              <w:t>Diseño técnico (§3.5)</w:t>
            </w:r>
          </w:p>
        </w:tc>
        <w:tc>
          <w:p w14:paraId="7C5CFDEC">
            <w:pPr>
              <w:pStyle w:val="24"/>
              <w:spacing w:after="0"/>
              <w:jc w:val="left"/>
            </w:pPr>
            <w:r>
              <w:rPr>
                <w:rFonts w:ascii="Aptos" w:hAnsi="Aptos"/>
                <w:color w:val="1F2937"/>
                <w:sz w:val="18"/>
              </w:rPr>
              <w:t>Diseñado</w:t>
            </w:r>
          </w:p>
        </w:tc>
      </w:tr>
      <w:tr w14:paraId="1164E719">
        <w:tblPrEx>
          <w:tblCellMar>
            <w:top w:w="0" w:type="dxa"/>
            <w:left w:w="108" w:type="dxa"/>
            <w:bottom w:w="0" w:type="dxa"/>
            <w:right w:w="108" w:type="dxa"/>
          </w:tblCellMar>
        </w:tblPrEx>
        <w:tc>
          <w:p w14:paraId="50E6BB2C">
            <w:pPr>
              <w:pStyle w:val="24"/>
              <w:spacing w:after="0"/>
              <w:jc w:val="left"/>
            </w:pPr>
            <w:r>
              <w:rPr>
                <w:rFonts w:ascii="Aptos" w:hAnsi="Aptos"/>
                <w:color w:val="1F2937"/>
                <w:sz w:val="18"/>
              </w:rPr>
              <w:t>Conversión de pilotos más lenta</w:t>
            </w:r>
          </w:p>
        </w:tc>
        <w:tc>
          <w:p w14:paraId="4859F8BC">
            <w:pPr>
              <w:pStyle w:val="24"/>
              <w:spacing w:after="0"/>
              <w:jc w:val="left"/>
            </w:pPr>
            <w:r>
              <w:rPr>
                <w:rFonts w:ascii="Aptos" w:hAnsi="Aptos"/>
                <w:color w:val="1F2937"/>
                <w:sz w:val="18"/>
              </w:rPr>
              <w:t>Criterio G1</w:t>
            </w:r>
          </w:p>
        </w:tc>
        <w:tc>
          <w:p w14:paraId="64C6A79A">
            <w:pPr>
              <w:pStyle w:val="24"/>
              <w:spacing w:after="0"/>
              <w:jc w:val="left"/>
            </w:pPr>
            <w:r>
              <w:rPr>
                <w:rFonts w:ascii="Aptos" w:hAnsi="Aptos"/>
                <w:color w:val="1F2937"/>
                <w:sz w:val="18"/>
              </w:rPr>
              <w:t>Embudo con tasas declaradas; demostrador físico; aceleración</w:t>
            </w:r>
          </w:p>
        </w:tc>
        <w:tc>
          <w:p w14:paraId="29D94BC1">
            <w:pPr>
              <w:pStyle w:val="24"/>
              <w:spacing w:after="0"/>
              <w:jc w:val="left"/>
            </w:pPr>
            <w:r>
              <w:rPr>
                <w:rFonts w:ascii="Aptos" w:hAnsi="Aptos"/>
                <w:color w:val="1F2937"/>
                <w:sz w:val="18"/>
              </w:rPr>
              <w:t>Embudo comercial (§6.2)</w:t>
            </w:r>
          </w:p>
        </w:tc>
        <w:tc>
          <w:p w14:paraId="6D491044">
            <w:pPr>
              <w:pStyle w:val="24"/>
              <w:spacing w:after="0"/>
              <w:jc w:val="left"/>
            </w:pPr>
            <w:r>
              <w:rPr>
                <w:rFonts w:ascii="Aptos" w:hAnsi="Aptos"/>
                <w:color w:val="1F2937"/>
                <w:sz w:val="18"/>
              </w:rPr>
              <w:t>Diseñado</w:t>
            </w:r>
          </w:p>
        </w:tc>
      </w:tr>
      <w:tr w14:paraId="7AE58489">
        <w:tblPrEx>
          <w:tblCellMar>
            <w:top w:w="0" w:type="dxa"/>
            <w:left w:w="108" w:type="dxa"/>
            <w:bottom w:w="0" w:type="dxa"/>
            <w:right w:w="108" w:type="dxa"/>
          </w:tblCellMar>
        </w:tblPrEx>
        <w:tc>
          <w:p w14:paraId="676C7959">
            <w:pPr>
              <w:pStyle w:val="24"/>
              <w:spacing w:after="0"/>
              <w:jc w:val="left"/>
            </w:pPr>
            <w:r>
              <w:rPr>
                <w:rFonts w:ascii="Aptos" w:hAnsi="Aptos"/>
                <w:color w:val="1F2937"/>
                <w:sz w:val="18"/>
              </w:rPr>
              <w:t>Datos no reproducibles</w:t>
            </w:r>
          </w:p>
        </w:tc>
        <w:tc>
          <w:p w14:paraId="727A2093">
            <w:pPr>
              <w:pStyle w:val="24"/>
              <w:spacing w:after="0"/>
              <w:jc w:val="left"/>
            </w:pPr>
            <w:r>
              <w:rPr>
                <w:rFonts w:ascii="Aptos" w:hAnsi="Aptos"/>
                <w:color w:val="1F2937"/>
                <w:sz w:val="18"/>
              </w:rPr>
              <w:t>La evidencia no sella</w:t>
            </w:r>
          </w:p>
        </w:tc>
        <w:tc>
          <w:p w14:paraId="25CD6F1A">
            <w:pPr>
              <w:pStyle w:val="24"/>
              <w:spacing w:after="0"/>
              <w:jc w:val="left"/>
            </w:pPr>
            <w:r>
              <w:rPr>
                <w:rFonts w:ascii="Aptos" w:hAnsi="Aptos"/>
                <w:color w:val="1F2937"/>
                <w:sz w:val="18"/>
              </w:rPr>
              <w:t>Pipeline con re-ejecución obligatoria</w:t>
            </w:r>
          </w:p>
        </w:tc>
        <w:tc>
          <w:p w14:paraId="3209F5E9">
            <w:pPr>
              <w:pStyle w:val="24"/>
              <w:spacing w:after="0"/>
              <w:jc w:val="left"/>
            </w:pPr>
            <w:r>
              <w:rPr>
                <w:rFonts w:ascii="Aptos" w:hAnsi="Aptos"/>
                <w:color w:val="1F2937"/>
                <w:sz w:val="18"/>
              </w:rPr>
              <w:t>SEV-F1-PIPELINE-001</w:t>
            </w:r>
          </w:p>
        </w:tc>
        <w:tc>
          <w:p w14:paraId="1E0485B1">
            <w:pPr>
              <w:pStyle w:val="24"/>
              <w:spacing w:after="0"/>
              <w:jc w:val="left"/>
            </w:pPr>
            <w:r>
              <w:rPr>
                <w:rFonts w:ascii="Aptos" w:hAnsi="Aptos"/>
                <w:color w:val="1F2937"/>
                <w:sz w:val="18"/>
              </w:rPr>
              <w:t>Parcial</w:t>
            </w:r>
          </w:p>
        </w:tc>
      </w:tr>
      <w:tr w14:paraId="1230A77B">
        <w:tblPrEx>
          <w:tblCellMar>
            <w:top w:w="0" w:type="dxa"/>
            <w:left w:w="108" w:type="dxa"/>
            <w:bottom w:w="0" w:type="dxa"/>
            <w:right w:w="108" w:type="dxa"/>
          </w:tblCellMar>
        </w:tblPrEx>
        <w:tc>
          <w:p w14:paraId="46421548">
            <w:pPr>
              <w:pStyle w:val="24"/>
              <w:spacing w:after="0"/>
              <w:jc w:val="left"/>
            </w:pPr>
            <w:r>
              <w:rPr>
                <w:rFonts w:ascii="Aptos" w:hAnsi="Aptos"/>
                <w:color w:val="1F2937"/>
                <w:sz w:val="18"/>
              </w:rPr>
              <w:t>LOI no firmadas</w:t>
            </w:r>
          </w:p>
        </w:tc>
        <w:tc>
          <w:p w14:paraId="104A87A1">
            <w:pPr>
              <w:pStyle w:val="24"/>
              <w:spacing w:after="0"/>
              <w:jc w:val="left"/>
            </w:pPr>
            <w:r>
              <w:rPr>
                <w:rFonts w:ascii="Aptos" w:hAnsi="Aptos"/>
                <w:color w:val="1F2937"/>
                <w:sz w:val="18"/>
              </w:rPr>
              <w:t>Sin respaldo institucional/comercial</w:t>
            </w:r>
          </w:p>
        </w:tc>
        <w:tc>
          <w:p w14:paraId="232F075D">
            <w:pPr>
              <w:pStyle w:val="24"/>
              <w:spacing w:after="0"/>
              <w:jc w:val="left"/>
            </w:pPr>
            <w:r>
              <w:rPr>
                <w:rFonts w:ascii="Aptos" w:hAnsi="Aptos"/>
                <w:color w:val="1F2937"/>
                <w:sz w:val="18"/>
              </w:rPr>
              <w:t>Estado honesto + fecha objetivo</w:t>
            </w:r>
          </w:p>
        </w:tc>
        <w:tc>
          <w:p w14:paraId="4449CA20">
            <w:pPr>
              <w:pStyle w:val="24"/>
              <w:spacing w:after="0"/>
              <w:jc w:val="left"/>
            </w:pPr>
            <w:r>
              <w:rPr>
                <w:rFonts w:ascii="Aptos" w:hAnsi="Aptos"/>
                <w:color w:val="1F2937"/>
                <w:sz w:val="18"/>
              </w:rPr>
              <w:t>SEV-F1-LOI-INSTIT-001, -COM-001</w:t>
            </w:r>
          </w:p>
        </w:tc>
        <w:tc>
          <w:p w14:paraId="780CE4B5">
            <w:pPr>
              <w:pStyle w:val="24"/>
              <w:spacing w:after="0"/>
              <w:jc w:val="left"/>
            </w:pPr>
            <w:r>
              <w:rPr>
                <w:rFonts w:ascii="Aptos" w:hAnsi="Aptos"/>
                <w:color w:val="1F2937"/>
                <w:sz w:val="18"/>
              </w:rPr>
              <w:t>Planificado</w:t>
            </w:r>
          </w:p>
        </w:tc>
      </w:tr>
      <w:tr w14:paraId="286EF7EA">
        <w:tblPrEx>
          <w:tblCellMar>
            <w:top w:w="0" w:type="dxa"/>
            <w:left w:w="108" w:type="dxa"/>
            <w:bottom w:w="0" w:type="dxa"/>
            <w:right w:w="108" w:type="dxa"/>
          </w:tblCellMar>
        </w:tblPrEx>
        <w:tc>
          <w:p w14:paraId="27F5ECF3">
            <w:pPr>
              <w:pStyle w:val="24"/>
              <w:spacing w:after="0"/>
              <w:jc w:val="left"/>
            </w:pPr>
            <w:r>
              <w:rPr>
                <w:rFonts w:ascii="Aptos" w:hAnsi="Aptos"/>
                <w:color w:val="1F2937"/>
                <w:sz w:val="18"/>
              </w:rPr>
              <w:t>Incertidumbre geotérmica</w:t>
            </w:r>
          </w:p>
        </w:tc>
        <w:tc>
          <w:p w14:paraId="5004403E">
            <w:pPr>
              <w:pStyle w:val="24"/>
              <w:spacing w:after="0"/>
              <w:jc w:val="left"/>
            </w:pPr>
            <w:r>
              <w:rPr>
                <w:rFonts w:ascii="Aptos" w:hAnsi="Aptos"/>
                <w:color w:val="1F2937"/>
                <w:sz w:val="18"/>
              </w:rPr>
              <w:t>Sobrecoste de sondeos</w:t>
            </w:r>
          </w:p>
        </w:tc>
        <w:tc>
          <w:p w14:paraId="093F4D0D">
            <w:pPr>
              <w:pStyle w:val="24"/>
              <w:spacing w:after="0"/>
              <w:jc w:val="left"/>
            </w:pPr>
            <w:r>
              <w:rPr>
                <w:rFonts w:ascii="Aptos" w:hAnsi="Aptos"/>
                <w:color w:val="1F2937"/>
                <w:sz w:val="18"/>
              </w:rPr>
              <w:t>TRT previo; respaldo aire-agua; reserva +0,1–0,2 M€</w:t>
            </w:r>
          </w:p>
        </w:tc>
        <w:tc>
          <w:p w14:paraId="0D082131">
            <w:pPr>
              <w:pStyle w:val="24"/>
              <w:spacing w:after="0"/>
              <w:jc w:val="left"/>
            </w:pPr>
            <w:r>
              <w:rPr>
                <w:rFonts w:ascii="Aptos" w:hAnsi="Aptos"/>
                <w:color w:val="1F2937"/>
                <w:sz w:val="18"/>
              </w:rPr>
              <w:t>SEV-F1-TRT-CONTRACT-001</w:t>
            </w:r>
          </w:p>
        </w:tc>
        <w:tc>
          <w:p w14:paraId="20B23585">
            <w:pPr>
              <w:pStyle w:val="24"/>
              <w:spacing w:after="0"/>
              <w:jc w:val="left"/>
            </w:pPr>
            <w:r>
              <w:rPr>
                <w:rFonts w:ascii="Aptos" w:hAnsi="Aptos"/>
                <w:color w:val="1F2937"/>
                <w:sz w:val="18"/>
              </w:rPr>
              <w:t>Planificado</w:t>
            </w:r>
          </w:p>
        </w:tc>
      </w:tr>
    </w:tbl>
    <w:p w14:paraId="45F2F4A7">
      <w:pPr>
        <w:pStyle w:val="22"/>
      </w:pPr>
      <w:r>
        <w:rPr>
          <w:rFonts w:ascii="Aptos" w:hAnsi="Aptos"/>
          <w:b/>
          <w:color w:val="1F2937"/>
          <w:sz w:val="21"/>
        </w:rPr>
        <w:t>Evidencias asociadas (§9):</w:t>
      </w:r>
      <w:r>
        <w:rPr>
          <w:rFonts w:ascii="Aptos" w:hAnsi="Aptos"/>
          <w:color w:val="1F2937"/>
          <w:sz w:val="21"/>
        </w:rPr>
        <w:t xml:space="preserve"> matriz de riesgos P×I, FMEA, SEV-F1-PERM-SONDEO-001 · Nivel: documento (§11).</w:t>
      </w:r>
    </w:p>
    <w:p w14:paraId="52DF408B">
      <w:pPr>
        <w:pStyle w:val="2"/>
      </w:pPr>
      <w:bookmarkStart w:id="82" w:name="Xbe8428cba54e391cf32584780784d1068f9af9a"/>
      <w:r>
        <w:rPr>
          <w:rFonts w:ascii="Aptos Display" w:hAnsi="Aptos Display"/>
          <w:b/>
          <w:color w:val="174A2E"/>
          <w:sz w:val="21"/>
        </w:rPr>
        <w:t>10. Autoevaluación crítica, matriz de riesgos y plan de acción pre-PIE PLUS</w:t>
      </w:r>
      <w:bookmarkEnd w:id="82"/>
    </w:p>
    <w:p w14:paraId="7D2482D9">
      <w:pPr>
        <w:pStyle w:val="23"/>
      </w:pPr>
      <w:r>
        <w:rPr>
          <w:rFonts w:ascii="Aptos" w:hAnsi="Aptos"/>
          <w:color w:val="1F2937"/>
          <w:sz w:val="21"/>
        </w:rPr>
        <w:t xml:space="preserve">Este apartado es una </w:t>
      </w:r>
      <w:r>
        <w:rPr>
          <w:rFonts w:ascii="Aptos" w:hAnsi="Aptos"/>
          <w:b/>
          <w:color w:val="1F2937"/>
          <w:sz w:val="21"/>
        </w:rPr>
        <w:t>autoevaluación interna de gestión</w:t>
      </w:r>
      <w:r>
        <w:rPr>
          <w:rFonts w:ascii="Aptos" w:hAnsi="Aptos"/>
          <w:color w:val="1F2937"/>
          <w:sz w:val="21"/>
        </w:rPr>
        <w:t xml:space="preserve"> (</w:t>
      </w:r>
      <w:r>
        <w:rPr>
          <w:rFonts w:ascii="Aptos" w:hAnsi="Aptos"/>
          <w:i/>
          <w:color w:val="1F2937"/>
          <w:sz w:val="21"/>
        </w:rPr>
        <w:t>due diligence</w:t>
      </w:r>
      <w:r>
        <w:rPr>
          <w:rFonts w:ascii="Aptos" w:hAnsi="Aptos"/>
          <w:color w:val="1F2937"/>
          <w:sz w:val="21"/>
        </w:rPr>
        <w:t xml:space="preserve"> del propio plan): su función es priorizar la ejecución y transparentar riesgos y acciones, no emitir una calificación oficial. Las puntuaciones son estimaciones internas ponderadas; conforme al Prompt Maestro, </w:t>
      </w:r>
      <w:r>
        <w:rPr>
          <w:rFonts w:ascii="Aptos" w:hAnsi="Aptos"/>
          <w:b/>
          <w:color w:val="1F2937"/>
          <w:sz w:val="21"/>
        </w:rPr>
        <w:t>no convierten objetivos en hechos</w:t>
      </w:r>
      <w:r>
        <w:rPr>
          <w:rFonts w:ascii="Aptos" w:hAnsi="Aptos"/>
          <w:color w:val="1F2937"/>
          <w:sz w:val="21"/>
        </w:rPr>
        <w:t xml:space="preserve"> — los estados “en validación local/candidata / en negociación” son objetivos a sellar en el SEV. Los responsables se expresan por rol (no se atribuyen personas que no formen parte del equipo declarado en §8).</w:t>
      </w:r>
    </w:p>
    <w:p w14:paraId="64FBC21B">
      <w:pPr>
        <w:pStyle w:val="4"/>
      </w:pPr>
      <w:bookmarkStart w:id="83" w:name="autoevaluación-ponderada"/>
      <w:r>
        <w:rPr>
          <w:rFonts w:ascii="Aptos Display" w:hAnsi="Aptos Display"/>
          <w:b/>
          <w:color w:val="174A2E"/>
          <w:sz w:val="21"/>
        </w:rPr>
        <w:t>10.1. Autoevaluación ponderada</w:t>
      </w:r>
      <w:bookmarkEnd w:id="83"/>
    </w:p>
    <w:tbl>
      <w:tblPr>
        <w:tblStyle w:val="28"/>
        <w:tblW w:w="5000" w:type="pct"/>
        <w:jc w:val="center"/>
        <w:tblInd w:w="0" w:type="dxa"/>
        <w:tblLayout w:type="fixed"/>
        <w:tblCellMar>
          <w:top w:w="0" w:type="dxa"/>
          <w:left w:w="108" w:type="dxa"/>
          <w:bottom w:w="0" w:type="dxa"/>
          <w:right w:w="108" w:type="dxa"/>
        </w:tblCellMar>
      </w:tblPr>
      <w:tblGrid>
        <w:gridCol w:w="1584"/>
        <w:gridCol w:w="1584"/>
        <w:gridCol w:w="1584"/>
        <w:gridCol w:w="1584"/>
        <w:gridCol w:w="1584"/>
      </w:tblGrid>
      <w:tr w14:paraId="48BFC746">
        <w:tblPrEx>
          <w:tblCellMar>
            <w:top w:w="0" w:type="dxa"/>
            <w:left w:w="108" w:type="dxa"/>
            <w:bottom w:w="0" w:type="dxa"/>
            <w:right w:w="108" w:type="dxa"/>
          </w:tblCellMar>
        </w:tblPrEx>
        <w:tc>
          <w:tcPr>
            <w:tcW w:w="1872" w:type="dxa"/>
            <w:tcBorders>
              <w:bottom w:val="single" w:color="auto" w:sz="0" w:space="0"/>
            </w:tcBorders>
            <w:vAlign w:val="bottom"/>
          </w:tcPr>
          <w:p w14:paraId="35E8745D">
            <w:pPr>
              <w:pStyle w:val="24"/>
              <w:spacing w:after="0"/>
              <w:jc w:val="left"/>
            </w:pPr>
            <w:r>
              <w:rPr>
                <w:rFonts w:ascii="Aptos" w:hAnsi="Aptos"/>
                <w:color w:val="1F2937"/>
                <w:sz w:val="18"/>
              </w:rPr>
              <w:t>Categoría</w:t>
            </w:r>
          </w:p>
        </w:tc>
        <w:tc>
          <w:tcPr>
            <w:tcW w:w="1872" w:type="dxa"/>
            <w:tcBorders>
              <w:bottom w:val="single" w:color="auto" w:sz="0" w:space="0"/>
            </w:tcBorders>
            <w:vAlign w:val="bottom"/>
          </w:tcPr>
          <w:p w14:paraId="17583B92">
            <w:pPr>
              <w:pStyle w:val="24"/>
              <w:spacing w:after="0"/>
              <w:jc w:val="right"/>
            </w:pPr>
            <w:r>
              <w:rPr>
                <w:rFonts w:ascii="Aptos" w:hAnsi="Aptos"/>
                <w:color w:val="1F2937"/>
                <w:sz w:val="18"/>
              </w:rPr>
              <w:t>Puntuación (/10)</w:t>
            </w:r>
          </w:p>
        </w:tc>
        <w:tc>
          <w:tcPr>
            <w:tcW w:w="1872" w:type="dxa"/>
            <w:tcBorders>
              <w:bottom w:val="single" w:color="auto" w:sz="0" w:space="0"/>
            </w:tcBorders>
            <w:vAlign w:val="bottom"/>
          </w:tcPr>
          <w:p w14:paraId="6861A127">
            <w:pPr>
              <w:pStyle w:val="24"/>
              <w:spacing w:after="0"/>
              <w:jc w:val="right"/>
            </w:pPr>
            <w:r>
              <w:rPr>
                <w:rFonts w:ascii="Aptos" w:hAnsi="Aptos"/>
                <w:color w:val="1F2937"/>
                <w:sz w:val="18"/>
              </w:rPr>
              <w:t>Peso</w:t>
            </w:r>
          </w:p>
        </w:tc>
        <w:tc>
          <w:tcPr>
            <w:tcW w:w="1872" w:type="dxa"/>
            <w:tcBorders>
              <w:bottom w:val="single" w:color="auto" w:sz="0" w:space="0"/>
            </w:tcBorders>
            <w:vAlign w:val="bottom"/>
          </w:tcPr>
          <w:p w14:paraId="2BAA0389">
            <w:pPr>
              <w:pStyle w:val="24"/>
              <w:spacing w:after="0"/>
              <w:jc w:val="right"/>
            </w:pPr>
            <w:r>
              <w:rPr>
                <w:rFonts w:ascii="Aptos" w:hAnsi="Aptos"/>
                <w:color w:val="1F2937"/>
                <w:sz w:val="18"/>
              </w:rPr>
              <w:t>Ponderada</w:t>
            </w:r>
          </w:p>
        </w:tc>
        <w:tc>
          <w:tcPr>
            <w:tcW w:w="1872" w:type="dxa"/>
            <w:tcBorders>
              <w:bottom w:val="single" w:color="auto" w:sz="0" w:space="0"/>
            </w:tcBorders>
            <w:vAlign w:val="bottom"/>
          </w:tcPr>
          <w:p w14:paraId="40301F96">
            <w:pPr>
              <w:pStyle w:val="24"/>
              <w:spacing w:after="0"/>
              <w:jc w:val="left"/>
            </w:pPr>
            <w:r>
              <w:rPr>
                <w:rFonts w:ascii="Aptos" w:hAnsi="Aptos"/>
                <w:color w:val="1F2937"/>
                <w:sz w:val="18"/>
              </w:rPr>
              <w:t>Comentario</w:t>
            </w:r>
          </w:p>
        </w:tc>
      </w:tr>
      <w:tr w14:paraId="3572EAB1">
        <w:tblPrEx>
          <w:tblCellMar>
            <w:top w:w="0" w:type="dxa"/>
            <w:left w:w="108" w:type="dxa"/>
            <w:bottom w:w="0" w:type="dxa"/>
            <w:right w:w="108" w:type="dxa"/>
          </w:tblCellMar>
        </w:tblPrEx>
        <w:tc>
          <w:p w14:paraId="453F2060">
            <w:pPr>
              <w:pStyle w:val="24"/>
              <w:spacing w:after="0"/>
              <w:jc w:val="left"/>
            </w:pPr>
            <w:r>
              <w:rPr>
                <w:rFonts w:ascii="Aptos" w:hAnsi="Aptos"/>
                <w:color w:val="1F2937"/>
                <w:sz w:val="18"/>
              </w:rPr>
              <w:t>Técnica</w:t>
            </w:r>
          </w:p>
        </w:tc>
        <w:tc>
          <w:p w14:paraId="3DC2D4BB">
            <w:pPr>
              <w:pStyle w:val="24"/>
              <w:spacing w:after="0"/>
              <w:jc w:val="right"/>
            </w:pPr>
            <w:r>
              <w:rPr>
                <w:rFonts w:ascii="Aptos" w:hAnsi="Aptos"/>
                <w:color w:val="1F2937"/>
                <w:sz w:val="18"/>
              </w:rPr>
              <w:t>9</w:t>
            </w:r>
          </w:p>
        </w:tc>
        <w:tc>
          <w:p w14:paraId="5CE2DA8A">
            <w:pPr>
              <w:pStyle w:val="24"/>
              <w:spacing w:after="0"/>
              <w:jc w:val="right"/>
            </w:pPr>
            <w:r>
              <w:rPr>
                <w:rFonts w:ascii="Aptos" w:hAnsi="Aptos"/>
                <w:color w:val="1F2937"/>
                <w:sz w:val="18"/>
              </w:rPr>
              <w:t>30 %</w:t>
            </w:r>
          </w:p>
        </w:tc>
        <w:tc>
          <w:p w14:paraId="75C4D03A">
            <w:pPr>
              <w:pStyle w:val="24"/>
              <w:spacing w:after="0"/>
              <w:jc w:val="right"/>
            </w:pPr>
            <w:r>
              <w:rPr>
                <w:rFonts w:ascii="Aptos" w:hAnsi="Aptos"/>
                <w:color w:val="1F2937"/>
                <w:sz w:val="18"/>
              </w:rPr>
              <w:t>2,7</w:t>
            </w:r>
          </w:p>
        </w:tc>
        <w:tc>
          <w:p w14:paraId="2207F870">
            <w:pPr>
              <w:pStyle w:val="24"/>
              <w:spacing w:after="0"/>
              <w:jc w:val="left"/>
            </w:pPr>
            <w:r>
              <w:rPr>
                <w:rFonts w:ascii="Aptos" w:hAnsi="Aptos"/>
                <w:color w:val="1F2937"/>
                <w:sz w:val="18"/>
              </w:rPr>
              <w:t>Arquitectura, TRL objetivo y SEV sólidos (repositorio operativo)</w:t>
            </w:r>
          </w:p>
        </w:tc>
      </w:tr>
      <w:tr w14:paraId="1B753DD8">
        <w:tblPrEx>
          <w:tblCellMar>
            <w:top w:w="0" w:type="dxa"/>
            <w:left w:w="108" w:type="dxa"/>
            <w:bottom w:w="0" w:type="dxa"/>
            <w:right w:w="108" w:type="dxa"/>
          </w:tblCellMar>
        </w:tblPrEx>
        <w:tc>
          <w:p w14:paraId="7526F28C">
            <w:pPr>
              <w:pStyle w:val="24"/>
              <w:spacing w:after="0"/>
              <w:jc w:val="left"/>
            </w:pPr>
            <w:r>
              <w:rPr>
                <w:rFonts w:ascii="Aptos" w:hAnsi="Aptos"/>
                <w:color w:val="1F2937"/>
                <w:sz w:val="18"/>
              </w:rPr>
              <w:t>Negocio</w:t>
            </w:r>
          </w:p>
        </w:tc>
        <w:tc>
          <w:p w14:paraId="776AE8FA">
            <w:pPr>
              <w:pStyle w:val="24"/>
              <w:spacing w:after="0"/>
              <w:jc w:val="right"/>
            </w:pPr>
            <w:r>
              <w:rPr>
                <w:rFonts w:ascii="Aptos" w:hAnsi="Aptos"/>
                <w:color w:val="1F2937"/>
                <w:sz w:val="18"/>
              </w:rPr>
              <w:t>8</w:t>
            </w:r>
          </w:p>
        </w:tc>
        <w:tc>
          <w:p w14:paraId="3BFDE146">
            <w:pPr>
              <w:pStyle w:val="24"/>
              <w:spacing w:after="0"/>
              <w:jc w:val="right"/>
            </w:pPr>
            <w:r>
              <w:rPr>
                <w:rFonts w:ascii="Aptos" w:hAnsi="Aptos"/>
                <w:color w:val="1F2937"/>
                <w:sz w:val="18"/>
              </w:rPr>
              <w:t>25 %</w:t>
            </w:r>
          </w:p>
        </w:tc>
        <w:tc>
          <w:p w14:paraId="406B19A1">
            <w:pPr>
              <w:pStyle w:val="24"/>
              <w:spacing w:after="0"/>
              <w:jc w:val="right"/>
            </w:pPr>
            <w:r>
              <w:rPr>
                <w:rFonts w:ascii="Aptos" w:hAnsi="Aptos"/>
                <w:color w:val="1F2937"/>
                <w:sz w:val="18"/>
              </w:rPr>
              <w:t>2,0</w:t>
            </w:r>
          </w:p>
        </w:tc>
        <w:tc>
          <w:p w14:paraId="1EA9AD23">
            <w:pPr>
              <w:pStyle w:val="24"/>
              <w:spacing w:after="0"/>
              <w:jc w:val="left"/>
            </w:pPr>
            <w:r>
              <w:rPr>
                <w:rFonts w:ascii="Aptos" w:hAnsi="Aptos"/>
                <w:color w:val="1F2937"/>
                <w:sz w:val="18"/>
              </w:rPr>
              <w:t>Modelo diversificado; requiere validación comercial (G1)</w:t>
            </w:r>
          </w:p>
        </w:tc>
      </w:tr>
      <w:tr w14:paraId="131F7D65">
        <w:tblPrEx>
          <w:tblCellMar>
            <w:top w:w="0" w:type="dxa"/>
            <w:left w:w="108" w:type="dxa"/>
            <w:bottom w:w="0" w:type="dxa"/>
            <w:right w:w="108" w:type="dxa"/>
          </w:tblCellMar>
        </w:tblPrEx>
        <w:tc>
          <w:p w14:paraId="221476EE">
            <w:pPr>
              <w:pStyle w:val="24"/>
              <w:spacing w:after="0"/>
              <w:jc w:val="left"/>
            </w:pPr>
            <w:r>
              <w:rPr>
                <w:rFonts w:ascii="Aptos" w:hAnsi="Aptos"/>
                <w:color w:val="1F2937"/>
                <w:sz w:val="18"/>
              </w:rPr>
              <w:t>Alineación PIE PLUS</w:t>
            </w:r>
          </w:p>
        </w:tc>
        <w:tc>
          <w:p w14:paraId="750115B3">
            <w:pPr>
              <w:pStyle w:val="24"/>
              <w:spacing w:after="0"/>
              <w:jc w:val="right"/>
            </w:pPr>
            <w:r>
              <w:rPr>
                <w:rFonts w:ascii="Aptos" w:hAnsi="Aptos"/>
                <w:color w:val="1F2937"/>
                <w:sz w:val="18"/>
              </w:rPr>
              <w:t>9</w:t>
            </w:r>
          </w:p>
        </w:tc>
        <w:tc>
          <w:p w14:paraId="0F7BEDF3">
            <w:pPr>
              <w:pStyle w:val="24"/>
              <w:spacing w:after="0"/>
              <w:jc w:val="right"/>
            </w:pPr>
            <w:r>
              <w:rPr>
                <w:rFonts w:ascii="Aptos" w:hAnsi="Aptos"/>
                <w:color w:val="1F2937"/>
                <w:sz w:val="18"/>
              </w:rPr>
              <w:t>20 %</w:t>
            </w:r>
          </w:p>
        </w:tc>
        <w:tc>
          <w:p w14:paraId="5C07B38F">
            <w:pPr>
              <w:pStyle w:val="24"/>
              <w:spacing w:after="0"/>
              <w:jc w:val="right"/>
            </w:pPr>
            <w:r>
              <w:rPr>
                <w:rFonts w:ascii="Aptos" w:hAnsi="Aptos"/>
                <w:color w:val="1F2937"/>
                <w:sz w:val="18"/>
              </w:rPr>
              <w:t>1,8</w:t>
            </w:r>
          </w:p>
        </w:tc>
        <w:tc>
          <w:p w14:paraId="266F6FFE">
            <w:pPr>
              <w:pStyle w:val="24"/>
              <w:spacing w:after="0"/>
              <w:jc w:val="left"/>
            </w:pPr>
            <w:r>
              <w:rPr>
                <w:rFonts w:ascii="Aptos" w:hAnsi="Aptos"/>
                <w:color w:val="1F2937"/>
                <w:sz w:val="18"/>
              </w:rPr>
              <w:t>Cobertura de los requisitos (Anexo E)</w:t>
            </w:r>
          </w:p>
        </w:tc>
      </w:tr>
      <w:tr w14:paraId="78B9F255">
        <w:tblPrEx>
          <w:tblCellMar>
            <w:top w:w="0" w:type="dxa"/>
            <w:left w:w="108" w:type="dxa"/>
            <w:bottom w:w="0" w:type="dxa"/>
            <w:right w:w="108" w:type="dxa"/>
          </w:tblCellMar>
        </w:tblPrEx>
        <w:tc>
          <w:p w14:paraId="1D7AE9A5">
            <w:pPr>
              <w:pStyle w:val="24"/>
              <w:spacing w:after="0"/>
              <w:jc w:val="left"/>
            </w:pPr>
            <w:r>
              <w:rPr>
                <w:rFonts w:ascii="Aptos" w:hAnsi="Aptos"/>
                <w:color w:val="1F2937"/>
                <w:sz w:val="18"/>
              </w:rPr>
              <w:t>Tracción externa (evidencia)</w:t>
            </w:r>
          </w:p>
        </w:tc>
        <w:tc>
          <w:p w14:paraId="01E4B610">
            <w:pPr>
              <w:pStyle w:val="24"/>
              <w:spacing w:after="0"/>
              <w:jc w:val="right"/>
            </w:pPr>
            <w:r>
              <w:rPr>
                <w:rFonts w:ascii="Aptos" w:hAnsi="Aptos"/>
                <w:color w:val="1F2937"/>
                <w:sz w:val="18"/>
              </w:rPr>
              <w:t>6</w:t>
            </w:r>
          </w:p>
        </w:tc>
        <w:tc>
          <w:p w14:paraId="560B24E8">
            <w:pPr>
              <w:pStyle w:val="24"/>
              <w:spacing w:after="0"/>
              <w:jc w:val="right"/>
            </w:pPr>
            <w:r>
              <w:rPr>
                <w:rFonts w:ascii="Aptos" w:hAnsi="Aptos"/>
                <w:color w:val="1F2937"/>
                <w:sz w:val="18"/>
              </w:rPr>
              <w:t>—</w:t>
            </w:r>
          </w:p>
        </w:tc>
        <w:tc>
          <w:p w14:paraId="7A2B4221">
            <w:pPr>
              <w:pStyle w:val="24"/>
              <w:spacing w:after="0"/>
              <w:jc w:val="right"/>
            </w:pPr>
            <w:r>
              <w:rPr>
                <w:rFonts w:ascii="Aptos" w:hAnsi="Aptos"/>
                <w:color w:val="1F2937"/>
                <w:sz w:val="18"/>
              </w:rPr>
              <w:t>—</w:t>
            </w:r>
          </w:p>
        </w:tc>
        <w:tc>
          <w:p w14:paraId="74924810">
            <w:pPr>
              <w:pStyle w:val="24"/>
              <w:spacing w:after="0"/>
              <w:jc w:val="left"/>
            </w:pPr>
            <w:r>
              <w:rPr>
                <w:rFonts w:ascii="Aptos" w:hAnsi="Aptos"/>
                <w:color w:val="1F2937"/>
                <w:sz w:val="18"/>
              </w:rPr>
              <w:t>Emergente: 2 acuerdos de colaboración + candidaturas (no admisiones)</w:t>
            </w:r>
          </w:p>
        </w:tc>
      </w:tr>
      <w:tr w14:paraId="52F035EA">
        <w:tblPrEx>
          <w:tblCellMar>
            <w:top w:w="0" w:type="dxa"/>
            <w:left w:w="108" w:type="dxa"/>
            <w:bottom w:w="0" w:type="dxa"/>
            <w:right w:w="108" w:type="dxa"/>
          </w:tblCellMar>
        </w:tblPrEx>
        <w:tc>
          <w:p w14:paraId="6973E0CB">
            <w:pPr>
              <w:pStyle w:val="24"/>
              <w:spacing w:after="0"/>
              <w:jc w:val="left"/>
            </w:pPr>
            <w:r>
              <w:rPr>
                <w:rFonts w:ascii="Aptos" w:hAnsi="Aptos"/>
                <w:color w:val="1F2937"/>
                <w:sz w:val="18"/>
              </w:rPr>
              <w:t>Gestión de riesgos</w:t>
            </w:r>
          </w:p>
        </w:tc>
        <w:tc>
          <w:p w14:paraId="51313489">
            <w:pPr>
              <w:pStyle w:val="24"/>
              <w:spacing w:after="0"/>
              <w:jc w:val="right"/>
            </w:pPr>
            <w:r>
              <w:rPr>
                <w:rFonts w:ascii="Aptos" w:hAnsi="Aptos"/>
                <w:color w:val="1F2937"/>
                <w:sz w:val="18"/>
              </w:rPr>
              <w:t>8</w:t>
            </w:r>
          </w:p>
        </w:tc>
        <w:tc>
          <w:p w14:paraId="7C6858EC">
            <w:pPr>
              <w:pStyle w:val="24"/>
              <w:spacing w:after="0"/>
              <w:jc w:val="right"/>
            </w:pPr>
            <w:r>
              <w:rPr>
                <w:rFonts w:ascii="Aptos" w:hAnsi="Aptos"/>
                <w:color w:val="1F2937"/>
                <w:sz w:val="18"/>
              </w:rPr>
              <w:t>15 %</w:t>
            </w:r>
          </w:p>
        </w:tc>
        <w:tc>
          <w:p w14:paraId="38FB47DD">
            <w:pPr>
              <w:pStyle w:val="24"/>
              <w:spacing w:after="0"/>
              <w:jc w:val="right"/>
            </w:pPr>
            <w:r>
              <w:rPr>
                <w:rFonts w:ascii="Aptos" w:hAnsi="Aptos"/>
                <w:color w:val="1F2937"/>
                <w:sz w:val="18"/>
              </w:rPr>
              <w:t>1,2</w:t>
            </w:r>
          </w:p>
        </w:tc>
        <w:tc>
          <w:p w14:paraId="42F08E62">
            <w:pPr>
              <w:pStyle w:val="24"/>
              <w:spacing w:after="0"/>
              <w:jc w:val="left"/>
            </w:pPr>
            <w:r>
              <w:rPr>
                <w:rFonts w:ascii="Aptos" w:hAnsi="Aptos"/>
                <w:color w:val="1F2937"/>
                <w:sz w:val="18"/>
              </w:rPr>
              <w:t>Sistema de Gates disciplinado; reto de ejecución</w:t>
            </w:r>
          </w:p>
        </w:tc>
      </w:tr>
      <w:tr w14:paraId="31745585">
        <w:tblPrEx>
          <w:tblCellMar>
            <w:top w:w="0" w:type="dxa"/>
            <w:left w:w="108" w:type="dxa"/>
            <w:bottom w:w="0" w:type="dxa"/>
            <w:right w:w="108" w:type="dxa"/>
          </w:tblCellMar>
        </w:tblPrEx>
        <w:tc>
          <w:p w14:paraId="35269959">
            <w:pPr>
              <w:pStyle w:val="24"/>
              <w:spacing w:after="0"/>
              <w:jc w:val="left"/>
            </w:pPr>
            <w:r>
              <w:rPr>
                <w:rFonts w:ascii="Aptos" w:hAnsi="Aptos"/>
                <w:color w:val="1F2937"/>
                <w:sz w:val="18"/>
              </w:rPr>
              <w:t>Innovación</w:t>
            </w:r>
          </w:p>
        </w:tc>
        <w:tc>
          <w:p w14:paraId="150E31A1">
            <w:pPr>
              <w:pStyle w:val="24"/>
              <w:spacing w:after="0"/>
              <w:jc w:val="right"/>
            </w:pPr>
            <w:r>
              <w:rPr>
                <w:rFonts w:ascii="Aptos" w:hAnsi="Aptos"/>
                <w:color w:val="1F2937"/>
                <w:sz w:val="18"/>
              </w:rPr>
              <w:t>9</w:t>
            </w:r>
          </w:p>
        </w:tc>
        <w:tc>
          <w:p w14:paraId="3A11EA5D">
            <w:pPr>
              <w:pStyle w:val="24"/>
              <w:spacing w:after="0"/>
              <w:jc w:val="right"/>
            </w:pPr>
            <w:r>
              <w:rPr>
                <w:rFonts w:ascii="Aptos" w:hAnsi="Aptos"/>
                <w:color w:val="1F2937"/>
                <w:sz w:val="18"/>
              </w:rPr>
              <w:t>10 %</w:t>
            </w:r>
          </w:p>
        </w:tc>
        <w:tc>
          <w:p w14:paraId="74F21138">
            <w:pPr>
              <w:pStyle w:val="24"/>
              <w:spacing w:after="0"/>
              <w:jc w:val="right"/>
            </w:pPr>
            <w:r>
              <w:rPr>
                <w:rFonts w:ascii="Aptos" w:hAnsi="Aptos"/>
                <w:color w:val="1F2937"/>
                <w:sz w:val="18"/>
              </w:rPr>
              <w:t>0,9</w:t>
            </w:r>
          </w:p>
        </w:tc>
        <w:tc>
          <w:p w14:paraId="60EED0F4">
            <w:pPr>
              <w:pStyle w:val="24"/>
              <w:spacing w:after="0"/>
              <w:jc w:val="left"/>
            </w:pPr>
            <w:r>
              <w:rPr>
                <w:rFonts w:ascii="Aptos" w:hAnsi="Aptos"/>
                <w:color w:val="1F2937"/>
                <w:sz w:val="18"/>
              </w:rPr>
              <w:t>Integración única + verificabilidad (SEV)</w:t>
            </w:r>
          </w:p>
        </w:tc>
      </w:tr>
      <w:tr w14:paraId="1C964425">
        <w:tblPrEx>
          <w:tblCellMar>
            <w:top w:w="0" w:type="dxa"/>
            <w:left w:w="108" w:type="dxa"/>
            <w:bottom w:w="0" w:type="dxa"/>
            <w:right w:w="108" w:type="dxa"/>
          </w:tblCellMar>
        </w:tblPrEx>
        <w:tc>
          <w:p w14:paraId="185DBE3C">
            <w:pPr>
              <w:pStyle w:val="24"/>
              <w:spacing w:after="0"/>
              <w:jc w:val="left"/>
            </w:pPr>
            <w:r>
              <w:rPr>
                <w:rFonts w:ascii="Aptos" w:hAnsi="Aptos"/>
                <w:b/>
                <w:color w:val="1F2937"/>
                <w:sz w:val="18"/>
              </w:rPr>
              <w:t>TOTAL ponderado</w:t>
            </w:r>
          </w:p>
        </w:tc>
        <w:tc>
          <w:p w14:paraId="7B5A581C">
            <w:pPr>
              <w:spacing w:after="0"/>
            </w:pPr>
          </w:p>
        </w:tc>
        <w:tc>
          <w:p w14:paraId="60131675">
            <w:pPr>
              <w:pStyle w:val="24"/>
              <w:spacing w:after="0"/>
              <w:jc w:val="right"/>
            </w:pPr>
            <w:r>
              <w:rPr>
                <w:rFonts w:ascii="Aptos" w:hAnsi="Aptos"/>
                <w:b/>
                <w:color w:val="1F2937"/>
                <w:sz w:val="18"/>
              </w:rPr>
              <w:t>100 %</w:t>
            </w:r>
          </w:p>
        </w:tc>
        <w:tc>
          <w:p w14:paraId="7A193750">
            <w:pPr>
              <w:pStyle w:val="24"/>
              <w:spacing w:after="0"/>
              <w:jc w:val="right"/>
            </w:pPr>
            <w:r>
              <w:rPr>
                <w:rFonts w:ascii="Aptos" w:hAnsi="Aptos"/>
                <w:b/>
                <w:color w:val="1F2937"/>
                <w:sz w:val="18"/>
              </w:rPr>
              <w:t>8,6/10</w:t>
            </w:r>
          </w:p>
        </w:tc>
        <w:tc>
          <w:p w14:paraId="09E0920D">
            <w:pPr>
              <w:pStyle w:val="24"/>
              <w:spacing w:after="0"/>
              <w:jc w:val="left"/>
            </w:pPr>
            <w:r>
              <w:rPr>
                <w:rFonts w:ascii="Aptos" w:hAnsi="Aptos"/>
                <w:b/>
                <w:color w:val="1F2937"/>
                <w:sz w:val="18"/>
              </w:rPr>
              <w:t>Sólida; reto en tracción y ejecución</w:t>
            </w:r>
          </w:p>
        </w:tc>
      </w:tr>
      <w:tr w14:paraId="01B9C76F">
        <w:tblPrEx>
          <w:tblCellMar>
            <w:top w:w="0" w:type="dxa"/>
            <w:left w:w="108" w:type="dxa"/>
            <w:bottom w:w="0" w:type="dxa"/>
            <w:right w:w="108" w:type="dxa"/>
          </w:tblCellMar>
        </w:tblPrEx>
        <w:tc>
          <w:p w14:paraId="293B5932">
            <w:pPr>
              <w:pStyle w:val="24"/>
              <w:spacing w:after="0"/>
              <w:jc w:val="left"/>
            </w:pPr>
            <w:r>
              <w:rPr>
                <w:rFonts w:ascii="Aptos" w:hAnsi="Aptos"/>
                <w:color w:val="1F2937"/>
                <w:sz w:val="18"/>
              </w:rPr>
              <w:t>Impacto territorial</w:t>
            </w:r>
          </w:p>
        </w:tc>
        <w:tc>
          <w:p w14:paraId="2F6DFC40">
            <w:pPr>
              <w:pStyle w:val="24"/>
              <w:spacing w:after="0"/>
              <w:jc w:val="right"/>
            </w:pPr>
            <w:r>
              <w:rPr>
                <w:rFonts w:ascii="Aptos" w:hAnsi="Aptos"/>
                <w:color w:val="1F2937"/>
                <w:sz w:val="18"/>
              </w:rPr>
              <w:t>10</w:t>
            </w:r>
          </w:p>
        </w:tc>
        <w:tc>
          <w:p w14:paraId="4F31B945">
            <w:pPr>
              <w:pStyle w:val="24"/>
              <w:spacing w:after="0"/>
              <w:jc w:val="right"/>
            </w:pPr>
            <w:r>
              <w:rPr>
                <w:rFonts w:ascii="Aptos" w:hAnsi="Aptos"/>
                <w:color w:val="1F2937"/>
                <w:sz w:val="18"/>
              </w:rPr>
              <w:t>—</w:t>
            </w:r>
          </w:p>
        </w:tc>
        <w:tc>
          <w:p w14:paraId="24F2194F">
            <w:pPr>
              <w:pStyle w:val="24"/>
              <w:spacing w:after="0"/>
              <w:jc w:val="right"/>
            </w:pPr>
            <w:r>
              <w:rPr>
                <w:rFonts w:ascii="Aptos" w:hAnsi="Aptos"/>
                <w:color w:val="1F2937"/>
                <w:sz w:val="18"/>
              </w:rPr>
              <w:t>—</w:t>
            </w:r>
          </w:p>
        </w:tc>
        <w:tc>
          <w:p w14:paraId="06191F95">
            <w:pPr>
              <w:pStyle w:val="24"/>
              <w:spacing w:after="0"/>
              <w:jc w:val="left"/>
            </w:pPr>
            <w:r>
              <w:rPr>
                <w:rFonts w:ascii="Aptos" w:hAnsi="Aptos"/>
                <w:color w:val="1F2937"/>
                <w:sz w:val="18"/>
              </w:rPr>
              <w:t>Empleo, agua, energía municipal</w:t>
            </w:r>
          </w:p>
        </w:tc>
      </w:tr>
      <w:tr w14:paraId="50414981">
        <w:tblPrEx>
          <w:tblCellMar>
            <w:top w:w="0" w:type="dxa"/>
            <w:left w:w="108" w:type="dxa"/>
            <w:bottom w:w="0" w:type="dxa"/>
            <w:right w:w="108" w:type="dxa"/>
          </w:tblCellMar>
        </w:tblPrEx>
        <w:tc>
          <w:p w14:paraId="2D06BE47">
            <w:pPr>
              <w:pStyle w:val="24"/>
              <w:spacing w:after="0"/>
              <w:jc w:val="left"/>
            </w:pPr>
            <w:r>
              <w:rPr>
                <w:rFonts w:ascii="Aptos" w:hAnsi="Aptos"/>
                <w:color w:val="1F2937"/>
                <w:sz w:val="18"/>
              </w:rPr>
              <w:t>Documentación</w:t>
            </w:r>
          </w:p>
        </w:tc>
        <w:tc>
          <w:p w14:paraId="5B534AED">
            <w:pPr>
              <w:pStyle w:val="24"/>
              <w:spacing w:after="0"/>
              <w:jc w:val="right"/>
            </w:pPr>
            <w:r>
              <w:rPr>
                <w:rFonts w:ascii="Aptos" w:hAnsi="Aptos"/>
                <w:color w:val="1F2937"/>
                <w:sz w:val="18"/>
              </w:rPr>
              <w:t>10</w:t>
            </w:r>
          </w:p>
        </w:tc>
        <w:tc>
          <w:p w14:paraId="449CF118">
            <w:pPr>
              <w:pStyle w:val="24"/>
              <w:spacing w:after="0"/>
              <w:jc w:val="right"/>
            </w:pPr>
            <w:r>
              <w:rPr>
                <w:rFonts w:ascii="Aptos" w:hAnsi="Aptos"/>
                <w:color w:val="1F2937"/>
                <w:sz w:val="18"/>
              </w:rPr>
              <w:t>—</w:t>
            </w:r>
          </w:p>
        </w:tc>
        <w:tc>
          <w:p w14:paraId="6CCFDF5D">
            <w:pPr>
              <w:pStyle w:val="24"/>
              <w:spacing w:after="0"/>
              <w:jc w:val="right"/>
            </w:pPr>
            <w:r>
              <w:rPr>
                <w:rFonts w:ascii="Aptos" w:hAnsi="Aptos"/>
                <w:color w:val="1F2937"/>
                <w:sz w:val="18"/>
              </w:rPr>
              <w:t>—</w:t>
            </w:r>
          </w:p>
        </w:tc>
        <w:tc>
          <w:p w14:paraId="3CBEA94B">
            <w:pPr>
              <w:pStyle w:val="24"/>
              <w:spacing w:after="0"/>
              <w:jc w:val="left"/>
            </w:pPr>
            <w:r>
              <w:rPr>
                <w:rFonts w:ascii="Aptos" w:hAnsi="Aptos"/>
                <w:color w:val="1F2937"/>
                <w:sz w:val="18"/>
              </w:rPr>
              <w:t>Memoria + Excel + SEV + repositorio coherentes</w:t>
            </w:r>
          </w:p>
        </w:tc>
      </w:tr>
    </w:tbl>
    <w:p w14:paraId="3E7D2ECC">
      <w:pPr>
        <w:pStyle w:val="3"/>
      </w:pPr>
      <w:r>
        <w:rPr>
          <w:rFonts w:ascii="Aptos" w:hAnsi="Aptos"/>
          <w:b/>
          <w:color w:val="1F2937"/>
          <w:sz w:val="21"/>
        </w:rPr>
        <w:t>Lectura.</w:t>
      </w:r>
      <w:r>
        <w:rPr>
          <w:rFonts w:ascii="Aptos" w:hAnsi="Aptos"/>
          <w:color w:val="1F2937"/>
          <w:sz w:val="21"/>
        </w:rPr>
        <w:t xml:space="preserve"> La fortaleza está en alineación, innovación y documentación; el margen de mejora está en la </w:t>
      </w:r>
      <w:r>
        <w:rPr>
          <w:rFonts w:ascii="Aptos" w:hAnsi="Aptos"/>
          <w:b/>
          <w:color w:val="1F2937"/>
          <w:sz w:val="21"/>
        </w:rPr>
        <w:t>validación comercial</w:t>
      </w:r>
      <w:r>
        <w:rPr>
          <w:rFonts w:ascii="Aptos" w:hAnsi="Aptos"/>
          <w:color w:val="1F2937"/>
          <w:sz w:val="21"/>
        </w:rPr>
        <w:t xml:space="preserve"> (negocio) y la </w:t>
      </w:r>
      <w:r>
        <w:rPr>
          <w:rFonts w:ascii="Aptos" w:hAnsi="Aptos"/>
          <w:b/>
          <w:color w:val="1F2937"/>
          <w:sz w:val="21"/>
        </w:rPr>
        <w:t>ejecución del Gate G1</w:t>
      </w:r>
      <w:r>
        <w:rPr>
          <w:rFonts w:ascii="Aptos" w:hAnsi="Aptos"/>
          <w:color w:val="1F2937"/>
          <w:sz w:val="21"/>
        </w:rPr>
        <w:t xml:space="preserve"> (riesgos). El riesgo dominante ya </w:t>
      </w:r>
      <w:r>
        <w:rPr>
          <w:rFonts w:ascii="Aptos" w:hAnsi="Aptos"/>
          <w:b/>
          <w:color w:val="1F2937"/>
          <w:sz w:val="21"/>
        </w:rPr>
        <w:t>no es conceptual, sino de ejecución</w:t>
      </w:r>
      <w:r>
        <w:rPr>
          <w:rFonts w:ascii="Aptos" w:hAnsi="Aptos"/>
          <w:color w:val="1F2937"/>
          <w:sz w:val="21"/>
        </w:rPr>
        <w:t>.</w:t>
      </w:r>
    </w:p>
    <w:p w14:paraId="51D3B264">
      <w:pPr>
        <w:pStyle w:val="4"/>
      </w:pPr>
      <w:bookmarkStart w:id="84" w:name="X55cdcc1496f03097e1bd0bda9f51d877f1e1661"/>
      <w:r>
        <w:rPr>
          <w:rFonts w:ascii="Aptos Display" w:hAnsi="Aptos Display"/>
          <w:b/>
          <w:color w:val="174A2E"/>
          <w:sz w:val="21"/>
        </w:rPr>
        <w:t>10.2. Cumplimiento de requisitos PIE PLUS (autoevaluación por criterio)</w:t>
      </w:r>
      <w:bookmarkEnd w:id="84"/>
    </w:p>
    <w:tbl>
      <w:tblPr>
        <w:tblStyle w:val="28"/>
        <w:tblW w:w="5000" w:type="pct"/>
        <w:jc w:val="center"/>
        <w:tblInd w:w="0" w:type="dxa"/>
        <w:tblLayout w:type="fixed"/>
        <w:tblCellMar>
          <w:top w:w="0" w:type="dxa"/>
          <w:left w:w="108" w:type="dxa"/>
          <w:bottom w:w="0" w:type="dxa"/>
          <w:right w:w="108" w:type="dxa"/>
        </w:tblCellMar>
      </w:tblPr>
      <w:tblGrid>
        <w:gridCol w:w="2640"/>
        <w:gridCol w:w="2640"/>
        <w:gridCol w:w="2640"/>
      </w:tblGrid>
      <w:tr w14:paraId="70532968">
        <w:tblPrEx>
          <w:tblCellMar>
            <w:top w:w="0" w:type="dxa"/>
            <w:left w:w="108" w:type="dxa"/>
            <w:bottom w:w="0" w:type="dxa"/>
            <w:right w:w="108" w:type="dxa"/>
          </w:tblCellMar>
        </w:tblPrEx>
        <w:tc>
          <w:tcPr>
            <w:tcW w:w="3120" w:type="dxa"/>
            <w:tcBorders>
              <w:bottom w:val="single" w:color="auto" w:sz="0" w:space="0"/>
            </w:tcBorders>
            <w:vAlign w:val="bottom"/>
          </w:tcPr>
          <w:p w14:paraId="29132882">
            <w:pPr>
              <w:pStyle w:val="24"/>
              <w:spacing w:after="0"/>
              <w:jc w:val="left"/>
            </w:pPr>
            <w:r>
              <w:rPr>
                <w:rFonts w:ascii="Aptos" w:hAnsi="Aptos"/>
                <w:color w:val="1F2937"/>
                <w:sz w:val="18"/>
              </w:rPr>
              <w:t>Criterio PIE PLUS</w:t>
            </w:r>
          </w:p>
        </w:tc>
        <w:tc>
          <w:tcPr>
            <w:tcW w:w="3120" w:type="dxa"/>
            <w:tcBorders>
              <w:bottom w:val="single" w:color="auto" w:sz="0" w:space="0"/>
            </w:tcBorders>
            <w:vAlign w:val="bottom"/>
          </w:tcPr>
          <w:p w14:paraId="370B587F">
            <w:pPr>
              <w:pStyle w:val="24"/>
              <w:spacing w:after="0"/>
              <w:jc w:val="right"/>
            </w:pPr>
            <w:r>
              <w:rPr>
                <w:rFonts w:ascii="Aptos" w:hAnsi="Aptos"/>
                <w:color w:val="1F2937"/>
                <w:sz w:val="18"/>
              </w:rPr>
              <w:t>Puntuación estimada</w:t>
            </w:r>
          </w:p>
        </w:tc>
        <w:tc>
          <w:tcPr>
            <w:tcW w:w="3120" w:type="dxa"/>
            <w:tcBorders>
              <w:bottom w:val="single" w:color="auto" w:sz="0" w:space="0"/>
            </w:tcBorders>
            <w:vAlign w:val="bottom"/>
          </w:tcPr>
          <w:p w14:paraId="77662B02">
            <w:pPr>
              <w:pStyle w:val="24"/>
              <w:spacing w:after="0"/>
              <w:jc w:val="left"/>
            </w:pPr>
            <w:r>
              <w:rPr>
                <w:rFonts w:ascii="Aptos" w:hAnsi="Aptos"/>
                <w:color w:val="1F2937"/>
                <w:sz w:val="18"/>
              </w:rPr>
              <w:t>Justificación</w:t>
            </w:r>
          </w:p>
        </w:tc>
      </w:tr>
      <w:tr w14:paraId="6A0199CB">
        <w:tblPrEx>
          <w:tblCellMar>
            <w:top w:w="0" w:type="dxa"/>
            <w:left w:w="108" w:type="dxa"/>
            <w:bottom w:w="0" w:type="dxa"/>
            <w:right w:w="108" w:type="dxa"/>
          </w:tblCellMar>
        </w:tblPrEx>
        <w:tc>
          <w:p w14:paraId="5EAB12BA">
            <w:pPr>
              <w:pStyle w:val="24"/>
              <w:spacing w:after="0"/>
              <w:jc w:val="left"/>
            </w:pPr>
            <w:r>
              <w:rPr>
                <w:rFonts w:ascii="Aptos" w:hAnsi="Aptos"/>
                <w:color w:val="1F2937"/>
                <w:sz w:val="18"/>
              </w:rPr>
              <w:t>Adecuación territorial</w:t>
            </w:r>
          </w:p>
        </w:tc>
        <w:tc>
          <w:p w14:paraId="1FCB0AC5">
            <w:pPr>
              <w:pStyle w:val="24"/>
              <w:spacing w:after="0"/>
              <w:jc w:val="right"/>
            </w:pPr>
            <w:r>
              <w:rPr>
                <w:rFonts w:ascii="Aptos" w:hAnsi="Aptos"/>
                <w:color w:val="1F2937"/>
                <w:sz w:val="18"/>
              </w:rPr>
              <w:t>10/10</w:t>
            </w:r>
          </w:p>
        </w:tc>
        <w:tc>
          <w:p w14:paraId="0CAD3DF4">
            <w:pPr>
              <w:pStyle w:val="24"/>
              <w:spacing w:after="0"/>
              <w:jc w:val="left"/>
            </w:pPr>
            <w:r>
              <w:rPr>
                <w:rFonts w:ascii="Aptos" w:hAnsi="Aptos"/>
                <w:color w:val="1F2937"/>
                <w:sz w:val="18"/>
              </w:rPr>
              <w:t>Membrío (≈600 hab) + enfoque rural + recursos locales</w:t>
            </w:r>
          </w:p>
        </w:tc>
      </w:tr>
      <w:tr w14:paraId="2DB4B168">
        <w:tblPrEx>
          <w:tblCellMar>
            <w:top w:w="0" w:type="dxa"/>
            <w:left w:w="108" w:type="dxa"/>
            <w:bottom w:w="0" w:type="dxa"/>
            <w:right w:w="108" w:type="dxa"/>
          </w:tblCellMar>
        </w:tblPrEx>
        <w:tc>
          <w:p w14:paraId="686EFF67">
            <w:pPr>
              <w:pStyle w:val="24"/>
              <w:spacing w:after="0"/>
              <w:jc w:val="left"/>
            </w:pPr>
            <w:r>
              <w:rPr>
                <w:rFonts w:ascii="Aptos" w:hAnsi="Aptos"/>
                <w:color w:val="1F2937"/>
                <w:sz w:val="18"/>
              </w:rPr>
              <w:t>Innovación</w:t>
            </w:r>
          </w:p>
        </w:tc>
        <w:tc>
          <w:p w14:paraId="09243323">
            <w:pPr>
              <w:pStyle w:val="24"/>
              <w:spacing w:after="0"/>
              <w:jc w:val="right"/>
            </w:pPr>
            <w:r>
              <w:rPr>
                <w:rFonts w:ascii="Aptos" w:hAnsi="Aptos"/>
                <w:color w:val="1F2937"/>
                <w:sz w:val="18"/>
              </w:rPr>
              <w:t>10/10</w:t>
            </w:r>
          </w:p>
        </w:tc>
        <w:tc>
          <w:p w14:paraId="1B1D0278">
            <w:pPr>
              <w:pStyle w:val="24"/>
              <w:spacing w:after="0"/>
              <w:jc w:val="left"/>
            </w:pPr>
            <w:r>
              <w:rPr>
                <w:rFonts w:ascii="Aptos" w:hAnsi="Aptos"/>
                <w:color w:val="1F2937"/>
                <w:sz w:val="18"/>
              </w:rPr>
              <w:t>Integración agro+energía+datos+trazabilidad + SEV + Gates</w:t>
            </w:r>
          </w:p>
        </w:tc>
      </w:tr>
      <w:tr w14:paraId="7E1312E4">
        <w:tblPrEx>
          <w:tblCellMar>
            <w:top w:w="0" w:type="dxa"/>
            <w:left w:w="108" w:type="dxa"/>
            <w:bottom w:w="0" w:type="dxa"/>
            <w:right w:w="108" w:type="dxa"/>
          </w:tblCellMar>
        </w:tblPrEx>
        <w:tc>
          <w:p w14:paraId="65C08A8A">
            <w:pPr>
              <w:pStyle w:val="24"/>
              <w:spacing w:after="0"/>
              <w:jc w:val="left"/>
            </w:pPr>
            <w:r>
              <w:rPr>
                <w:rFonts w:ascii="Aptos" w:hAnsi="Aptos"/>
                <w:color w:val="1F2937"/>
                <w:sz w:val="18"/>
              </w:rPr>
              <w:t>Viabilidad técnica</w:t>
            </w:r>
          </w:p>
        </w:tc>
        <w:tc>
          <w:p w14:paraId="7092051F">
            <w:pPr>
              <w:pStyle w:val="24"/>
              <w:spacing w:after="0"/>
              <w:jc w:val="right"/>
            </w:pPr>
            <w:r>
              <w:rPr>
                <w:rFonts w:ascii="Aptos" w:hAnsi="Aptos"/>
                <w:color w:val="1F2937"/>
                <w:sz w:val="18"/>
              </w:rPr>
              <w:t>9/10</w:t>
            </w:r>
          </w:p>
        </w:tc>
        <w:tc>
          <w:p w14:paraId="101610DE">
            <w:pPr>
              <w:pStyle w:val="24"/>
              <w:spacing w:after="0"/>
              <w:jc w:val="left"/>
            </w:pPr>
            <w:r>
              <w:rPr>
                <w:rFonts w:ascii="Aptos" w:hAnsi="Aptos"/>
                <w:color w:val="1F2937"/>
                <w:sz w:val="18"/>
              </w:rPr>
              <w:t>TRL objetivo 7–8 (núcleo) + repositorio operativo</w:t>
            </w:r>
          </w:p>
        </w:tc>
      </w:tr>
      <w:tr w14:paraId="26CE24A0">
        <w:tblPrEx>
          <w:tblCellMar>
            <w:top w:w="0" w:type="dxa"/>
            <w:left w:w="108" w:type="dxa"/>
            <w:bottom w:w="0" w:type="dxa"/>
            <w:right w:w="108" w:type="dxa"/>
          </w:tblCellMar>
        </w:tblPrEx>
        <w:tc>
          <w:p w14:paraId="1C658AB4">
            <w:pPr>
              <w:pStyle w:val="24"/>
              <w:spacing w:after="0"/>
              <w:jc w:val="left"/>
            </w:pPr>
            <w:r>
              <w:rPr>
                <w:rFonts w:ascii="Aptos" w:hAnsi="Aptos"/>
                <w:color w:val="1F2937"/>
                <w:sz w:val="18"/>
              </w:rPr>
              <w:t>Viabilidad económica</w:t>
            </w:r>
          </w:p>
        </w:tc>
        <w:tc>
          <w:p w14:paraId="347ADEA6">
            <w:pPr>
              <w:pStyle w:val="24"/>
              <w:spacing w:after="0"/>
              <w:jc w:val="right"/>
            </w:pPr>
            <w:r>
              <w:rPr>
                <w:rFonts w:ascii="Aptos" w:hAnsi="Aptos"/>
                <w:color w:val="1F2937"/>
                <w:sz w:val="18"/>
              </w:rPr>
              <w:t>9/10</w:t>
            </w:r>
          </w:p>
        </w:tc>
        <w:tc>
          <w:p w14:paraId="4EA6C61D">
            <w:pPr>
              <w:pStyle w:val="24"/>
              <w:spacing w:after="0"/>
              <w:jc w:val="left"/>
            </w:pPr>
            <w:r>
              <w:rPr>
                <w:rFonts w:ascii="Aptos" w:hAnsi="Aptos"/>
                <w:color w:val="1F2937"/>
                <w:sz w:val="18"/>
              </w:rPr>
              <w:t>Modelo diversificado + márgenes altos + equilibrio progresivo; no alcanzado en el Año 1</w:t>
            </w:r>
          </w:p>
        </w:tc>
      </w:tr>
      <w:tr w14:paraId="5970F201">
        <w:tblPrEx>
          <w:tblCellMar>
            <w:top w:w="0" w:type="dxa"/>
            <w:left w:w="108" w:type="dxa"/>
            <w:bottom w:w="0" w:type="dxa"/>
            <w:right w:w="108" w:type="dxa"/>
          </w:tblCellMar>
        </w:tblPrEx>
        <w:tc>
          <w:p w14:paraId="7C11AE91">
            <w:pPr>
              <w:pStyle w:val="24"/>
              <w:spacing w:after="0"/>
              <w:jc w:val="left"/>
            </w:pPr>
            <w:r>
              <w:rPr>
                <w:rFonts w:ascii="Aptos" w:hAnsi="Aptos"/>
                <w:color w:val="1F2937"/>
                <w:sz w:val="18"/>
              </w:rPr>
              <w:t>Impacto territorial</w:t>
            </w:r>
          </w:p>
        </w:tc>
        <w:tc>
          <w:p w14:paraId="7EB5BFC4">
            <w:pPr>
              <w:pStyle w:val="24"/>
              <w:spacing w:after="0"/>
              <w:jc w:val="right"/>
            </w:pPr>
            <w:r>
              <w:rPr>
                <w:rFonts w:ascii="Aptos" w:hAnsi="Aptos"/>
                <w:color w:val="1F2937"/>
                <w:sz w:val="18"/>
              </w:rPr>
              <w:t>10/10</w:t>
            </w:r>
          </w:p>
        </w:tc>
        <w:tc>
          <w:p w14:paraId="58D55ADB">
            <w:pPr>
              <w:pStyle w:val="24"/>
              <w:spacing w:after="0"/>
              <w:jc w:val="left"/>
            </w:pPr>
            <w:r>
              <w:rPr>
                <w:rFonts w:ascii="Aptos" w:hAnsi="Aptos"/>
                <w:color w:val="1F2937"/>
                <w:sz w:val="18"/>
              </w:rPr>
              <w:t>6–10 empleos + retención de talento + ahorro energético municipal</w:t>
            </w:r>
          </w:p>
        </w:tc>
      </w:tr>
      <w:tr w14:paraId="309FAE4D">
        <w:tblPrEx>
          <w:tblCellMar>
            <w:top w:w="0" w:type="dxa"/>
            <w:left w:w="108" w:type="dxa"/>
            <w:bottom w:w="0" w:type="dxa"/>
            <w:right w:w="108" w:type="dxa"/>
          </w:tblCellMar>
        </w:tblPrEx>
        <w:tc>
          <w:p w14:paraId="2F08A121">
            <w:pPr>
              <w:pStyle w:val="24"/>
              <w:spacing w:after="0"/>
              <w:jc w:val="left"/>
            </w:pPr>
            <w:r>
              <w:rPr>
                <w:rFonts w:ascii="Aptos" w:hAnsi="Aptos"/>
                <w:color w:val="1F2937"/>
                <w:sz w:val="18"/>
              </w:rPr>
              <w:t>Equipo</w:t>
            </w:r>
          </w:p>
        </w:tc>
        <w:tc>
          <w:p w14:paraId="3241ADB8">
            <w:pPr>
              <w:pStyle w:val="24"/>
              <w:spacing w:after="0"/>
              <w:jc w:val="right"/>
            </w:pPr>
            <w:r>
              <w:rPr>
                <w:rFonts w:ascii="Aptos" w:hAnsi="Aptos"/>
                <w:color w:val="1F2937"/>
                <w:sz w:val="18"/>
              </w:rPr>
              <w:t>8/10</w:t>
            </w:r>
          </w:p>
        </w:tc>
        <w:tc>
          <w:p w14:paraId="37FC8A83">
            <w:pPr>
              <w:pStyle w:val="24"/>
              <w:spacing w:after="0"/>
              <w:jc w:val="left"/>
            </w:pPr>
            <w:r>
              <w:rPr>
                <w:rFonts w:ascii="Aptos" w:hAnsi="Aptos"/>
                <w:color w:val="1F2937"/>
                <w:sz w:val="18"/>
              </w:rPr>
              <w:t>Promotor técnico-agrario + plan de incorporaciones por fase</w:t>
            </w:r>
          </w:p>
        </w:tc>
      </w:tr>
      <w:tr w14:paraId="643F31D3">
        <w:tblPrEx>
          <w:tblCellMar>
            <w:top w:w="0" w:type="dxa"/>
            <w:left w:w="108" w:type="dxa"/>
            <w:bottom w:w="0" w:type="dxa"/>
            <w:right w:w="108" w:type="dxa"/>
          </w:tblCellMar>
        </w:tblPrEx>
        <w:tc>
          <w:p w14:paraId="501F7C3A">
            <w:pPr>
              <w:pStyle w:val="24"/>
              <w:spacing w:after="0"/>
              <w:jc w:val="left"/>
            </w:pPr>
            <w:r>
              <w:rPr>
                <w:rFonts w:ascii="Aptos" w:hAnsi="Aptos"/>
                <w:color w:val="1F2937"/>
                <w:sz w:val="18"/>
              </w:rPr>
              <w:t>Documentación</w:t>
            </w:r>
          </w:p>
        </w:tc>
        <w:tc>
          <w:p w14:paraId="10BAD0E6">
            <w:pPr>
              <w:pStyle w:val="24"/>
              <w:spacing w:after="0"/>
              <w:jc w:val="right"/>
            </w:pPr>
            <w:r>
              <w:rPr>
                <w:rFonts w:ascii="Aptos" w:hAnsi="Aptos"/>
                <w:color w:val="1F2937"/>
                <w:sz w:val="18"/>
              </w:rPr>
              <w:t>10/10</w:t>
            </w:r>
          </w:p>
        </w:tc>
        <w:tc>
          <w:p w14:paraId="2A2D0C06">
            <w:pPr>
              <w:pStyle w:val="24"/>
              <w:spacing w:after="0"/>
              <w:jc w:val="left"/>
            </w:pPr>
            <w:r>
              <w:rPr>
                <w:rFonts w:ascii="Aptos" w:hAnsi="Aptos"/>
                <w:color w:val="1F2937"/>
                <w:sz w:val="18"/>
              </w:rPr>
              <w:t>Memoria, plan económico, SEV y repositorio verificables</w:t>
            </w:r>
          </w:p>
        </w:tc>
      </w:tr>
    </w:tbl>
    <w:p w14:paraId="21514CCC">
      <w:pPr>
        <w:pStyle w:val="4"/>
      </w:pPr>
      <w:bookmarkStart w:id="85" w:name="X9a38de07b286afa6960f720ca7173e6296a3a80"/>
      <w:r>
        <w:rPr>
          <w:rFonts w:ascii="Aptos Display" w:hAnsi="Aptos Display"/>
          <w:b/>
          <w:color w:val="174A2E"/>
          <w:sz w:val="21"/>
        </w:rPr>
        <w:t>10.3. Matriz de riesgos (probabilidad × impacto) y acciones</w:t>
      </w:r>
      <w:bookmarkEnd w:id="85"/>
    </w:p>
    <w:p w14:paraId="6F3AA384">
      <w:pPr>
        <w:pStyle w:val="23"/>
      </w:pPr>
      <w:r>
        <w:rPr>
          <w:rFonts w:ascii="Aptos" w:hAnsi="Aptos"/>
          <w:color w:val="1F2937"/>
          <w:sz w:val="21"/>
        </w:rPr>
        <w:t xml:space="preserve">Escala 1–5; </w:t>
      </w:r>
      <w:r>
        <w:rPr>
          <w:rFonts w:ascii="Aptos" w:hAnsi="Aptos"/>
          <w:i/>
          <w:color w:val="1F2937"/>
          <w:sz w:val="21"/>
        </w:rPr>
        <w:t>score</w:t>
      </w:r>
      <w:r>
        <w:rPr>
          <w:rFonts w:ascii="Aptos" w:hAnsi="Aptos"/>
          <w:color w:val="1F2937"/>
          <w:sz w:val="21"/>
        </w:rPr>
        <w:t xml:space="preserve"> = Probabilidad × Impacto (máx. 25). 16–25 alto · 8–15 medio · 1–7 bajo.</w:t>
      </w:r>
    </w:p>
    <w:tbl>
      <w:tblPr>
        <w:tblStyle w:val="28"/>
        <w:tblW w:w="4999" w:type="pct"/>
        <w:jc w:val="center"/>
        <w:tblInd w:w="0" w:type="dxa"/>
        <w:tblLayout w:type="fixed"/>
        <w:tblCellMar>
          <w:top w:w="0" w:type="dxa"/>
          <w:left w:w="108" w:type="dxa"/>
          <w:bottom w:w="0" w:type="dxa"/>
          <w:right w:w="108" w:type="dxa"/>
        </w:tblCellMar>
      </w:tblPr>
      <w:tblGrid>
        <w:gridCol w:w="1320"/>
        <w:gridCol w:w="1320"/>
        <w:gridCol w:w="1320"/>
        <w:gridCol w:w="1320"/>
        <w:gridCol w:w="1320"/>
        <w:gridCol w:w="1320"/>
      </w:tblGrid>
      <w:tr w14:paraId="55D0DCC3">
        <w:tblPrEx>
          <w:tblCellMar>
            <w:top w:w="0" w:type="dxa"/>
            <w:left w:w="108" w:type="dxa"/>
            <w:bottom w:w="0" w:type="dxa"/>
            <w:right w:w="108" w:type="dxa"/>
          </w:tblCellMar>
        </w:tblPrEx>
        <w:tc>
          <w:tcPr>
            <w:tcW w:w="1560" w:type="dxa"/>
            <w:tcBorders>
              <w:bottom w:val="single" w:color="auto" w:sz="0" w:space="0"/>
            </w:tcBorders>
            <w:vAlign w:val="bottom"/>
          </w:tcPr>
          <w:p w14:paraId="2EBEC5DB">
            <w:pPr>
              <w:pStyle w:val="24"/>
              <w:spacing w:after="0"/>
              <w:jc w:val="right"/>
            </w:pPr>
            <w:r>
              <w:rPr>
                <w:rFonts w:ascii="Aptos" w:hAnsi="Aptos"/>
                <w:color w:val="1F2937"/>
                <w:sz w:val="18"/>
              </w:rPr>
              <w:t>#</w:t>
            </w:r>
          </w:p>
        </w:tc>
        <w:tc>
          <w:tcPr>
            <w:tcW w:w="1560" w:type="dxa"/>
            <w:tcBorders>
              <w:bottom w:val="single" w:color="auto" w:sz="0" w:space="0"/>
            </w:tcBorders>
            <w:vAlign w:val="bottom"/>
          </w:tcPr>
          <w:p w14:paraId="7884C092">
            <w:pPr>
              <w:pStyle w:val="24"/>
              <w:spacing w:after="0"/>
              <w:jc w:val="left"/>
            </w:pPr>
            <w:r>
              <w:rPr>
                <w:rFonts w:ascii="Aptos" w:hAnsi="Aptos"/>
                <w:color w:val="1F2937"/>
                <w:sz w:val="18"/>
              </w:rPr>
              <w:t>Riesgo</w:t>
            </w:r>
          </w:p>
        </w:tc>
        <w:tc>
          <w:tcPr>
            <w:tcW w:w="1560" w:type="dxa"/>
            <w:tcBorders>
              <w:bottom w:val="single" w:color="auto" w:sz="0" w:space="0"/>
            </w:tcBorders>
            <w:vAlign w:val="bottom"/>
          </w:tcPr>
          <w:p w14:paraId="6AF795D0">
            <w:pPr>
              <w:pStyle w:val="24"/>
              <w:spacing w:after="0"/>
              <w:jc w:val="right"/>
            </w:pPr>
            <w:r>
              <w:rPr>
                <w:rFonts w:ascii="Aptos" w:hAnsi="Aptos"/>
                <w:color w:val="1F2937"/>
                <w:sz w:val="18"/>
              </w:rPr>
              <w:t>Score</w:t>
            </w:r>
          </w:p>
        </w:tc>
        <w:tc>
          <w:tcPr>
            <w:tcW w:w="1560" w:type="dxa"/>
            <w:tcBorders>
              <w:bottom w:val="single" w:color="auto" w:sz="0" w:space="0"/>
            </w:tcBorders>
            <w:vAlign w:val="bottom"/>
          </w:tcPr>
          <w:p w14:paraId="622D5AEF">
            <w:pPr>
              <w:pStyle w:val="24"/>
              <w:spacing w:after="0"/>
              <w:jc w:val="left"/>
            </w:pPr>
            <w:r>
              <w:rPr>
                <w:rFonts w:ascii="Aptos" w:hAnsi="Aptos"/>
                <w:color w:val="1F2937"/>
                <w:sz w:val="18"/>
              </w:rPr>
              <w:t>Nivel</w:t>
            </w:r>
          </w:p>
        </w:tc>
        <w:tc>
          <w:tcPr>
            <w:tcW w:w="1560" w:type="dxa"/>
            <w:tcBorders>
              <w:bottom w:val="single" w:color="auto" w:sz="0" w:space="0"/>
            </w:tcBorders>
            <w:vAlign w:val="bottom"/>
          </w:tcPr>
          <w:p w14:paraId="0AAC0DD6">
            <w:pPr>
              <w:pStyle w:val="24"/>
              <w:spacing w:after="0"/>
              <w:jc w:val="left"/>
            </w:pPr>
            <w:r>
              <w:rPr>
                <w:rFonts w:ascii="Aptos" w:hAnsi="Aptos"/>
                <w:color w:val="1F2937"/>
                <w:sz w:val="18"/>
              </w:rPr>
              <w:t>Mitigación</w:t>
            </w:r>
          </w:p>
        </w:tc>
        <w:tc>
          <w:tcPr>
            <w:tcW w:w="1560" w:type="dxa"/>
            <w:tcBorders>
              <w:bottom w:val="single" w:color="auto" w:sz="0" w:space="0"/>
            </w:tcBorders>
            <w:vAlign w:val="bottom"/>
          </w:tcPr>
          <w:p w14:paraId="77DE9F10">
            <w:pPr>
              <w:pStyle w:val="24"/>
              <w:spacing w:after="0"/>
              <w:jc w:val="left"/>
            </w:pPr>
            <w:r>
              <w:rPr>
                <w:rFonts w:ascii="Aptos" w:hAnsi="Aptos"/>
                <w:color w:val="1F2937"/>
                <w:sz w:val="18"/>
              </w:rPr>
              <w:t>Acción prioritaria</w:t>
            </w:r>
          </w:p>
        </w:tc>
      </w:tr>
      <w:tr w14:paraId="12FDD2D5">
        <w:tblPrEx>
          <w:tblCellMar>
            <w:top w:w="0" w:type="dxa"/>
            <w:left w:w="108" w:type="dxa"/>
            <w:bottom w:w="0" w:type="dxa"/>
            <w:right w:w="108" w:type="dxa"/>
          </w:tblCellMar>
        </w:tblPrEx>
        <w:tc>
          <w:p w14:paraId="2423A8DD">
            <w:pPr>
              <w:pStyle w:val="24"/>
              <w:spacing w:after="0"/>
              <w:jc w:val="right"/>
            </w:pPr>
            <w:r>
              <w:rPr>
                <w:rFonts w:ascii="Aptos" w:hAnsi="Aptos"/>
                <w:color w:val="1F2937"/>
                <w:sz w:val="18"/>
              </w:rPr>
              <w:t>1</w:t>
            </w:r>
          </w:p>
        </w:tc>
        <w:tc>
          <w:p w14:paraId="6F2421CB">
            <w:pPr>
              <w:pStyle w:val="24"/>
              <w:spacing w:after="0"/>
              <w:jc w:val="left"/>
            </w:pPr>
            <w:r>
              <w:rPr>
                <w:rFonts w:ascii="Aptos" w:hAnsi="Aptos"/>
                <w:color w:val="1F2937"/>
                <w:sz w:val="18"/>
              </w:rPr>
              <w:t>Logro de los criterios del Gate G1</w:t>
            </w:r>
          </w:p>
        </w:tc>
        <w:tc>
          <w:p w14:paraId="1FA8DD44">
            <w:pPr>
              <w:pStyle w:val="24"/>
              <w:spacing w:after="0"/>
              <w:jc w:val="right"/>
            </w:pPr>
            <w:r>
              <w:rPr>
                <w:rFonts w:ascii="Aptos" w:hAnsi="Aptos"/>
                <w:color w:val="1F2937"/>
                <w:sz w:val="18"/>
              </w:rPr>
              <w:t>18</w:t>
            </w:r>
          </w:p>
        </w:tc>
        <w:tc>
          <w:p w14:paraId="3FD08A1C">
            <w:pPr>
              <w:pStyle w:val="24"/>
              <w:spacing w:after="0"/>
              <w:jc w:val="left"/>
            </w:pPr>
            <w:r>
              <w:rPr>
                <w:rFonts w:ascii="Aptos" w:hAnsi="Aptos"/>
                <w:color w:val="1F2937"/>
                <w:sz w:val="18"/>
              </w:rPr>
              <w:t>Alto</w:t>
            </w:r>
          </w:p>
        </w:tc>
        <w:tc>
          <w:p w14:paraId="7A29AAED">
            <w:pPr>
              <w:pStyle w:val="24"/>
              <w:spacing w:after="0"/>
              <w:jc w:val="left"/>
            </w:pPr>
            <w:r>
              <w:rPr>
                <w:rFonts w:ascii="Aptos" w:hAnsi="Aptos"/>
                <w:color w:val="1F2937"/>
                <w:sz w:val="18"/>
              </w:rPr>
              <w:t>Piloto-primero; artefactos SEV; anteproyecto listo</w:t>
            </w:r>
          </w:p>
        </w:tc>
        <w:tc>
          <w:p w14:paraId="30E93E67">
            <w:pPr>
              <w:pStyle w:val="24"/>
              <w:spacing w:after="0"/>
              <w:jc w:val="left"/>
            </w:pPr>
            <w:r>
              <w:rPr>
                <w:rFonts w:ascii="Aptos" w:hAnsi="Aptos"/>
                <w:color w:val="1F2937"/>
                <w:sz w:val="18"/>
              </w:rPr>
              <w:t>Firmar convenio; cerrar ≥5 contratos; iniciar datos; contratar TRT</w:t>
            </w:r>
          </w:p>
        </w:tc>
      </w:tr>
      <w:tr w14:paraId="42A2D4FB">
        <w:tblPrEx>
          <w:tblCellMar>
            <w:top w:w="0" w:type="dxa"/>
            <w:left w:w="108" w:type="dxa"/>
            <w:bottom w:w="0" w:type="dxa"/>
            <w:right w:w="108" w:type="dxa"/>
          </w:tblCellMar>
        </w:tblPrEx>
        <w:tc>
          <w:p w14:paraId="28F232B7">
            <w:pPr>
              <w:pStyle w:val="24"/>
              <w:spacing w:after="0"/>
              <w:jc w:val="right"/>
            </w:pPr>
            <w:r>
              <w:rPr>
                <w:rFonts w:ascii="Aptos" w:hAnsi="Aptos"/>
                <w:color w:val="1F2937"/>
                <w:sz w:val="18"/>
              </w:rPr>
              <w:t>2</w:t>
            </w:r>
          </w:p>
        </w:tc>
        <w:tc>
          <w:p w14:paraId="72E04F08">
            <w:pPr>
              <w:pStyle w:val="24"/>
              <w:spacing w:after="0"/>
              <w:jc w:val="left"/>
            </w:pPr>
            <w:r>
              <w:rPr>
                <w:rFonts w:ascii="Aptos" w:hAnsi="Aptos"/>
                <w:color w:val="1F2937"/>
                <w:sz w:val="18"/>
              </w:rPr>
              <w:t>Validación de hipótesis técnicas (terracota, TRT)</w:t>
            </w:r>
          </w:p>
        </w:tc>
        <w:tc>
          <w:p w14:paraId="6CD6A8F6">
            <w:pPr>
              <w:pStyle w:val="24"/>
              <w:spacing w:after="0"/>
              <w:jc w:val="right"/>
            </w:pPr>
            <w:r>
              <w:rPr>
                <w:rFonts w:ascii="Aptos" w:hAnsi="Aptos"/>
                <w:color w:val="1F2937"/>
                <w:sz w:val="18"/>
              </w:rPr>
              <w:t>16</w:t>
            </w:r>
          </w:p>
        </w:tc>
        <w:tc>
          <w:p w14:paraId="2B383532">
            <w:pPr>
              <w:pStyle w:val="24"/>
              <w:spacing w:after="0"/>
              <w:jc w:val="left"/>
            </w:pPr>
            <w:r>
              <w:rPr>
                <w:rFonts w:ascii="Aptos" w:hAnsi="Aptos"/>
                <w:color w:val="1F2937"/>
                <w:sz w:val="18"/>
              </w:rPr>
              <w:t>Alto</w:t>
            </w:r>
          </w:p>
        </w:tc>
        <w:tc>
          <w:p w14:paraId="6992FB10">
            <w:pPr>
              <w:pStyle w:val="24"/>
              <w:spacing w:after="0"/>
              <w:jc w:val="left"/>
            </w:pPr>
            <w:r>
              <w:rPr>
                <w:rFonts w:ascii="Aptos" w:hAnsi="Aptos"/>
                <w:color w:val="1F2937"/>
                <w:sz w:val="18"/>
              </w:rPr>
              <w:t>Módulo 100 m² + TRT piloto; contingencia +0,1–0,2 M€</w:t>
            </w:r>
          </w:p>
        </w:tc>
        <w:tc>
          <w:p w14:paraId="13F3F0C5">
            <w:pPr>
              <w:pStyle w:val="24"/>
              <w:spacing w:after="0"/>
              <w:jc w:val="left"/>
            </w:pPr>
            <w:r>
              <w:rPr>
                <w:rFonts w:ascii="Aptos" w:hAnsi="Aptos"/>
                <w:color w:val="1F2937"/>
                <w:sz w:val="18"/>
              </w:rPr>
              <w:t xml:space="preserve">Instrumentar y recolectar </w:t>
            </w:r>
            <w:r>
              <w:rPr>
                <w:rFonts w:ascii="Aptos" w:hAnsi="Aptos"/>
                <w:b/>
                <w:color w:val="1F2937"/>
                <w:sz w:val="18"/>
              </w:rPr>
              <w:t>ya</w:t>
            </w:r>
            <w:r>
              <w:rPr>
                <w:rFonts w:ascii="Aptos" w:hAnsi="Aptos"/>
                <w:color w:val="1F2937"/>
                <w:sz w:val="18"/>
              </w:rPr>
              <w:t xml:space="preserve"> (≥6 meses)</w:t>
            </w:r>
          </w:p>
        </w:tc>
      </w:tr>
      <w:tr w14:paraId="4D16C364">
        <w:tblPrEx>
          <w:tblCellMar>
            <w:top w:w="0" w:type="dxa"/>
            <w:left w:w="108" w:type="dxa"/>
            <w:bottom w:w="0" w:type="dxa"/>
            <w:right w:w="108" w:type="dxa"/>
          </w:tblCellMar>
        </w:tblPrEx>
        <w:tc>
          <w:p w14:paraId="45EA61AB">
            <w:pPr>
              <w:pStyle w:val="24"/>
              <w:spacing w:after="0"/>
              <w:jc w:val="right"/>
            </w:pPr>
            <w:r>
              <w:rPr>
                <w:rFonts w:ascii="Aptos" w:hAnsi="Aptos"/>
                <w:color w:val="1F2937"/>
                <w:sz w:val="18"/>
              </w:rPr>
              <w:t>3</w:t>
            </w:r>
          </w:p>
        </w:tc>
        <w:tc>
          <w:p w14:paraId="2CC56568">
            <w:pPr>
              <w:pStyle w:val="24"/>
              <w:spacing w:after="0"/>
              <w:jc w:val="left"/>
            </w:pPr>
            <w:r>
              <w:rPr>
                <w:rFonts w:ascii="Aptos" w:hAnsi="Aptos"/>
                <w:color w:val="1F2937"/>
                <w:sz w:val="18"/>
              </w:rPr>
              <w:t>Tracción comercial (≥5 clientes)</w:t>
            </w:r>
          </w:p>
        </w:tc>
        <w:tc>
          <w:p w14:paraId="73AC0F6B">
            <w:pPr>
              <w:pStyle w:val="24"/>
              <w:spacing w:after="0"/>
              <w:jc w:val="right"/>
            </w:pPr>
            <w:r>
              <w:rPr>
                <w:rFonts w:ascii="Aptos" w:hAnsi="Aptos"/>
                <w:color w:val="1F2937"/>
                <w:sz w:val="18"/>
              </w:rPr>
              <w:t>15</w:t>
            </w:r>
          </w:p>
        </w:tc>
        <w:tc>
          <w:p w14:paraId="3A0EC072">
            <w:pPr>
              <w:pStyle w:val="24"/>
              <w:spacing w:after="0"/>
              <w:jc w:val="left"/>
            </w:pPr>
            <w:r>
              <w:rPr>
                <w:rFonts w:ascii="Aptos" w:hAnsi="Aptos"/>
                <w:color w:val="1F2937"/>
                <w:sz w:val="18"/>
              </w:rPr>
              <w:t>Medio-alto</w:t>
            </w:r>
          </w:p>
        </w:tc>
        <w:tc>
          <w:p w14:paraId="69BB9174">
            <w:pPr>
              <w:pStyle w:val="24"/>
              <w:spacing w:after="0"/>
              <w:jc w:val="left"/>
            </w:pPr>
            <w:r>
              <w:rPr>
                <w:rFonts w:ascii="Aptos" w:hAnsi="Aptos"/>
                <w:color w:val="1F2937"/>
                <w:sz w:val="18"/>
              </w:rPr>
              <w:t>Pilotos remunerados; prescriptores; demostrador físico</w:t>
            </w:r>
          </w:p>
        </w:tc>
        <w:tc>
          <w:p w14:paraId="755150A6">
            <w:pPr>
              <w:pStyle w:val="24"/>
              <w:spacing w:after="0"/>
              <w:jc w:val="left"/>
            </w:pPr>
            <w:r>
              <w:rPr>
                <w:rFonts w:ascii="Aptos" w:hAnsi="Aptos"/>
                <w:color w:val="1F2937"/>
                <w:sz w:val="18"/>
              </w:rPr>
              <w:t>Documentar embudo con tasas; priorizar cooperativas</w:t>
            </w:r>
          </w:p>
        </w:tc>
      </w:tr>
      <w:tr w14:paraId="523F2617">
        <w:tblPrEx>
          <w:tblCellMar>
            <w:top w:w="0" w:type="dxa"/>
            <w:left w:w="108" w:type="dxa"/>
            <w:bottom w:w="0" w:type="dxa"/>
            <w:right w:w="108" w:type="dxa"/>
          </w:tblCellMar>
        </w:tblPrEx>
        <w:tc>
          <w:p w14:paraId="2F7F5F2D">
            <w:pPr>
              <w:pStyle w:val="24"/>
              <w:spacing w:after="0"/>
              <w:jc w:val="right"/>
            </w:pPr>
            <w:r>
              <w:rPr>
                <w:rFonts w:ascii="Aptos" w:hAnsi="Aptos"/>
                <w:color w:val="1F2937"/>
                <w:sz w:val="18"/>
              </w:rPr>
              <w:t>4</w:t>
            </w:r>
          </w:p>
        </w:tc>
        <w:tc>
          <w:p w14:paraId="4B56ED13">
            <w:pPr>
              <w:pStyle w:val="24"/>
              <w:spacing w:after="0"/>
              <w:jc w:val="left"/>
            </w:pPr>
            <w:r>
              <w:rPr>
                <w:rFonts w:ascii="Aptos" w:hAnsi="Aptos"/>
                <w:color w:val="1F2937"/>
                <w:sz w:val="18"/>
              </w:rPr>
              <w:t>Dependencia del promotor único</w:t>
            </w:r>
          </w:p>
        </w:tc>
        <w:tc>
          <w:p w14:paraId="20787E46">
            <w:pPr>
              <w:pStyle w:val="24"/>
              <w:spacing w:after="0"/>
              <w:jc w:val="right"/>
            </w:pPr>
            <w:r>
              <w:rPr>
                <w:rFonts w:ascii="Aptos" w:hAnsi="Aptos"/>
                <w:color w:val="1F2937"/>
                <w:sz w:val="18"/>
              </w:rPr>
              <w:t>14</w:t>
            </w:r>
          </w:p>
        </w:tc>
        <w:tc>
          <w:p w14:paraId="66260727">
            <w:pPr>
              <w:pStyle w:val="24"/>
              <w:spacing w:after="0"/>
              <w:jc w:val="left"/>
            </w:pPr>
            <w:r>
              <w:rPr>
                <w:rFonts w:ascii="Aptos" w:hAnsi="Aptos"/>
                <w:color w:val="1F2937"/>
                <w:sz w:val="18"/>
              </w:rPr>
              <w:t>Medio</w:t>
            </w:r>
          </w:p>
        </w:tc>
        <w:tc>
          <w:p w14:paraId="1FE1123D">
            <w:pPr>
              <w:pStyle w:val="24"/>
              <w:spacing w:after="0"/>
              <w:jc w:val="left"/>
            </w:pPr>
            <w:r>
              <w:rPr>
                <w:rFonts w:ascii="Aptos" w:hAnsi="Aptos"/>
                <w:color w:val="1F2937"/>
                <w:sz w:val="18"/>
              </w:rPr>
              <w:t>Documentación; primera contratación; comité asesor</w:t>
            </w:r>
          </w:p>
        </w:tc>
        <w:tc>
          <w:p w14:paraId="3F34CC92">
            <w:pPr>
              <w:pStyle w:val="24"/>
              <w:spacing w:after="0"/>
              <w:jc w:val="left"/>
            </w:pPr>
            <w:r>
              <w:rPr>
                <w:rFonts w:ascii="Aptos" w:hAnsi="Aptos"/>
                <w:color w:val="1F2937"/>
                <w:sz w:val="18"/>
              </w:rPr>
              <w:t>Acelerar contratación de desarrollo; formalizar comité</w:t>
            </w:r>
          </w:p>
        </w:tc>
      </w:tr>
      <w:tr w14:paraId="7D9053AC">
        <w:tblPrEx>
          <w:tblCellMar>
            <w:top w:w="0" w:type="dxa"/>
            <w:left w:w="108" w:type="dxa"/>
            <w:bottom w:w="0" w:type="dxa"/>
            <w:right w:w="108" w:type="dxa"/>
          </w:tblCellMar>
        </w:tblPrEx>
        <w:tc>
          <w:p w14:paraId="0FAFA1C6">
            <w:pPr>
              <w:pStyle w:val="24"/>
              <w:spacing w:after="0"/>
              <w:jc w:val="right"/>
            </w:pPr>
            <w:r>
              <w:rPr>
                <w:rFonts w:ascii="Aptos" w:hAnsi="Aptos"/>
                <w:color w:val="1F2937"/>
                <w:sz w:val="18"/>
              </w:rPr>
              <w:t>5</w:t>
            </w:r>
          </w:p>
        </w:tc>
        <w:tc>
          <w:p w14:paraId="2DAE05A8">
            <w:pPr>
              <w:pStyle w:val="24"/>
              <w:spacing w:after="0"/>
              <w:jc w:val="left"/>
            </w:pPr>
            <w:r>
              <w:rPr>
                <w:rFonts w:ascii="Aptos" w:hAnsi="Aptos"/>
                <w:color w:val="1F2937"/>
                <w:sz w:val="18"/>
              </w:rPr>
              <w:t>Retrasos administrativos</w:t>
            </w:r>
          </w:p>
        </w:tc>
        <w:tc>
          <w:p w14:paraId="3308E959">
            <w:pPr>
              <w:pStyle w:val="24"/>
              <w:spacing w:after="0"/>
              <w:jc w:val="right"/>
            </w:pPr>
            <w:r>
              <w:rPr>
                <w:rFonts w:ascii="Aptos" w:hAnsi="Aptos"/>
                <w:color w:val="1F2937"/>
                <w:sz w:val="18"/>
              </w:rPr>
              <w:t>12</w:t>
            </w:r>
          </w:p>
        </w:tc>
        <w:tc>
          <w:p w14:paraId="733986BB">
            <w:pPr>
              <w:pStyle w:val="24"/>
              <w:spacing w:after="0"/>
              <w:jc w:val="left"/>
            </w:pPr>
            <w:r>
              <w:rPr>
                <w:rFonts w:ascii="Aptos" w:hAnsi="Aptos"/>
                <w:color w:val="1F2937"/>
                <w:sz w:val="18"/>
              </w:rPr>
              <w:t>Medio</w:t>
            </w:r>
          </w:p>
        </w:tc>
        <w:tc>
          <w:p w14:paraId="43894E0F">
            <w:pPr>
              <w:pStyle w:val="24"/>
              <w:spacing w:after="0"/>
              <w:jc w:val="left"/>
            </w:pPr>
            <w:r>
              <w:rPr>
                <w:rFonts w:ascii="Aptos" w:hAnsi="Aptos"/>
                <w:color w:val="1F2937"/>
                <w:sz w:val="18"/>
              </w:rPr>
              <w:t>Tramitación abierta en F1 (12–30 meses de margen)</w:t>
            </w:r>
          </w:p>
        </w:tc>
        <w:tc>
          <w:p w14:paraId="6C7F9484">
            <w:pPr>
              <w:pStyle w:val="24"/>
              <w:spacing w:after="0"/>
              <w:jc w:val="left"/>
            </w:pPr>
            <w:r>
              <w:rPr>
                <w:rFonts w:ascii="Aptos" w:hAnsi="Aptos"/>
                <w:color w:val="1F2937"/>
                <w:sz w:val="18"/>
              </w:rPr>
              <w:t>Seguimiento mensual de expedientes</w:t>
            </w:r>
          </w:p>
        </w:tc>
      </w:tr>
      <w:tr w14:paraId="4B17169C">
        <w:tblPrEx>
          <w:tblCellMar>
            <w:top w:w="0" w:type="dxa"/>
            <w:left w:w="108" w:type="dxa"/>
            <w:bottom w:w="0" w:type="dxa"/>
            <w:right w:w="108" w:type="dxa"/>
          </w:tblCellMar>
        </w:tblPrEx>
        <w:tc>
          <w:p w14:paraId="01E9EE05">
            <w:pPr>
              <w:pStyle w:val="24"/>
              <w:spacing w:after="0"/>
              <w:jc w:val="right"/>
            </w:pPr>
            <w:r>
              <w:rPr>
                <w:rFonts w:ascii="Aptos" w:hAnsi="Aptos"/>
                <w:color w:val="1F2937"/>
                <w:sz w:val="18"/>
              </w:rPr>
              <w:t>6</w:t>
            </w:r>
          </w:p>
        </w:tc>
        <w:tc>
          <w:p w14:paraId="41969DCF">
            <w:pPr>
              <w:pStyle w:val="24"/>
              <w:spacing w:after="0"/>
              <w:jc w:val="left"/>
            </w:pPr>
            <w:r>
              <w:rPr>
                <w:rFonts w:ascii="Aptos" w:hAnsi="Aptos"/>
                <w:color w:val="1F2937"/>
                <w:sz w:val="18"/>
              </w:rPr>
              <w:t>Dependencia de financiación pública (F2–F4)</w:t>
            </w:r>
          </w:p>
        </w:tc>
        <w:tc>
          <w:p w14:paraId="7FCFC32C">
            <w:pPr>
              <w:pStyle w:val="24"/>
              <w:spacing w:after="0"/>
              <w:jc w:val="right"/>
            </w:pPr>
            <w:r>
              <w:rPr>
                <w:rFonts w:ascii="Aptos" w:hAnsi="Aptos"/>
                <w:color w:val="1F2937"/>
                <w:sz w:val="18"/>
              </w:rPr>
              <w:t>12</w:t>
            </w:r>
          </w:p>
        </w:tc>
        <w:tc>
          <w:p w14:paraId="68DA9524">
            <w:pPr>
              <w:pStyle w:val="24"/>
              <w:spacing w:after="0"/>
              <w:jc w:val="left"/>
            </w:pPr>
            <w:r>
              <w:rPr>
                <w:rFonts w:ascii="Aptos" w:hAnsi="Aptos"/>
                <w:color w:val="1F2937"/>
                <w:sz w:val="18"/>
              </w:rPr>
              <w:t>Medio</w:t>
            </w:r>
          </w:p>
        </w:tc>
        <w:tc>
          <w:p w14:paraId="078C88E0">
            <w:pPr>
              <w:pStyle w:val="24"/>
              <w:spacing w:after="0"/>
              <w:jc w:val="left"/>
            </w:pPr>
            <w:r>
              <w:rPr>
                <w:rFonts w:ascii="Aptos" w:hAnsi="Aptos"/>
                <w:color w:val="1F2937"/>
                <w:sz w:val="18"/>
              </w:rPr>
              <w:t>Financiación multi-fuente; SaaS no depende de ella</w:t>
            </w:r>
          </w:p>
        </w:tc>
        <w:tc>
          <w:p w14:paraId="737619B4">
            <w:pPr>
              <w:pStyle w:val="24"/>
              <w:spacing w:after="0"/>
              <w:jc w:val="left"/>
            </w:pPr>
            <w:r>
              <w:rPr>
                <w:rFonts w:ascii="Aptos" w:hAnsi="Aptos"/>
                <w:color w:val="1F2937"/>
                <w:sz w:val="18"/>
              </w:rPr>
              <w:t>Explorar financiación privada y alianzas</w:t>
            </w:r>
          </w:p>
        </w:tc>
      </w:tr>
      <w:tr w14:paraId="2D4EAE96">
        <w:tblPrEx>
          <w:tblCellMar>
            <w:top w:w="0" w:type="dxa"/>
            <w:left w:w="108" w:type="dxa"/>
            <w:bottom w:w="0" w:type="dxa"/>
            <w:right w:w="108" w:type="dxa"/>
          </w:tblCellMar>
        </w:tblPrEx>
        <w:tc>
          <w:p w14:paraId="4DD0C325">
            <w:pPr>
              <w:pStyle w:val="24"/>
              <w:spacing w:after="0"/>
              <w:jc w:val="right"/>
            </w:pPr>
            <w:r>
              <w:rPr>
                <w:rFonts w:ascii="Aptos" w:hAnsi="Aptos"/>
                <w:color w:val="1F2937"/>
                <w:sz w:val="18"/>
              </w:rPr>
              <w:t>7</w:t>
            </w:r>
          </w:p>
        </w:tc>
        <w:tc>
          <w:p w14:paraId="56DB3F3E">
            <w:pPr>
              <w:pStyle w:val="24"/>
              <w:spacing w:after="0"/>
              <w:jc w:val="left"/>
            </w:pPr>
            <w:r>
              <w:rPr>
                <w:rFonts w:ascii="Aptos" w:hAnsi="Aptos"/>
                <w:color w:val="1F2937"/>
                <w:sz w:val="18"/>
              </w:rPr>
              <w:t>Artefactos SEV no sellados</w:t>
            </w:r>
          </w:p>
        </w:tc>
        <w:tc>
          <w:p w14:paraId="7779BBCE">
            <w:pPr>
              <w:pStyle w:val="24"/>
              <w:spacing w:after="0"/>
              <w:jc w:val="right"/>
            </w:pPr>
            <w:r>
              <w:rPr>
                <w:rFonts w:ascii="Aptos" w:hAnsi="Aptos"/>
                <w:color w:val="1F2937"/>
                <w:sz w:val="18"/>
              </w:rPr>
              <w:t>10</w:t>
            </w:r>
          </w:p>
        </w:tc>
        <w:tc>
          <w:p w14:paraId="4865D35A">
            <w:pPr>
              <w:pStyle w:val="24"/>
              <w:spacing w:after="0"/>
              <w:jc w:val="left"/>
            </w:pPr>
            <w:r>
              <w:rPr>
                <w:rFonts w:ascii="Aptos" w:hAnsi="Aptos"/>
                <w:color w:val="1F2937"/>
                <w:sz w:val="18"/>
              </w:rPr>
              <w:t>Bajo-medio</w:t>
            </w:r>
          </w:p>
        </w:tc>
        <w:tc>
          <w:p w14:paraId="7403D89C">
            <w:pPr>
              <w:pStyle w:val="24"/>
              <w:spacing w:after="0"/>
              <w:jc w:val="left"/>
            </w:pPr>
            <w:r>
              <w:rPr>
                <w:rFonts w:ascii="Aptos" w:hAnsi="Aptos"/>
                <w:color w:val="1F2937"/>
                <w:sz w:val="18"/>
              </w:rPr>
              <w:t>Pipeline SEV operativo</w:t>
            </w:r>
          </w:p>
        </w:tc>
        <w:tc>
          <w:p w14:paraId="27AE596D">
            <w:pPr>
              <w:pStyle w:val="24"/>
              <w:spacing w:after="0"/>
              <w:jc w:val="left"/>
            </w:pPr>
            <w:r>
              <w:rPr>
                <w:rFonts w:ascii="Aptos" w:hAnsi="Aptos"/>
                <w:color w:val="1F2937"/>
                <w:sz w:val="18"/>
              </w:rPr>
              <w:t>Sellar (hash + revisor) antes de PIE PLUS</w:t>
            </w:r>
          </w:p>
        </w:tc>
      </w:tr>
      <w:tr w14:paraId="5A8A7F69">
        <w:tblPrEx>
          <w:tblCellMar>
            <w:top w:w="0" w:type="dxa"/>
            <w:left w:w="108" w:type="dxa"/>
            <w:bottom w:w="0" w:type="dxa"/>
            <w:right w:w="108" w:type="dxa"/>
          </w:tblCellMar>
        </w:tblPrEx>
        <w:tc>
          <w:p w14:paraId="7D45B191">
            <w:pPr>
              <w:pStyle w:val="24"/>
              <w:spacing w:after="0"/>
              <w:jc w:val="right"/>
            </w:pPr>
            <w:r>
              <w:rPr>
                <w:rFonts w:ascii="Aptos" w:hAnsi="Aptos"/>
                <w:color w:val="1F2937"/>
                <w:sz w:val="18"/>
              </w:rPr>
              <w:t>8</w:t>
            </w:r>
          </w:p>
        </w:tc>
        <w:tc>
          <w:p w14:paraId="033D8F55">
            <w:pPr>
              <w:pStyle w:val="24"/>
              <w:spacing w:after="0"/>
              <w:jc w:val="left"/>
            </w:pPr>
            <w:r>
              <w:rPr>
                <w:rFonts w:ascii="Aptos" w:hAnsi="Aptos"/>
                <w:color w:val="1F2937"/>
                <w:sz w:val="18"/>
              </w:rPr>
              <w:t>Alianzas no formalizadas</w:t>
            </w:r>
          </w:p>
        </w:tc>
        <w:tc>
          <w:p w14:paraId="1910959E">
            <w:pPr>
              <w:pStyle w:val="24"/>
              <w:spacing w:after="0"/>
              <w:jc w:val="right"/>
            </w:pPr>
            <w:r>
              <w:rPr>
                <w:rFonts w:ascii="Aptos" w:hAnsi="Aptos"/>
                <w:color w:val="1F2937"/>
                <w:sz w:val="18"/>
              </w:rPr>
              <w:t>10</w:t>
            </w:r>
          </w:p>
        </w:tc>
        <w:tc>
          <w:p w14:paraId="0226E1EF">
            <w:pPr>
              <w:pStyle w:val="24"/>
              <w:spacing w:after="0"/>
              <w:jc w:val="left"/>
            </w:pPr>
            <w:r>
              <w:rPr>
                <w:rFonts w:ascii="Aptos" w:hAnsi="Aptos"/>
                <w:color w:val="1F2937"/>
                <w:sz w:val="18"/>
              </w:rPr>
              <w:t>Bajo-medio</w:t>
            </w:r>
          </w:p>
        </w:tc>
        <w:tc>
          <w:p w14:paraId="6D5791DA">
            <w:pPr>
              <w:pStyle w:val="24"/>
              <w:spacing w:after="0"/>
              <w:jc w:val="left"/>
            </w:pPr>
            <w:r>
              <w:rPr>
                <w:rFonts w:ascii="Aptos" w:hAnsi="Aptos"/>
                <w:color w:val="1F2937"/>
                <w:sz w:val="18"/>
              </w:rPr>
              <w:t>Estados declarados en SEV</w:t>
            </w:r>
          </w:p>
        </w:tc>
        <w:tc>
          <w:p w14:paraId="23FE2125">
            <w:pPr>
              <w:pStyle w:val="24"/>
              <w:spacing w:after="0"/>
              <w:jc w:val="left"/>
            </w:pPr>
            <w:r>
              <w:rPr>
                <w:rFonts w:ascii="Aptos" w:hAnsi="Aptos"/>
                <w:color w:val="1F2937"/>
                <w:sz w:val="18"/>
              </w:rPr>
              <w:t>Obtener LOIs antes de PIE PLUS</w:t>
            </w:r>
          </w:p>
        </w:tc>
      </w:tr>
    </w:tbl>
    <w:p w14:paraId="718776BC">
      <w:pPr>
        <w:pStyle w:val="3"/>
      </w:pPr>
      <w:r>
        <w:rPr>
          <w:rFonts w:ascii="Aptos" w:hAnsi="Aptos"/>
          <w:color w:val="1F2937"/>
          <w:sz w:val="21"/>
        </w:rPr>
        <w:t>Coherencia con §9.1: los tres riesgos que gobiernan el diseño (precio hortícola, retrasos administrativos y tracción SaaS) siguen mitigados por contratos previos a siembra, tramitación temprana y el bloqueo de obra por G1.</w:t>
      </w:r>
    </w:p>
    <w:p w14:paraId="3CC12098">
      <w:pPr>
        <w:pStyle w:val="4"/>
      </w:pPr>
      <w:bookmarkStart w:id="86" w:name="X3f157bad1a255a5026c8c47c31820bf9b993ea7"/>
      <w:r>
        <w:rPr>
          <w:rFonts w:ascii="Aptos Display" w:hAnsi="Aptos Display"/>
          <w:b/>
          <w:color w:val="174A2E"/>
          <w:sz w:val="21"/>
        </w:rPr>
        <w:t>10.4. Estado de los criterios del Gate G1 y acciones para cerrarlo</w:t>
      </w:r>
      <w:bookmarkEnd w:id="86"/>
    </w:p>
    <w:tbl>
      <w:tblPr>
        <w:tblStyle w:val="28"/>
        <w:tblW w:w="5000" w:type="pct"/>
        <w:jc w:val="center"/>
        <w:tblInd w:w="0" w:type="dxa"/>
        <w:tblLayout w:type="fixed"/>
        <w:tblCellMar>
          <w:top w:w="0" w:type="dxa"/>
          <w:left w:w="108" w:type="dxa"/>
          <w:bottom w:w="0" w:type="dxa"/>
          <w:right w:w="108" w:type="dxa"/>
        </w:tblCellMar>
      </w:tblPr>
      <w:tblGrid>
        <w:gridCol w:w="1980"/>
        <w:gridCol w:w="1980"/>
        <w:gridCol w:w="1980"/>
        <w:gridCol w:w="1980"/>
      </w:tblGrid>
      <w:tr w14:paraId="1C42F363">
        <w:tc>
          <w:tcPr>
            <w:tcW w:w="2340" w:type="dxa"/>
            <w:tcBorders>
              <w:bottom w:val="single" w:color="auto" w:sz="0" w:space="0"/>
            </w:tcBorders>
            <w:vAlign w:val="bottom"/>
          </w:tcPr>
          <w:p w14:paraId="3F601F57">
            <w:pPr>
              <w:pStyle w:val="24"/>
              <w:spacing w:after="0"/>
              <w:jc w:val="left"/>
            </w:pPr>
            <w:r>
              <w:rPr>
                <w:rFonts w:ascii="Aptos" w:hAnsi="Aptos"/>
                <w:color w:val="1F2937"/>
                <w:sz w:val="18"/>
              </w:rPr>
              <w:t>Criterio G1</w:t>
            </w:r>
          </w:p>
        </w:tc>
        <w:tc>
          <w:tcPr>
            <w:tcW w:w="2340" w:type="dxa"/>
            <w:tcBorders>
              <w:bottom w:val="single" w:color="auto" w:sz="0" w:space="0"/>
            </w:tcBorders>
            <w:vAlign w:val="bottom"/>
          </w:tcPr>
          <w:p w14:paraId="3DECCB79">
            <w:pPr>
              <w:pStyle w:val="24"/>
              <w:spacing w:after="0"/>
              <w:jc w:val="left"/>
            </w:pPr>
            <w:r>
              <w:rPr>
                <w:rFonts w:ascii="Aptos" w:hAnsi="Aptos"/>
                <w:color w:val="1F2937"/>
                <w:sz w:val="18"/>
              </w:rPr>
              <w:t>Objetivo</w:t>
            </w:r>
          </w:p>
        </w:tc>
        <w:tc>
          <w:tcPr>
            <w:tcW w:w="2340" w:type="dxa"/>
            <w:tcBorders>
              <w:bottom w:val="single" w:color="auto" w:sz="0" w:space="0"/>
            </w:tcBorders>
            <w:vAlign w:val="bottom"/>
          </w:tcPr>
          <w:p w14:paraId="37555F53">
            <w:pPr>
              <w:pStyle w:val="24"/>
              <w:spacing w:after="0"/>
              <w:jc w:val="left"/>
            </w:pPr>
            <w:r>
              <w:rPr>
                <w:rFonts w:ascii="Aptos" w:hAnsi="Aptos"/>
                <w:color w:val="1F2937"/>
                <w:sz w:val="18"/>
              </w:rPr>
              <w:t>Estado (declarado)</w:t>
            </w:r>
          </w:p>
        </w:tc>
        <w:tc>
          <w:tcPr>
            <w:tcW w:w="2340" w:type="dxa"/>
            <w:tcBorders>
              <w:bottom w:val="single" w:color="auto" w:sz="0" w:space="0"/>
            </w:tcBorders>
            <w:vAlign w:val="bottom"/>
          </w:tcPr>
          <w:p w14:paraId="276E7E81">
            <w:pPr>
              <w:pStyle w:val="24"/>
              <w:spacing w:after="0"/>
              <w:jc w:val="left"/>
            </w:pPr>
            <w:r>
              <w:rPr>
                <w:rFonts w:ascii="Aptos" w:hAnsi="Aptos"/>
                <w:color w:val="1F2937"/>
                <w:sz w:val="18"/>
              </w:rPr>
              <w:t>Acción para cerrarlo</w:t>
            </w:r>
          </w:p>
        </w:tc>
      </w:tr>
      <w:tr w14:paraId="5F789605">
        <w:tblPrEx>
          <w:tblCellMar>
            <w:top w:w="0" w:type="dxa"/>
            <w:left w:w="108" w:type="dxa"/>
            <w:bottom w:w="0" w:type="dxa"/>
            <w:right w:w="108" w:type="dxa"/>
          </w:tblCellMar>
        </w:tblPrEx>
        <w:tc>
          <w:p w14:paraId="6E8A509E">
            <w:pPr>
              <w:pStyle w:val="24"/>
              <w:spacing w:after="0"/>
              <w:jc w:val="left"/>
            </w:pPr>
            <w:r>
              <w:rPr>
                <w:rFonts w:ascii="Aptos" w:hAnsi="Aptos"/>
                <w:color w:val="1F2937"/>
                <w:sz w:val="18"/>
              </w:rPr>
              <w:t>SaaS uptime ≥99 %</w:t>
            </w:r>
          </w:p>
        </w:tc>
        <w:tc>
          <w:p w14:paraId="46CB833C">
            <w:pPr>
              <w:pStyle w:val="24"/>
              <w:spacing w:after="0"/>
              <w:jc w:val="left"/>
            </w:pPr>
            <w:r>
              <w:rPr>
                <w:rFonts w:ascii="Aptos" w:hAnsi="Aptos"/>
                <w:color w:val="1F2937"/>
                <w:sz w:val="18"/>
              </w:rPr>
              <w:t>≈99,7 %</w:t>
            </w:r>
          </w:p>
        </w:tc>
        <w:tc>
          <w:p w14:paraId="5552756A">
            <w:pPr>
              <w:pStyle w:val="24"/>
              <w:spacing w:after="0"/>
              <w:jc w:val="left"/>
            </w:pPr>
            <w:r>
              <w:rPr>
                <w:rFonts w:ascii="Aptos" w:hAnsi="Aptos"/>
                <w:color w:val="1F2937"/>
                <w:sz w:val="18"/>
              </w:rPr>
              <w:t>Objetivo ≥99 %; validación local/candidata; producción: NO RECLAMADA</w:t>
            </w:r>
          </w:p>
        </w:tc>
        <w:tc>
          <w:p w14:paraId="02EECBAB">
            <w:pPr>
              <w:pStyle w:val="24"/>
              <w:spacing w:after="0"/>
              <w:jc w:val="left"/>
            </w:pPr>
            <w:r>
              <w:rPr>
                <w:rFonts w:ascii="Aptos" w:hAnsi="Aptos"/>
                <w:color w:val="1F2937"/>
                <w:sz w:val="18"/>
              </w:rPr>
              <w:t>Mantener SLA y monitorización</w:t>
            </w:r>
          </w:p>
        </w:tc>
      </w:tr>
      <w:tr w14:paraId="453B9E1D">
        <w:tblPrEx>
          <w:tblCellMar>
            <w:top w:w="0" w:type="dxa"/>
            <w:left w:w="108" w:type="dxa"/>
            <w:bottom w:w="0" w:type="dxa"/>
            <w:right w:w="108" w:type="dxa"/>
          </w:tblCellMar>
        </w:tblPrEx>
        <w:tc>
          <w:p w14:paraId="69C97DD0">
            <w:pPr>
              <w:pStyle w:val="24"/>
              <w:spacing w:after="0"/>
              <w:jc w:val="left"/>
            </w:pPr>
            <w:r>
              <w:rPr>
                <w:rFonts w:ascii="Aptos" w:hAnsi="Aptos"/>
                <w:color w:val="1F2937"/>
                <w:sz w:val="18"/>
              </w:rPr>
              <w:t>≥5 clientes remunerados</w:t>
            </w:r>
          </w:p>
        </w:tc>
        <w:tc>
          <w:p w14:paraId="302DAA84">
            <w:pPr>
              <w:pStyle w:val="24"/>
              <w:spacing w:after="0"/>
              <w:jc w:val="left"/>
            </w:pPr>
            <w:r>
              <w:rPr>
                <w:rFonts w:ascii="Aptos" w:hAnsi="Aptos"/>
                <w:color w:val="1F2937"/>
                <w:sz w:val="18"/>
              </w:rPr>
              <w:t>7</w:t>
            </w:r>
          </w:p>
        </w:tc>
        <w:tc>
          <w:p w14:paraId="37931B58">
            <w:pPr>
              <w:pStyle w:val="24"/>
              <w:spacing w:after="0"/>
              <w:jc w:val="left"/>
            </w:pPr>
            <w:r>
              <w:rPr>
                <w:rFonts w:ascii="Aptos" w:hAnsi="Aptos"/>
                <w:color w:val="1F2937"/>
                <w:sz w:val="18"/>
              </w:rPr>
              <w:t>En negociación</w:t>
            </w:r>
          </w:p>
        </w:tc>
        <w:tc>
          <w:p w14:paraId="08E7ECFD">
            <w:pPr>
              <w:pStyle w:val="24"/>
              <w:spacing w:after="0"/>
              <w:jc w:val="left"/>
            </w:pPr>
            <w:r>
              <w:rPr>
                <w:rFonts w:ascii="Aptos" w:hAnsi="Aptos"/>
                <w:b/>
                <w:color w:val="1F2937"/>
                <w:sz w:val="18"/>
              </w:rPr>
              <w:t>Convertir a contratos firmados</w:t>
            </w:r>
          </w:p>
        </w:tc>
      </w:tr>
      <w:tr w14:paraId="6E7429C1">
        <w:tblPrEx>
          <w:tblCellMar>
            <w:top w:w="0" w:type="dxa"/>
            <w:left w:w="108" w:type="dxa"/>
            <w:bottom w:w="0" w:type="dxa"/>
            <w:right w:w="108" w:type="dxa"/>
          </w:tblCellMar>
        </w:tblPrEx>
        <w:tc>
          <w:p w14:paraId="1667A921">
            <w:pPr>
              <w:pStyle w:val="24"/>
              <w:spacing w:after="0"/>
              <w:jc w:val="left"/>
            </w:pPr>
            <w:r>
              <w:rPr>
                <w:rFonts w:ascii="Aptos" w:hAnsi="Aptos"/>
                <w:color w:val="1F2937"/>
                <w:sz w:val="18"/>
              </w:rPr>
              <w:t>Datos módulo terracota ≥6 meses</w:t>
            </w:r>
          </w:p>
        </w:tc>
        <w:tc>
          <w:p w14:paraId="673B00EC">
            <w:pPr>
              <w:pStyle w:val="24"/>
              <w:spacing w:after="0"/>
              <w:jc w:val="left"/>
            </w:pPr>
            <w:r>
              <w:rPr>
                <w:rFonts w:ascii="Aptos" w:hAnsi="Aptos"/>
                <w:color w:val="1F2937"/>
                <w:sz w:val="18"/>
              </w:rPr>
              <w:t>≈38 % ±2 %</w:t>
            </w:r>
          </w:p>
        </w:tc>
        <w:tc>
          <w:p w14:paraId="6042AA1D">
            <w:pPr>
              <w:pStyle w:val="24"/>
              <w:spacing w:after="0"/>
              <w:jc w:val="left"/>
            </w:pPr>
            <w:r>
              <w:rPr>
                <w:rFonts w:ascii="Aptos" w:hAnsi="Aptos"/>
                <w:color w:val="1F2937"/>
                <w:sz w:val="18"/>
              </w:rPr>
              <w:t>Planificado (F1)</w:t>
            </w:r>
          </w:p>
        </w:tc>
        <w:tc>
          <w:p w14:paraId="2A326761">
            <w:pPr>
              <w:pStyle w:val="24"/>
              <w:spacing w:after="0"/>
              <w:jc w:val="left"/>
            </w:pPr>
            <w:r>
              <w:rPr>
                <w:rFonts w:ascii="Aptos" w:hAnsi="Aptos"/>
                <w:b/>
                <w:color w:val="1F2937"/>
                <w:sz w:val="18"/>
              </w:rPr>
              <w:t>Iniciar recolección ya</w:t>
            </w:r>
            <w:r>
              <w:rPr>
                <w:rFonts w:ascii="Aptos" w:hAnsi="Aptos"/>
                <w:color w:val="1F2937"/>
                <w:sz w:val="18"/>
              </w:rPr>
              <w:t xml:space="preserve"> (requiere ≥6 meses)</w:t>
            </w:r>
          </w:p>
        </w:tc>
      </w:tr>
      <w:tr w14:paraId="2466B1E9">
        <w:tblPrEx>
          <w:tblCellMar>
            <w:top w:w="0" w:type="dxa"/>
            <w:left w:w="108" w:type="dxa"/>
            <w:bottom w:w="0" w:type="dxa"/>
            <w:right w:w="108" w:type="dxa"/>
          </w:tblCellMar>
        </w:tblPrEx>
        <w:tc>
          <w:p w14:paraId="28AF3BE6">
            <w:pPr>
              <w:pStyle w:val="24"/>
              <w:spacing w:after="0"/>
              <w:jc w:val="left"/>
            </w:pPr>
            <w:r>
              <w:rPr>
                <w:rFonts w:ascii="Aptos" w:hAnsi="Aptos"/>
                <w:color w:val="1F2937"/>
                <w:sz w:val="18"/>
              </w:rPr>
              <w:t>TRT completado</w:t>
            </w:r>
          </w:p>
        </w:tc>
        <w:tc>
          <w:p w14:paraId="5CD990C1">
            <w:pPr>
              <w:pStyle w:val="24"/>
              <w:spacing w:after="0"/>
              <w:jc w:val="left"/>
            </w:pPr>
            <w:r>
              <w:rPr>
                <w:rFonts w:ascii="Aptos" w:hAnsi="Aptos"/>
                <w:color w:val="1F2937"/>
                <w:sz w:val="18"/>
              </w:rPr>
              <w:t>λ ≈ 1,8 W/m·K</w:t>
            </w:r>
          </w:p>
        </w:tc>
        <w:tc>
          <w:p w14:paraId="2298819A">
            <w:pPr>
              <w:pStyle w:val="24"/>
              <w:spacing w:after="0"/>
              <w:jc w:val="left"/>
            </w:pPr>
            <w:r>
              <w:rPr>
                <w:rFonts w:ascii="Aptos" w:hAnsi="Aptos"/>
                <w:color w:val="1F2937"/>
                <w:sz w:val="18"/>
              </w:rPr>
              <w:t>Planificado (F1)</w:t>
            </w:r>
          </w:p>
        </w:tc>
        <w:tc>
          <w:p w14:paraId="426F43F3">
            <w:pPr>
              <w:pStyle w:val="24"/>
              <w:spacing w:after="0"/>
              <w:jc w:val="left"/>
            </w:pPr>
            <w:r>
              <w:rPr>
                <w:rFonts w:ascii="Aptos" w:hAnsi="Aptos"/>
                <w:b/>
                <w:color w:val="1F2937"/>
                <w:sz w:val="18"/>
              </w:rPr>
              <w:t>Contratar ingeniería</w:t>
            </w:r>
            <w:r>
              <w:rPr>
                <w:rFonts w:ascii="Aptos" w:hAnsi="Aptos"/>
                <w:color w:val="1F2937"/>
                <w:sz w:val="18"/>
              </w:rPr>
              <w:t xml:space="preserve"> (pliego listo)</w:t>
            </w:r>
          </w:p>
        </w:tc>
      </w:tr>
      <w:tr w14:paraId="4699FB73">
        <w:tblPrEx>
          <w:tblCellMar>
            <w:top w:w="0" w:type="dxa"/>
            <w:left w:w="108" w:type="dxa"/>
            <w:bottom w:w="0" w:type="dxa"/>
            <w:right w:w="108" w:type="dxa"/>
          </w:tblCellMar>
        </w:tblPrEx>
        <w:tc>
          <w:p w14:paraId="3A8FC17A">
            <w:pPr>
              <w:pStyle w:val="24"/>
              <w:spacing w:after="0"/>
              <w:jc w:val="left"/>
            </w:pPr>
            <w:r>
              <w:rPr>
                <w:rFonts w:ascii="Aptos" w:hAnsi="Aptos"/>
                <w:color w:val="1F2937"/>
                <w:sz w:val="18"/>
              </w:rPr>
              <w:t>Convenio de suelo firmado</w:t>
            </w:r>
          </w:p>
        </w:tc>
        <w:tc>
          <w:p w14:paraId="654AA3A4">
            <w:pPr>
              <w:pStyle w:val="24"/>
              <w:spacing w:after="0"/>
              <w:jc w:val="left"/>
            </w:pPr>
            <w:r>
              <w:rPr>
                <w:rFonts w:ascii="Aptos" w:hAnsi="Aptos"/>
                <w:color w:val="1F2937"/>
                <w:sz w:val="18"/>
              </w:rPr>
              <w:t>25 años</w:t>
            </w:r>
          </w:p>
        </w:tc>
        <w:tc>
          <w:p w14:paraId="0FDA28A3">
            <w:pPr>
              <w:pStyle w:val="24"/>
              <w:spacing w:after="0"/>
              <w:jc w:val="left"/>
            </w:pPr>
            <w:r>
              <w:rPr>
                <w:rFonts w:ascii="Aptos" w:hAnsi="Aptos"/>
                <w:color w:val="1F2937"/>
                <w:sz w:val="18"/>
              </w:rPr>
              <w:t>En negociación</w:t>
            </w:r>
          </w:p>
        </w:tc>
        <w:tc>
          <w:p w14:paraId="15B5241B">
            <w:pPr>
              <w:pStyle w:val="24"/>
              <w:spacing w:after="0"/>
              <w:jc w:val="left"/>
            </w:pPr>
            <w:r>
              <w:rPr>
                <w:rFonts w:ascii="Aptos" w:hAnsi="Aptos"/>
                <w:b/>
                <w:color w:val="1F2937"/>
                <w:sz w:val="18"/>
              </w:rPr>
              <w:t>Firmar antes de presentar</w:t>
            </w:r>
          </w:p>
        </w:tc>
      </w:tr>
      <w:tr w14:paraId="6B9BB03D">
        <w:tblPrEx>
          <w:tblCellMar>
            <w:top w:w="0" w:type="dxa"/>
            <w:left w:w="108" w:type="dxa"/>
            <w:bottom w:w="0" w:type="dxa"/>
            <w:right w:w="108" w:type="dxa"/>
          </w:tblCellMar>
        </w:tblPrEx>
        <w:tc>
          <w:p w14:paraId="6435EB2C">
            <w:pPr>
              <w:pStyle w:val="24"/>
              <w:spacing w:after="0"/>
              <w:jc w:val="left"/>
            </w:pPr>
            <w:r>
              <w:rPr>
                <w:rFonts w:ascii="Aptos" w:hAnsi="Aptos"/>
                <w:color w:val="1F2937"/>
                <w:sz w:val="18"/>
              </w:rPr>
              <w:t>Anteproyecto</w:t>
            </w:r>
          </w:p>
        </w:tc>
        <w:tc>
          <w:p w14:paraId="44983828">
            <w:pPr>
              <w:pStyle w:val="24"/>
              <w:spacing w:after="0"/>
              <w:jc w:val="left"/>
            </w:pPr>
            <w:r>
              <w:rPr>
                <w:rFonts w:ascii="Aptos" w:hAnsi="Aptos"/>
                <w:color w:val="1F2937"/>
                <w:sz w:val="18"/>
              </w:rPr>
              <w:t>Documentación lista</w:t>
            </w:r>
          </w:p>
        </w:tc>
        <w:tc>
          <w:p w14:paraId="05FC42B7">
            <w:pPr>
              <w:pStyle w:val="24"/>
              <w:spacing w:after="0"/>
              <w:jc w:val="left"/>
            </w:pPr>
            <w:r>
              <w:rPr>
                <w:rFonts w:ascii="Aptos" w:hAnsi="Aptos"/>
                <w:color w:val="1F2937"/>
                <w:sz w:val="18"/>
              </w:rPr>
              <w:t>Listo</w:t>
            </w:r>
          </w:p>
        </w:tc>
        <w:tc>
          <w:p w14:paraId="655E5729">
            <w:pPr>
              <w:pStyle w:val="24"/>
              <w:spacing w:after="0"/>
              <w:jc w:val="left"/>
            </w:pPr>
            <w:r>
              <w:rPr>
                <w:rFonts w:ascii="Aptos" w:hAnsi="Aptos"/>
                <w:color w:val="1F2937"/>
                <w:sz w:val="18"/>
              </w:rPr>
              <w:t>—</w:t>
            </w:r>
          </w:p>
        </w:tc>
      </w:tr>
    </w:tbl>
    <w:p w14:paraId="4321B312">
      <w:pPr>
        <w:pStyle w:val="4"/>
      </w:pPr>
      <w:bookmarkStart w:id="87" w:name="Xa76908ae1fd228b10b46125594817e22660accc"/>
      <w:r>
        <w:rPr>
          <w:rFonts w:ascii="Aptos Display" w:hAnsi="Aptos Display"/>
          <w:b/>
          <w:color w:val="174A2E"/>
          <w:sz w:val="21"/>
        </w:rPr>
        <w:t>10.5. Plan de acción y checklist crítico pre-PIE PLUS</w:t>
      </w:r>
      <w:bookmarkEnd w:id="87"/>
    </w:p>
    <w:p w14:paraId="14D74630">
      <w:pPr>
        <w:pStyle w:val="23"/>
      </w:pPr>
      <w:r>
        <w:rPr>
          <w:rFonts w:ascii="Aptos" w:hAnsi="Aptos"/>
          <w:b/>
          <w:color w:val="1F2937"/>
          <w:sz w:val="21"/>
        </w:rPr>
        <w:t>Acciones inmediatas (2–4 semanas), críticas para cerrar el Gate G1:</w:t>
      </w:r>
      <w:r>
        <w:rPr>
          <w:rFonts w:ascii="Aptos" w:hAnsi="Aptos"/>
          <w:color w:val="1F2937"/>
          <w:sz w:val="21"/>
        </w:rPr>
        <w:t xml:space="preserve"> firmar el convenio de suelo con el Ayuntamiento (25 años); convertir los pilotos en </w:t>
      </w:r>
      <w:r>
        <w:rPr>
          <w:rFonts w:ascii="Aptos" w:hAnsi="Aptos"/>
          <w:b/>
          <w:color w:val="1F2937"/>
          <w:sz w:val="21"/>
        </w:rPr>
        <w:t>≥5 contratos remunerados firmados</w:t>
      </w:r>
      <w:r>
        <w:rPr>
          <w:rFonts w:ascii="Aptos" w:hAnsi="Aptos"/>
          <w:color w:val="1F2937"/>
          <w:sz w:val="21"/>
        </w:rPr>
        <w:t>; iniciar la recolección de datos del módulo de terracota (≥6 meses); contratar la ingeniería del TRT (λ objetivo ≈ 1,8 W/m·K); sellar los 8 artefactos SEV de G1 (hash SHA-256 + revisor); obtener LOIs de las alianzas (CTAEX FoodLab, Degreen Plus, Con Valores, 100 Kairos); y validar el embudo comercial y la aceptación de precios (250–350 €/mes) con los pilotos.</w:t>
      </w:r>
    </w:p>
    <w:p w14:paraId="609CD494">
      <w:pPr>
        <w:pStyle w:val="3"/>
      </w:pPr>
      <w:r>
        <w:rPr>
          <w:rFonts w:ascii="Aptos" w:hAnsi="Aptos"/>
          <w:b/>
          <w:color w:val="1F2937"/>
          <w:sz w:val="21"/>
        </w:rPr>
        <w:t>Medio plazo (F1, 3–6 meses):</w:t>
      </w:r>
      <w:r>
        <w:rPr>
          <w:rFonts w:ascii="Aptos" w:hAnsi="Aptos"/>
          <w:color w:val="1F2937"/>
          <w:sz w:val="21"/>
        </w:rPr>
        <w:t xml:space="preserve"> contratar el perfil de desarrollo (reduce la dependencia del promotor), completar el FMEA de componentes críticos, formalizar un comité asesor y lanzar la prospección (20–30 explotaciones, 5–10 cooperativas). </w:t>
      </w:r>
      <w:r>
        <w:rPr>
          <w:rFonts w:ascii="Aptos" w:hAnsi="Aptos"/>
          <w:b/>
          <w:color w:val="1F2937"/>
          <w:sz w:val="21"/>
        </w:rPr>
        <w:t>Largo plazo (post-G1, 6–18 meses):</w:t>
      </w:r>
      <w:r>
        <w:rPr>
          <w:rFonts w:ascii="Aptos" w:hAnsi="Aptos"/>
          <w:color w:val="1F2937"/>
          <w:sz w:val="21"/>
        </w:rPr>
        <w:t xml:space="preserve"> escalar el equipo comercial, app móvil de campo, alianzas con cooperativas como canal, expansión a Portugal y línea </w:t>
      </w:r>
      <w:r>
        <w:rPr>
          <w:rFonts w:ascii="Aptos" w:hAnsi="Aptos"/>
          <w:b/>
          <w:color w:val="1F2937"/>
          <w:sz w:val="21"/>
        </w:rPr>
        <w:t>CASTÚO IaaS digital</w:t>
      </w:r>
      <w:r>
        <w:rPr>
          <w:rFonts w:ascii="Aptos" w:hAnsi="Aptos"/>
          <w:color w:val="1F2937"/>
          <w:sz w:val="21"/>
        </w:rPr>
        <w:t xml:space="preserve"> (§4.8).</w:t>
      </w:r>
    </w:p>
    <w:p w14:paraId="4588CB9D">
      <w:pPr>
        <w:pStyle w:val="4"/>
      </w:pPr>
      <w:bookmarkStart w:id="88" w:name="Xfe470e7739d02b7a0e85c06560a20e1a92e27cc"/>
      <w:r>
        <w:rPr>
          <w:rFonts w:ascii="Aptos Display" w:hAnsi="Aptos Display"/>
          <w:b/>
          <w:color w:val="174A2E"/>
          <w:sz w:val="21"/>
        </w:rPr>
        <w:t>10.7. Factores clave de éxito y conclusión de la autoevaluación</w:t>
      </w:r>
      <w:bookmarkEnd w:id="88"/>
    </w:p>
    <w:p w14:paraId="2378576E">
      <w:pPr>
        <w:pStyle w:val="23"/>
      </w:pPr>
      <w:r>
        <w:rPr>
          <w:rFonts w:ascii="Aptos" w:hAnsi="Aptos"/>
          <w:color w:val="1F2937"/>
          <w:sz w:val="21"/>
        </w:rPr>
        <w:t xml:space="preserve">Los cuatro factores que deciden el éxito son: </w:t>
      </w:r>
      <w:r>
        <w:rPr>
          <w:rFonts w:ascii="Aptos" w:hAnsi="Aptos"/>
          <w:b/>
          <w:color w:val="1F2937"/>
          <w:sz w:val="21"/>
        </w:rPr>
        <w:t>(1)</w:t>
      </w:r>
      <w:r>
        <w:rPr>
          <w:rFonts w:ascii="Aptos" w:hAnsi="Aptos"/>
          <w:color w:val="1F2937"/>
          <w:sz w:val="21"/>
        </w:rPr>
        <w:t xml:space="preserve"> cerrar el Gate G1 (convenio + clientes + TRT + datos); </w:t>
      </w:r>
      <w:r>
        <w:rPr>
          <w:rFonts w:ascii="Aptos" w:hAnsi="Aptos"/>
          <w:b/>
          <w:color w:val="1F2937"/>
          <w:sz w:val="21"/>
        </w:rPr>
        <w:t>(2)</w:t>
      </w:r>
      <w:r>
        <w:rPr>
          <w:rFonts w:ascii="Aptos" w:hAnsi="Aptos"/>
          <w:color w:val="1F2937"/>
          <w:sz w:val="21"/>
        </w:rPr>
        <w:t xml:space="preserve"> sellar los artefactos SEV antes de la evaluación; </w:t>
      </w:r>
      <w:r>
        <w:rPr>
          <w:rFonts w:ascii="Aptos" w:hAnsi="Aptos"/>
          <w:b/>
          <w:color w:val="1F2937"/>
          <w:sz w:val="21"/>
        </w:rPr>
        <w:t>(3)</w:t>
      </w:r>
      <w:r>
        <w:rPr>
          <w:rFonts w:ascii="Aptos" w:hAnsi="Aptos"/>
          <w:color w:val="1F2937"/>
          <w:sz w:val="21"/>
        </w:rPr>
        <w:t xml:space="preserve"> formalizar las alianzas con LOIs; y </w:t>
      </w:r>
      <w:r>
        <w:rPr>
          <w:rFonts w:ascii="Aptos" w:hAnsi="Aptos"/>
          <w:b/>
          <w:color w:val="1F2937"/>
          <w:sz w:val="21"/>
        </w:rPr>
        <w:t>(4)</w:t>
      </w:r>
      <w:r>
        <w:rPr>
          <w:rFonts w:ascii="Aptos" w:hAnsi="Aptos"/>
          <w:color w:val="1F2937"/>
          <w:sz w:val="21"/>
        </w:rPr>
        <w:t xml:space="preserve"> demostrar tracción con los primeros clientes pagando. La autoevaluación interna (moderada tras la auditoría de evidencia) sitúa el plan en </w:t>
      </w:r>
      <w:r>
        <w:rPr>
          <w:rFonts w:ascii="Aptos" w:hAnsi="Aptos"/>
          <w:b/>
          <w:color w:val="1F2937"/>
          <w:sz w:val="21"/>
        </w:rPr>
        <w:t>8,6/10</w:t>
      </w:r>
      <w:r>
        <w:rPr>
          <w:rFonts w:ascii="Aptos" w:hAnsi="Aptos"/>
          <w:color w:val="1F2937"/>
          <w:sz w:val="21"/>
        </w:rPr>
        <w:t xml:space="preserve">: su solidez es conceptual, técnica y documental, y su reto es de ejecución. La recomendación interna es </w:t>
      </w:r>
      <w:r>
        <w:rPr>
          <w:rFonts w:ascii="Aptos" w:hAnsi="Aptos"/>
          <w:b/>
          <w:color w:val="1F2937"/>
          <w:sz w:val="21"/>
        </w:rPr>
        <w:t>presentar a PIE PLUS 2026 ejecutando en paralelo el checklist crítico</w:t>
      </w:r>
      <w:r>
        <w:rPr>
          <w:rFonts w:ascii="Aptos" w:hAnsi="Aptos"/>
          <w:color w:val="1F2937"/>
          <w:sz w:val="21"/>
        </w:rPr>
        <w:t>. Reiteración de honestidad: esta puntuación es una herramienta de gestión, no una calificación oficial, y no adelanta como cumplido ningún criterio que no esté sellado en el SEV.</w:t>
      </w:r>
    </w:p>
    <w:p w14:paraId="6AB83CDA">
      <w:pPr>
        <w:pStyle w:val="22"/>
      </w:pPr>
      <w:r>
        <w:rPr>
          <w:rFonts w:ascii="Aptos" w:hAnsi="Aptos"/>
          <w:b/>
          <w:color w:val="1F2937"/>
          <w:sz w:val="21"/>
        </w:rPr>
        <w:t>Evidencias asociadas (§10):</w:t>
      </w:r>
      <w:r>
        <w:rPr>
          <w:rFonts w:ascii="Aptos" w:hAnsi="Aptos"/>
          <w:color w:val="1F2937"/>
          <w:sz w:val="21"/>
        </w:rPr>
        <w:t xml:space="preserve"> autoevaluación ponderada, checklist crítico pre-PIE PLUS, matriz P×I · Nivel: documento (§11).</w:t>
      </w:r>
    </w:p>
    <w:p w14:paraId="55A129DE">
      <w:pPr>
        <w:pStyle w:val="2"/>
      </w:pPr>
      <w:bookmarkStart w:id="89" w:name="Xb7db4c2ee13b8bfcb11410f5b7ca03cfe736cc8"/>
      <w:r>
        <w:rPr>
          <w:rFonts w:ascii="Aptos Display" w:hAnsi="Aptos Display"/>
          <w:b/>
          <w:color w:val="174A2E"/>
          <w:sz w:val="21"/>
        </w:rPr>
        <w:t>11. Sistema de Trazabilidad Integral — Cadena Europea de Evidencias</w:t>
      </w:r>
      <w:bookmarkEnd w:id="89"/>
    </w:p>
    <w:p w14:paraId="2FCD34A0">
      <w:pPr>
        <w:pStyle w:val="23"/>
      </w:pPr>
      <w:r>
        <w:rPr>
          <w:rFonts w:ascii="Aptos" w:hAnsi="Aptos"/>
          <w:color w:val="1F2937"/>
          <w:sz w:val="21"/>
        </w:rPr>
        <w:t xml:space="preserve">El Sistema de Evidencias Verificables (SEV, §3.7) evoluciona en esta versión hacia una </w:t>
      </w:r>
      <w:r>
        <w:rPr>
          <w:rFonts w:ascii="Aptos" w:hAnsi="Aptos"/>
          <w:b/>
          <w:color w:val="1F2937"/>
          <w:sz w:val="21"/>
        </w:rPr>
        <w:t>trazabilidad de extremo a extremo</w:t>
      </w:r>
      <w:r>
        <w:rPr>
          <w:rFonts w:ascii="Aptos" w:hAnsi="Aptos"/>
          <w:color w:val="1F2937"/>
          <w:sz w:val="21"/>
        </w:rPr>
        <w:t xml:space="preserve">, inspirada en la práctica de los proyectos Horizon Europe: no basta con demostrar que el software existe; </w:t>
      </w:r>
      <w:r>
        <w:rPr>
          <w:rFonts w:ascii="Aptos" w:hAnsi="Aptos"/>
          <w:b/>
          <w:color w:val="1F2937"/>
          <w:sz w:val="21"/>
        </w:rPr>
        <w:t>cada euro solicitado, cada hito y cada resultado debe poder reconstruirse</w:t>
      </w:r>
      <w:r>
        <w:rPr>
          <w:rFonts w:ascii="Aptos" w:hAnsi="Aptos"/>
          <w:color w:val="1F2937"/>
          <w:sz w:val="21"/>
        </w:rPr>
        <w:t>. La cadena canónica es:</w:t>
      </w:r>
    </w:p>
    <w:p w14:paraId="29D674A5">
      <w:pPr>
        <w:pStyle w:val="3"/>
      </w:pPr>
      <w:r>
        <w:rPr>
          <w:rStyle w:val="35"/>
          <w:rFonts w:ascii="Aptos" w:hAnsi="Aptos"/>
          <w:color w:val="1F2937"/>
          <w:sz w:val="21"/>
        </w:rPr>
        <w:t>Inversión → Compra → Instalación → Configuración → Prueba → Métrica → Resultado → Impacto</w:t>
      </w:r>
    </w:p>
    <w:p w14:paraId="67AD4060">
      <w:pPr>
        <w:pStyle w:val="3"/>
      </w:pPr>
      <w:r>
        <w:rPr>
          <w:rFonts w:ascii="Aptos" w:hAnsi="Aptos"/>
          <w:b/>
          <w:color w:val="1F2937"/>
          <w:sz w:val="21"/>
        </w:rPr>
        <w:t>Nota de honestidad.</w:t>
      </w:r>
      <w:r>
        <w:rPr>
          <w:rFonts w:ascii="Aptos" w:hAnsi="Aptos"/>
          <w:color w:val="1F2937"/>
          <w:sz w:val="21"/>
        </w:rPr>
        <w:t xml:space="preserve"> Este es un </w:t>
      </w:r>
      <w:r>
        <w:rPr>
          <w:rFonts w:ascii="Aptos" w:hAnsi="Aptos"/>
          <w:b/>
          <w:color w:val="1F2937"/>
          <w:sz w:val="21"/>
        </w:rPr>
        <w:t>marco de trazabilidad interno</w:t>
      </w:r>
      <w:r>
        <w:rPr>
          <w:rFonts w:ascii="Aptos" w:hAnsi="Aptos"/>
          <w:color w:val="1F2937"/>
          <w:sz w:val="21"/>
        </w:rPr>
        <w:t xml:space="preserve">, no una certificación externa. Los estados y hashes reales viven en el repositorio </w:t>
      </w:r>
      <w:r>
        <w:rPr>
          <w:rStyle w:val="35"/>
          <w:rFonts w:ascii="Aptos" w:hAnsi="Aptos"/>
          <w:color w:val="1F2937"/>
          <w:sz w:val="21"/>
        </w:rPr>
        <w:t>sev/</w:t>
      </w:r>
      <w:r>
        <w:rPr>
          <w:rFonts w:ascii="Aptos" w:hAnsi="Aptos"/>
          <w:color w:val="1F2937"/>
          <w:sz w:val="21"/>
        </w:rPr>
        <w:t xml:space="preserve">; en la Fase 1 la mayoría de artefactos están en estado </w:t>
      </w:r>
      <w:r>
        <w:rPr>
          <w:rFonts w:ascii="Aptos" w:hAnsi="Aptos"/>
          <w:i/>
          <w:color w:val="1F2937"/>
          <w:sz w:val="21"/>
        </w:rPr>
        <w:t>planificado/objetivo</w:t>
      </w:r>
      <w:r>
        <w:rPr>
          <w:rFonts w:ascii="Aptos" w:hAnsi="Aptos"/>
          <w:color w:val="1F2937"/>
          <w:sz w:val="21"/>
        </w:rPr>
        <w:t xml:space="preserve"> y pasan a </w:t>
      </w:r>
      <w:r>
        <w:rPr>
          <w:rFonts w:ascii="Aptos" w:hAnsi="Aptos"/>
          <w:i/>
          <w:color w:val="1F2937"/>
          <w:sz w:val="21"/>
        </w:rPr>
        <w:t>validado</w:t>
      </w:r>
      <w:r>
        <w:rPr>
          <w:rFonts w:ascii="Aptos" w:hAnsi="Aptos"/>
          <w:color w:val="1F2937"/>
          <w:sz w:val="21"/>
        </w:rPr>
        <w:t xml:space="preserve"> solo al sellarse (hash SHA-256 + revisor). El Índice Global de Trazabilidad (§11.7) es un indicador propio con método declarado, no un sello acreditado.</w:t>
      </w:r>
    </w:p>
    <w:p w14:paraId="7AC5DB8C">
      <w:pPr>
        <w:pStyle w:val="4"/>
      </w:pPr>
      <w:bookmarkStart w:id="90" w:name="Xbac3ea54b4f9d5f9c7c0e0d8fdfc676bbfd630a"/>
      <w:r>
        <w:rPr>
          <w:rFonts w:ascii="Aptos Display" w:hAnsi="Aptos Display"/>
          <w:b/>
          <w:color w:val="174A2E"/>
          <w:sz w:val="21"/>
        </w:rPr>
        <w:t>11.6. Trazabilidad económica: el Excel como evidencia</w:t>
      </w:r>
      <w:bookmarkEnd w:id="90"/>
    </w:p>
    <w:p w14:paraId="7C6B25B1">
      <w:pPr>
        <w:pStyle w:val="23"/>
      </w:pPr>
      <w:r>
        <w:rPr>
          <w:rFonts w:ascii="Aptos" w:hAnsi="Aptos"/>
          <w:color w:val="1F2937"/>
          <w:sz w:val="21"/>
        </w:rPr>
        <w:t xml:space="preserve">Cada partida de inversión relevante se enlaza con su cadena </w:t>
      </w:r>
      <w:r>
        <w:rPr>
          <w:rStyle w:val="35"/>
          <w:rFonts w:ascii="Aptos" w:hAnsi="Aptos"/>
          <w:color w:val="1F2937"/>
          <w:sz w:val="21"/>
        </w:rPr>
        <w:t>Factura → Activo → Instalación → Uso → ROI → Amortización</w:t>
      </w:r>
      <w:r>
        <w:rPr>
          <w:rFonts w:ascii="Aptos" w:hAnsi="Aptos"/>
          <w:color w:val="1F2937"/>
          <w:sz w:val="21"/>
        </w:rPr>
        <w:t xml:space="preserve">, reflejada en la hoja </w:t>
      </w:r>
      <w:r>
        <w:rPr>
          <w:rFonts w:ascii="Aptos" w:hAnsi="Aptos"/>
          <w:b/>
          <w:i/>
          <w:color w:val="1F2937"/>
          <w:sz w:val="21"/>
        </w:rPr>
        <w:t>Trazabilidad_Economica</w:t>
      </w:r>
      <w:r>
        <w:rPr>
          <w:rFonts w:ascii="Aptos" w:hAnsi="Aptos"/>
          <w:color w:val="1F2937"/>
          <w:sz w:val="21"/>
        </w:rPr>
        <w:t xml:space="preserve"> del Plan Económico-Financiero. Así, el Excel deja de ser una hoja de cálculo y se convierte en </w:t>
      </w:r>
      <w:r>
        <w:rPr>
          <w:rFonts w:ascii="Aptos" w:hAnsi="Aptos"/>
          <w:b/>
          <w:color w:val="1F2937"/>
          <w:sz w:val="21"/>
        </w:rPr>
        <w:t>evidencia auditable</w:t>
      </w:r>
      <w:r>
        <w:rPr>
          <w:rFonts w:ascii="Aptos" w:hAnsi="Aptos"/>
          <w:color w:val="1F2937"/>
          <w:sz w:val="21"/>
        </w:rPr>
        <w:t xml:space="preserve"> de que cada euro solicitado tiene destino, activo y retorno trazables. Además, el </w:t>
      </w:r>
      <w:r>
        <w:rPr>
          <w:rFonts w:ascii="Aptos" w:hAnsi="Aptos"/>
          <w:b/>
          <w:color w:val="1F2937"/>
          <w:sz w:val="21"/>
        </w:rPr>
        <w:t>gasto histórico ya desembolsado</w:t>
      </w:r>
      <w:r>
        <w:rPr>
          <w:rFonts w:ascii="Aptos" w:hAnsi="Aptos"/>
          <w:color w:val="1F2937"/>
          <w:sz w:val="21"/>
        </w:rPr>
        <w:t xml:space="preserve"> (21/01–14/08/2026) queda acreditado con justificantes reales en el </w:t>
      </w:r>
      <w:r>
        <w:rPr>
          <w:rFonts w:ascii="Aptos" w:hAnsi="Aptos"/>
          <w:b/>
          <w:color w:val="1F2937"/>
          <w:sz w:val="21"/>
        </w:rPr>
        <w:t>Anexo G</w:t>
      </w:r>
      <w:r>
        <w:rPr>
          <w:rFonts w:ascii="Aptos" w:hAnsi="Aptos"/>
          <w:color w:val="1F2937"/>
          <w:sz w:val="21"/>
        </w:rPr>
        <w:t xml:space="preserve"> y en la hoja «Inversión Inicial» del Excel: </w:t>
      </w:r>
      <w:r>
        <w:rPr>
          <w:rFonts w:ascii="Aptos" w:hAnsi="Aptos"/>
          <w:b/>
          <w:color w:val="1F2937"/>
          <w:sz w:val="21"/>
        </w:rPr>
        <w:t>1.058,31 € + 21,42 USD</w:t>
      </w:r>
      <w:r>
        <w:rPr>
          <w:rFonts w:ascii="Aptos" w:hAnsi="Aptos"/>
          <w:color w:val="1F2937"/>
          <w:sz w:val="21"/>
        </w:rPr>
        <w:t xml:space="preserve"> de mínimo documental (IA, cloud, ciberseguridad, reparación, movilidad, Seguridad Social y tasa de marca en proceso de concesión), evidencia de compromiso y ejecución </w:t>
      </w:r>
      <w:r>
        <w:rPr>
          <w:rFonts w:ascii="Aptos" w:hAnsi="Aptos"/>
          <w:b/>
          <w:color w:val="1F2937"/>
          <w:sz w:val="21"/>
        </w:rPr>
        <w:t>separada</w:t>
      </w:r>
      <w:r>
        <w:rPr>
          <w:rFonts w:ascii="Aptos" w:hAnsi="Aptos"/>
          <w:color w:val="1F2937"/>
          <w:sz w:val="21"/>
        </w:rPr>
        <w:t xml:space="preserve"> del presupuesto futuro de la Fase 1.</w:t>
      </w:r>
    </w:p>
    <w:p w14:paraId="4955CCBA">
      <w:pPr>
        <w:pStyle w:val="4"/>
      </w:pPr>
      <w:bookmarkStart w:id="91" w:name="índice-global-de-trazabilidad-igt"/>
      <w:r>
        <w:rPr>
          <w:rFonts w:ascii="Aptos Display" w:hAnsi="Aptos Display"/>
          <w:b/>
          <w:color w:val="174A2E"/>
          <w:sz w:val="21"/>
        </w:rPr>
        <w:t>11.7. Índice Global de Trazabilidad (IGT)</w:t>
      </w:r>
      <w:bookmarkEnd w:id="91"/>
    </w:p>
    <w:p w14:paraId="6BB79B41">
      <w:pPr>
        <w:pStyle w:val="23"/>
      </w:pPr>
      <w:r>
        <w:rPr>
          <w:rFonts w:ascii="Aptos" w:hAnsi="Aptos"/>
          <w:b/>
          <w:color w:val="1F2937"/>
          <w:sz w:val="21"/>
        </w:rPr>
        <w:t>Definición (método propio, declarado):</w:t>
      </w:r>
      <w:r>
        <w:rPr>
          <w:rFonts w:ascii="Aptos" w:hAnsi="Aptos"/>
          <w:color w:val="1F2937"/>
          <w:sz w:val="21"/>
        </w:rPr>
        <w:t xml:space="preserve"> el IGT mide el </w:t>
      </w:r>
      <w:r>
        <w:rPr>
          <w:rFonts w:ascii="Aptos" w:hAnsi="Aptos"/>
          <w:b/>
          <w:color w:val="1F2937"/>
          <w:sz w:val="21"/>
        </w:rPr>
        <w:t>porcentaje de afirmaciones y requisitos del plan respaldados por evidencia verificable</w:t>
      </w:r>
      <w:r>
        <w:rPr>
          <w:rFonts w:ascii="Aptos" w:hAnsi="Aptos"/>
          <w:color w:val="1F2937"/>
          <w:sz w:val="21"/>
        </w:rPr>
        <w:t>, ponderado por área. No es un estándar oficial ni una certificación externa; es un indicador interno de gestión de la credibilidad.</w:t>
      </w:r>
    </w:p>
    <w:tbl>
      <w:tblPr>
        <w:tblStyle w:val="28"/>
        <w:tblW w:w="9360" w:type="dxa"/>
        <w:jc w:val="center"/>
        <w:tblInd w:w="0" w:type="dxa"/>
        <w:tblLayout w:type="fixed"/>
        <w:tblCellMar>
          <w:top w:w="0" w:type="dxa"/>
          <w:left w:w="108" w:type="dxa"/>
          <w:bottom w:w="0" w:type="dxa"/>
          <w:right w:w="108" w:type="dxa"/>
        </w:tblCellMar>
      </w:tblPr>
      <w:tblGrid>
        <w:gridCol w:w="4680"/>
        <w:gridCol w:w="4680"/>
      </w:tblGrid>
      <w:tr w14:paraId="246D4543">
        <w:tblPrEx>
          <w:tblCellMar>
            <w:top w:w="0" w:type="dxa"/>
            <w:left w:w="108" w:type="dxa"/>
            <w:bottom w:w="0" w:type="dxa"/>
            <w:right w:w="108" w:type="dxa"/>
          </w:tblCellMar>
        </w:tblPrEx>
        <w:tc>
          <w:tcPr>
            <w:tcW w:w="4680" w:type="dxa"/>
            <w:tcBorders>
              <w:bottom w:val="single" w:color="auto" w:sz="0" w:space="0"/>
            </w:tcBorders>
            <w:vAlign w:val="bottom"/>
          </w:tcPr>
          <w:p w14:paraId="7CD2C1B2">
            <w:pPr>
              <w:pStyle w:val="24"/>
              <w:spacing w:after="0"/>
              <w:jc w:val="left"/>
            </w:pPr>
            <w:r>
              <w:rPr>
                <w:rFonts w:ascii="Aptos" w:hAnsi="Aptos"/>
                <w:color w:val="1F2937"/>
                <w:sz w:val="18"/>
              </w:rPr>
              <w:t>Área</w:t>
            </w:r>
          </w:p>
        </w:tc>
        <w:tc>
          <w:tcPr>
            <w:tcW w:w="4680" w:type="dxa"/>
            <w:tcBorders>
              <w:bottom w:val="single" w:color="auto" w:sz="0" w:space="0"/>
            </w:tcBorders>
            <w:vAlign w:val="bottom"/>
          </w:tcPr>
          <w:p w14:paraId="68BF4A55">
            <w:pPr>
              <w:pStyle w:val="24"/>
              <w:spacing w:after="0"/>
              <w:jc w:val="right"/>
            </w:pPr>
            <w:r>
              <w:rPr>
                <w:rFonts w:ascii="Aptos" w:hAnsi="Aptos"/>
                <w:color w:val="1F2937"/>
                <w:sz w:val="18"/>
              </w:rPr>
              <w:t>Cobertura objetivo (tras G1)</w:t>
            </w:r>
          </w:p>
        </w:tc>
      </w:tr>
      <w:tr w14:paraId="45F9C582">
        <w:tblPrEx>
          <w:tblCellMar>
            <w:top w:w="0" w:type="dxa"/>
            <w:left w:w="108" w:type="dxa"/>
            <w:bottom w:w="0" w:type="dxa"/>
            <w:right w:w="108" w:type="dxa"/>
          </w:tblCellMar>
        </w:tblPrEx>
        <w:tc>
          <w:p w14:paraId="29EAADCC">
            <w:pPr>
              <w:pStyle w:val="24"/>
              <w:spacing w:after="0"/>
              <w:jc w:val="left"/>
            </w:pPr>
            <w:r>
              <w:rPr>
                <w:rFonts w:ascii="Aptos" w:hAnsi="Aptos"/>
                <w:color w:val="1F2937"/>
                <w:sz w:val="18"/>
              </w:rPr>
              <w:t>Técnica</w:t>
            </w:r>
          </w:p>
        </w:tc>
        <w:tc>
          <w:p w14:paraId="43953FD7">
            <w:pPr>
              <w:pStyle w:val="24"/>
              <w:spacing w:after="0"/>
              <w:jc w:val="right"/>
            </w:pPr>
            <w:r>
              <w:rPr>
                <w:rFonts w:ascii="Aptos" w:hAnsi="Aptos"/>
                <w:color w:val="1F2937"/>
                <w:sz w:val="18"/>
              </w:rPr>
              <w:t>100 %</w:t>
            </w:r>
          </w:p>
        </w:tc>
      </w:tr>
      <w:tr w14:paraId="0663237C">
        <w:tblPrEx>
          <w:tblCellMar>
            <w:top w:w="0" w:type="dxa"/>
            <w:left w:w="108" w:type="dxa"/>
            <w:bottom w:w="0" w:type="dxa"/>
            <w:right w:w="108" w:type="dxa"/>
          </w:tblCellMar>
        </w:tblPrEx>
        <w:tc>
          <w:p w14:paraId="173D315E">
            <w:pPr>
              <w:pStyle w:val="24"/>
              <w:spacing w:after="0"/>
              <w:jc w:val="left"/>
            </w:pPr>
            <w:r>
              <w:rPr>
                <w:rFonts w:ascii="Aptos" w:hAnsi="Aptos"/>
                <w:color w:val="1F2937"/>
                <w:sz w:val="18"/>
              </w:rPr>
              <w:t>Seguridad</w:t>
            </w:r>
          </w:p>
        </w:tc>
        <w:tc>
          <w:p w14:paraId="1BDDB62B">
            <w:pPr>
              <w:pStyle w:val="24"/>
              <w:spacing w:after="0"/>
              <w:jc w:val="right"/>
            </w:pPr>
            <w:r>
              <w:rPr>
                <w:rFonts w:ascii="Aptos" w:hAnsi="Aptos"/>
                <w:color w:val="1F2937"/>
                <w:sz w:val="18"/>
              </w:rPr>
              <w:t>100 %</w:t>
            </w:r>
          </w:p>
        </w:tc>
      </w:tr>
      <w:tr w14:paraId="331862CA">
        <w:tblPrEx>
          <w:tblCellMar>
            <w:top w:w="0" w:type="dxa"/>
            <w:left w:w="108" w:type="dxa"/>
            <w:bottom w:w="0" w:type="dxa"/>
            <w:right w:w="108" w:type="dxa"/>
          </w:tblCellMar>
        </w:tblPrEx>
        <w:tc>
          <w:p w14:paraId="55E8813D">
            <w:pPr>
              <w:pStyle w:val="24"/>
              <w:spacing w:after="0"/>
              <w:jc w:val="left"/>
            </w:pPr>
            <w:r>
              <w:rPr>
                <w:rFonts w:ascii="Aptos" w:hAnsi="Aptos"/>
                <w:color w:val="1F2937"/>
                <w:sz w:val="18"/>
              </w:rPr>
              <w:t>Medioambiental</w:t>
            </w:r>
          </w:p>
        </w:tc>
        <w:tc>
          <w:p w14:paraId="6D38F304">
            <w:pPr>
              <w:pStyle w:val="24"/>
              <w:spacing w:after="0"/>
              <w:jc w:val="right"/>
            </w:pPr>
            <w:r>
              <w:rPr>
                <w:rFonts w:ascii="Aptos" w:hAnsi="Aptos"/>
                <w:color w:val="1F2937"/>
                <w:sz w:val="18"/>
              </w:rPr>
              <w:t>98 %</w:t>
            </w:r>
          </w:p>
        </w:tc>
      </w:tr>
      <w:tr w14:paraId="3A0A1A0C">
        <w:tblPrEx>
          <w:tblCellMar>
            <w:top w:w="0" w:type="dxa"/>
            <w:left w:w="108" w:type="dxa"/>
            <w:bottom w:w="0" w:type="dxa"/>
            <w:right w:w="108" w:type="dxa"/>
          </w:tblCellMar>
        </w:tblPrEx>
        <w:tc>
          <w:p w14:paraId="7E8702C3">
            <w:pPr>
              <w:pStyle w:val="24"/>
              <w:spacing w:after="0"/>
              <w:jc w:val="left"/>
            </w:pPr>
            <w:r>
              <w:rPr>
                <w:rFonts w:ascii="Aptos" w:hAnsi="Aptos"/>
                <w:color w:val="1F2937"/>
                <w:sz w:val="18"/>
              </w:rPr>
              <w:t>Gobernanza</w:t>
            </w:r>
          </w:p>
        </w:tc>
        <w:tc>
          <w:p w14:paraId="65EC143D">
            <w:pPr>
              <w:pStyle w:val="24"/>
              <w:spacing w:after="0"/>
              <w:jc w:val="right"/>
            </w:pPr>
            <w:r>
              <w:rPr>
                <w:rFonts w:ascii="Aptos" w:hAnsi="Aptos"/>
                <w:color w:val="1F2937"/>
                <w:sz w:val="18"/>
              </w:rPr>
              <w:t>97 %</w:t>
            </w:r>
          </w:p>
        </w:tc>
      </w:tr>
      <w:tr w14:paraId="63461B84">
        <w:tblPrEx>
          <w:tblCellMar>
            <w:top w:w="0" w:type="dxa"/>
            <w:left w:w="108" w:type="dxa"/>
            <w:bottom w:w="0" w:type="dxa"/>
            <w:right w:w="108" w:type="dxa"/>
          </w:tblCellMar>
        </w:tblPrEx>
        <w:tc>
          <w:p w14:paraId="59CBA879">
            <w:pPr>
              <w:pStyle w:val="24"/>
              <w:spacing w:after="0"/>
              <w:jc w:val="left"/>
            </w:pPr>
            <w:r>
              <w:rPr>
                <w:rFonts w:ascii="Aptos" w:hAnsi="Aptos"/>
                <w:color w:val="1F2937"/>
                <w:sz w:val="18"/>
              </w:rPr>
              <w:t>Financiera</w:t>
            </w:r>
          </w:p>
        </w:tc>
        <w:tc>
          <w:p w14:paraId="64D03761">
            <w:pPr>
              <w:pStyle w:val="24"/>
              <w:spacing w:after="0"/>
              <w:jc w:val="right"/>
            </w:pPr>
            <w:r>
              <w:rPr>
                <w:rFonts w:ascii="Aptos" w:hAnsi="Aptos"/>
                <w:color w:val="1F2937"/>
                <w:sz w:val="18"/>
              </w:rPr>
              <w:t>96 %</w:t>
            </w:r>
          </w:p>
        </w:tc>
      </w:tr>
      <w:tr w14:paraId="1080EF46">
        <w:tblPrEx>
          <w:tblCellMar>
            <w:top w:w="0" w:type="dxa"/>
            <w:left w:w="108" w:type="dxa"/>
            <w:bottom w:w="0" w:type="dxa"/>
            <w:right w:w="108" w:type="dxa"/>
          </w:tblCellMar>
        </w:tblPrEx>
        <w:tc>
          <w:p w14:paraId="47876F86">
            <w:pPr>
              <w:pStyle w:val="24"/>
              <w:spacing w:after="0"/>
              <w:jc w:val="left"/>
            </w:pPr>
            <w:r>
              <w:rPr>
                <w:rFonts w:ascii="Aptos" w:hAnsi="Aptos"/>
                <w:color w:val="1F2937"/>
                <w:sz w:val="18"/>
              </w:rPr>
              <w:t>Social</w:t>
            </w:r>
          </w:p>
        </w:tc>
        <w:tc>
          <w:p w14:paraId="622FE2B8">
            <w:pPr>
              <w:pStyle w:val="24"/>
              <w:spacing w:after="0"/>
              <w:jc w:val="right"/>
            </w:pPr>
            <w:r>
              <w:rPr>
                <w:rFonts w:ascii="Aptos" w:hAnsi="Aptos"/>
                <w:color w:val="1F2937"/>
                <w:sz w:val="18"/>
              </w:rPr>
              <w:t>95 %</w:t>
            </w:r>
          </w:p>
        </w:tc>
      </w:tr>
      <w:tr w14:paraId="02A2EA9C">
        <w:tblPrEx>
          <w:tblCellMar>
            <w:top w:w="0" w:type="dxa"/>
            <w:left w:w="108" w:type="dxa"/>
            <w:bottom w:w="0" w:type="dxa"/>
            <w:right w:w="108" w:type="dxa"/>
          </w:tblCellMar>
        </w:tblPrEx>
        <w:tc>
          <w:p w14:paraId="1CC8753B">
            <w:pPr>
              <w:pStyle w:val="24"/>
              <w:spacing w:after="0"/>
              <w:jc w:val="left"/>
            </w:pPr>
            <w:r>
              <w:rPr>
                <w:rFonts w:ascii="Aptos" w:hAnsi="Aptos"/>
                <w:color w:val="1F2937"/>
                <w:sz w:val="18"/>
              </w:rPr>
              <w:t>IA</w:t>
            </w:r>
          </w:p>
        </w:tc>
        <w:tc>
          <w:p w14:paraId="3DC1FA7A">
            <w:pPr>
              <w:pStyle w:val="24"/>
              <w:spacing w:after="0"/>
              <w:jc w:val="right"/>
            </w:pPr>
            <w:r>
              <w:rPr>
                <w:rFonts w:ascii="Aptos" w:hAnsi="Aptos"/>
                <w:color w:val="1F2937"/>
                <w:sz w:val="18"/>
              </w:rPr>
              <w:t>93 %</w:t>
            </w:r>
          </w:p>
        </w:tc>
      </w:tr>
      <w:tr w14:paraId="58EE3D95">
        <w:tblPrEx>
          <w:tblCellMar>
            <w:top w:w="0" w:type="dxa"/>
            <w:left w:w="108" w:type="dxa"/>
            <w:bottom w:w="0" w:type="dxa"/>
            <w:right w:w="108" w:type="dxa"/>
          </w:tblCellMar>
        </w:tblPrEx>
        <w:tc>
          <w:p w14:paraId="5220CA70">
            <w:pPr>
              <w:pStyle w:val="24"/>
              <w:spacing w:after="0"/>
              <w:jc w:val="left"/>
            </w:pPr>
            <w:r>
              <w:rPr>
                <w:rFonts w:ascii="Aptos" w:hAnsi="Aptos"/>
                <w:color w:val="1F2937"/>
                <w:sz w:val="18"/>
              </w:rPr>
              <w:t>Jurídica</w:t>
            </w:r>
          </w:p>
        </w:tc>
        <w:tc>
          <w:p w14:paraId="532B5292">
            <w:pPr>
              <w:pStyle w:val="24"/>
              <w:spacing w:after="0"/>
              <w:jc w:val="right"/>
            </w:pPr>
            <w:r>
              <w:rPr>
                <w:rFonts w:ascii="Aptos" w:hAnsi="Aptos"/>
                <w:color w:val="1F2937"/>
                <w:sz w:val="18"/>
              </w:rPr>
              <w:t>92 %</w:t>
            </w:r>
          </w:p>
        </w:tc>
      </w:tr>
      <w:tr w14:paraId="000B0249">
        <w:tblPrEx>
          <w:tblCellMar>
            <w:top w:w="0" w:type="dxa"/>
            <w:left w:w="108" w:type="dxa"/>
            <w:bottom w:w="0" w:type="dxa"/>
            <w:right w:w="108" w:type="dxa"/>
          </w:tblCellMar>
        </w:tblPrEx>
        <w:tc>
          <w:p w14:paraId="4D751237">
            <w:pPr>
              <w:pStyle w:val="24"/>
              <w:spacing w:after="0"/>
              <w:jc w:val="left"/>
            </w:pPr>
            <w:r>
              <w:rPr>
                <w:rFonts w:ascii="Aptos" w:hAnsi="Aptos"/>
                <w:b/>
                <w:color w:val="1F2937"/>
                <w:sz w:val="18"/>
              </w:rPr>
              <w:t>Índice Global de Trazabilidad (IGT) objetivo</w:t>
            </w:r>
          </w:p>
        </w:tc>
        <w:tc>
          <w:p w14:paraId="24C0A1C0">
            <w:pPr>
              <w:pStyle w:val="24"/>
              <w:spacing w:after="0"/>
              <w:jc w:val="right"/>
            </w:pPr>
            <w:r>
              <w:rPr>
                <w:rFonts w:ascii="Aptos" w:hAnsi="Aptos"/>
                <w:b/>
                <w:color w:val="1F2937"/>
                <w:sz w:val="18"/>
              </w:rPr>
              <w:t>96,4 %</w:t>
            </w:r>
          </w:p>
        </w:tc>
      </w:tr>
    </w:tbl>
    <w:p w14:paraId="62E46E72">
      <w:pPr>
        <w:pStyle w:val="3"/>
      </w:pPr>
      <w:r>
        <w:rPr>
          <w:rFonts w:ascii="Aptos" w:hAnsi="Aptos"/>
          <w:b/>
          <w:color w:val="1F2937"/>
          <w:sz w:val="21"/>
        </w:rPr>
        <w:t>Honestidad del IGT.</w:t>
      </w:r>
      <w:r>
        <w:rPr>
          <w:rFonts w:ascii="Aptos" w:hAnsi="Aptos"/>
          <w:color w:val="1F2937"/>
          <w:sz w:val="21"/>
        </w:rPr>
        <w:t xml:space="preserve"> El valor </w:t>
      </w:r>
      <w:r>
        <w:rPr>
          <w:rFonts w:ascii="Aptos" w:hAnsi="Aptos"/>
          <w:b/>
          <w:color w:val="1F2937"/>
          <w:sz w:val="21"/>
        </w:rPr>
        <w:t>96,4 %</w:t>
      </w:r>
      <w:r>
        <w:rPr>
          <w:rFonts w:ascii="Aptos" w:hAnsi="Aptos"/>
          <w:color w:val="1F2937"/>
          <w:sz w:val="21"/>
        </w:rPr>
        <w:t xml:space="preserve"> es el </w:t>
      </w:r>
      <w:r>
        <w:rPr>
          <w:rFonts w:ascii="Aptos" w:hAnsi="Aptos"/>
          <w:b/>
          <w:color w:val="1F2937"/>
          <w:sz w:val="21"/>
        </w:rPr>
        <w:t>objetivo tras cerrar G1</w:t>
      </w:r>
      <w:r>
        <w:rPr>
          <w:rFonts w:ascii="Aptos" w:hAnsi="Aptos"/>
          <w:color w:val="1F2937"/>
          <w:sz w:val="21"/>
        </w:rPr>
        <w:t xml:space="preserve">, cuando los artefactos estén sellados. La cobertura </w:t>
      </w:r>
      <w:r>
        <w:rPr>
          <w:rFonts w:ascii="Aptos" w:hAnsi="Aptos"/>
          <w:i/>
          <w:color w:val="1F2937"/>
          <w:sz w:val="21"/>
        </w:rPr>
        <w:t>actual</w:t>
      </w:r>
      <w:r>
        <w:rPr>
          <w:rFonts w:ascii="Aptos" w:hAnsi="Aptos"/>
          <w:color w:val="1F2937"/>
          <w:sz w:val="21"/>
        </w:rPr>
        <w:t xml:space="preserve"> (evidencia ya sellada) es inferior y crece a medida que se publican los artefactos; el IGT vigente se recalcula y publica en </w:t>
      </w:r>
      <w:r>
        <w:rPr>
          <w:rStyle w:val="35"/>
          <w:rFonts w:ascii="Aptos" w:hAnsi="Aptos"/>
          <w:color w:val="1F2937"/>
          <w:sz w:val="21"/>
        </w:rPr>
        <w:t>sev/</w:t>
      </w:r>
      <w:r>
        <w:rPr>
          <w:rFonts w:ascii="Aptos" w:hAnsi="Aptos"/>
          <w:color w:val="1F2937"/>
          <w:sz w:val="21"/>
        </w:rPr>
        <w:t xml:space="preserve"> en cada hito. Se presenta como </w:t>
      </w:r>
      <w:r>
        <w:rPr>
          <w:rFonts w:ascii="Aptos" w:hAnsi="Aptos"/>
          <w:b/>
          <w:color w:val="1F2937"/>
          <w:sz w:val="21"/>
        </w:rPr>
        <w:t>índice propio</w:t>
      </w:r>
      <w:r>
        <w:rPr>
          <w:rFonts w:ascii="Aptos" w:hAnsi="Aptos"/>
          <w:color w:val="1F2937"/>
          <w:sz w:val="21"/>
        </w:rPr>
        <w:t xml:space="preserve"> para no dar impresión de certificación externa.</w:t>
      </w:r>
    </w:p>
    <w:p w14:paraId="542A7463">
      <w:pPr>
        <w:pStyle w:val="2"/>
      </w:pPr>
      <w:bookmarkStart w:id="92" w:name="Xbd09539b666b9d50b149f8989cee72ac722c972"/>
      <w:r>
        <w:rPr>
          <w:rFonts w:ascii="Aptos Display" w:hAnsi="Aptos Display"/>
          <w:b/>
          <w:color w:val="174A2E"/>
          <w:sz w:val="21"/>
        </w:rPr>
        <w:t>Cierre: coherencia memoria–Excel y compromiso</w:t>
      </w:r>
      <w:bookmarkEnd w:id="92"/>
    </w:p>
    <w:p w14:paraId="0FE05EAB">
      <w:pPr>
        <w:pStyle w:val="23"/>
      </w:pPr>
      <w:r>
        <w:t>Nota de auditoría financiera (v5.6). Correcciones aplicadas para representar la situación real con honestidad: (1) caja propia inicial 0 € (eliminado el antiguo «70.000 € recursos propios» y «95.000 € deuda disponible»); (2) ayudas 18.000 € + ≈2.700 € en trámite, no computadas como caja; (3) los 180.000 € de F1 central son necesidad de financiación a captar; el Excel incorpora este importe únicamente como escenario financiero sujeto a formalización y desembolso documental; (4) RCN 420.000 € separado de caja, financiación e ingresos, y sin capital social ficticio (retirada la aportación en especie del balance hasta su formalización) — esto corrige además la amortización, que pasa de un erróneo 90.000 € (base I+D inflada a 450.000 €) a 11.746,07 €/año (I+D 30.000 × 20 % + aplicaciones 47.250 × 10 % + marca 210,72 × 10 %); (5) el flujo de caja del Excel se presenta como escenario proforma condicionado a concesión y desembolso de 180.000 €; la situación documental real mantiene financiación cobrada = 0 € y caja propia inicial = 0 €; (6) gasto histórico 1.058,31 € + 21,42 USD (incluida la tasa de marca 210,72 € en proceso), separado del presupuesto de F1; (7) envolvente CAPEX futura única prudente 5,14 / central 6,26 / techo 7,46 M€ (sin rangos paralelos).</w:t>
      </w:r>
    </w:p>
    <w:p w14:paraId="07341368">
      <w:pPr>
        <w:pStyle w:val="3"/>
      </w:pPr>
      <w:r>
        <w:t>Checks de reconciliación (memoria = Excel). F1 prudente 165.000 € · central 180.000 € · techo 195.000 € · caja propia inicial 0 € · ayudas en trámite 18.000 € + ≈2.700 € (no caja) · RCN 420.000 € (separado de caja) · gasto histórico 1.058,31 € + 21,42 USD · incidente malware 268,60 € · CAPEX visión central 6.260.000 € · Balance proforma matemáticamente cuadrado, pendiente de validación documental de financiación, aportaciones y obligaciones; no equivale al balance real de una sociedad constituida; la financiación sigue identificada como pendiente de formalización y no se considera caja propia · 0 errores en el Excel · amortización 11.746,07 €/año.</w:t>
      </w:r>
    </w:p>
    <w:p w14:paraId="046EA121">
      <w:pPr>
        <w:pStyle w:val="3"/>
      </w:pPr>
      <w:r>
        <w:rPr>
          <w:rFonts w:ascii="Aptos" w:hAnsi="Aptos"/>
          <w:b/>
          <w:color w:val="1F2937"/>
          <w:sz w:val="21"/>
        </w:rPr>
        <w:t>Conformidad PIE PLUS 2026 (Diputación de Cáceres).</w:t>
      </w:r>
      <w:r>
        <w:rPr>
          <w:rFonts w:ascii="Aptos" w:hAnsi="Aptos"/>
          <w:color w:val="1F2937"/>
          <w:sz w:val="21"/>
        </w:rPr>
        <w:t xml:space="preserve"> Alineado con las bases reguladoras XIII edición (BOP-2026-962, extracto BOP-2026-964; segundo plazo BOP-2026-1738). El plazo de la XIII edición finalizó el 20/05/2026; este documento es la </w:t>
      </w:r>
      <w:r>
        <w:rPr>
          <w:rFonts w:ascii="Aptos" w:hAnsi="Aptos"/>
          <w:b/>
          <w:color w:val="1F2937"/>
          <w:sz w:val="21"/>
        </w:rPr>
        <w:t>versión actualizada del Plan de Empresa correspondiente al expediente PIE PLUS 2026</w:t>
      </w:r>
      <w:r>
        <w:rPr>
          <w:rFonts w:ascii="Aptos" w:hAnsi="Aptos"/>
          <w:color w:val="1F2937"/>
          <w:sz w:val="21"/>
        </w:rPr>
        <w:t>. Plan de Empresa Descriptivo + Plan Económico-Financiero oficial = fuente del expediente; anexos técnicos y SEV = evidencia complementaria. No se presentan como hechos: financiación no concedida, ayudas solicitadas, aportaciones societarias no formalizadas, clientes no contratados, convenios no firmados ni certificaciones no obtenidas.</w:t>
      </w:r>
    </w:p>
    <w:p w14:paraId="4513C41A">
      <w:pPr>
        <w:pStyle w:val="3"/>
      </w:pPr>
      <w:r>
        <w:rPr>
          <w:rFonts w:ascii="Aptos" w:hAnsi="Aptos"/>
          <w:color w:val="1F2937"/>
          <w:sz w:val="21"/>
        </w:rPr>
        <w:t xml:space="preserve">Este Plan de Empresa mantiene la coherencia que exige el programa: cada puesto de trabajo del §8.1 figura con su coste en el Plan Económico-Financiero; cada vía de ingresos del §4 tiene su línea de facturación; y los rangos son coherentes entre memoria y Excel estructurado: </w:t>
      </w:r>
      <w:r>
        <w:rPr>
          <w:rFonts w:ascii="Aptos" w:hAnsi="Aptos"/>
          <w:b/>
          <w:color w:val="1F2937"/>
          <w:sz w:val="21"/>
        </w:rPr>
        <w:t>Fase 1 de consolidación 165.000–195.000 € (central 180.000 €)</w:t>
      </w:r>
      <w:r>
        <w:rPr>
          <w:rFonts w:ascii="Aptos" w:hAnsi="Aptos"/>
          <w:color w:val="1F2937"/>
          <w:sz w:val="21"/>
        </w:rPr>
        <w:t xml:space="preserve">; </w:t>
      </w:r>
      <w:r>
        <w:rPr>
          <w:rFonts w:ascii="Aptos" w:hAnsi="Aptos"/>
          <w:b/>
          <w:color w:val="1F2937"/>
          <w:sz w:val="21"/>
        </w:rPr>
        <w:t>inversiones futuras condicionadas: prudente 5,14 / central 6,26 / techo 7,46 M€</w:t>
      </w:r>
      <w:r>
        <w:rPr>
          <w:rFonts w:ascii="Aptos" w:hAnsi="Aptos"/>
          <w:color w:val="1F2937"/>
          <w:sz w:val="21"/>
        </w:rPr>
        <w:t xml:space="preserve"> (Plano C, no arranque; §4.3.6); </w:t>
      </w:r>
      <w:r>
        <w:rPr>
          <w:rFonts w:ascii="Aptos" w:hAnsi="Aptos"/>
          <w:b/>
          <w:color w:val="1F2937"/>
          <w:sz w:val="21"/>
        </w:rPr>
        <w:t>recursos propios dinerarios 0 €</w:t>
      </w:r>
      <w:r>
        <w:rPr>
          <w:rFonts w:ascii="Aptos" w:hAnsi="Aptos"/>
          <w:color w:val="1F2937"/>
          <w:sz w:val="21"/>
        </w:rPr>
        <w:t xml:space="preserve"> y financiación de F1 (180.000 €) </w:t>
      </w:r>
      <w:r>
        <w:rPr>
          <w:rFonts w:ascii="Aptos" w:hAnsi="Aptos"/>
          <w:b/>
          <w:color w:val="1F2937"/>
          <w:sz w:val="21"/>
        </w:rPr>
        <w:t>a captar</w:t>
      </w:r>
      <w:r>
        <w:rPr>
          <w:rFonts w:ascii="Aptos" w:hAnsi="Aptos"/>
          <w:color w:val="1F2937"/>
          <w:sz w:val="21"/>
        </w:rPr>
        <w:t xml:space="preserve">; ayudas de 18.000 € y ≈2.700 € </w:t>
      </w:r>
      <w:r>
        <w:rPr>
          <w:rFonts w:ascii="Aptos" w:hAnsi="Aptos"/>
          <w:b/>
          <w:color w:val="1F2937"/>
          <w:sz w:val="21"/>
        </w:rPr>
        <w:t>en trámite, no computadas como caja</w:t>
      </w:r>
      <w:r>
        <w:rPr>
          <w:rFonts w:ascii="Aptos" w:hAnsi="Aptos"/>
          <w:color w:val="1F2937"/>
          <w:sz w:val="21"/>
        </w:rPr>
        <w:t xml:space="preserve">; activo tecnológico </w:t>
      </w:r>
      <w:r>
        <w:rPr>
          <w:rFonts w:ascii="Aptos" w:hAnsi="Aptos"/>
          <w:b/>
          <w:color w:val="1F2937"/>
          <w:sz w:val="21"/>
        </w:rPr>
        <w:t>420.000 €</w:t>
      </w:r>
      <w:r>
        <w:rPr>
          <w:rFonts w:ascii="Aptos" w:hAnsi="Aptos"/>
          <w:color w:val="1F2937"/>
          <w:sz w:val="21"/>
        </w:rPr>
        <w:t xml:space="preserve"> (valoración técnica RCN, separada del CAPEX y de la caja, </w:t>
      </w:r>
      <w:r>
        <w:rPr>
          <w:rFonts w:ascii="Aptos" w:hAnsi="Aptos"/>
          <w:b/>
          <w:color w:val="1F2937"/>
          <w:sz w:val="21"/>
        </w:rPr>
        <w:t>sin formalización societaria</w:t>
      </w:r>
      <w:r>
        <w:rPr>
          <w:rFonts w:ascii="Aptos" w:hAnsi="Aptos"/>
          <w:color w:val="1F2937"/>
          <w:sz w:val="21"/>
        </w:rPr>
        <w:t xml:space="preserve">); deuda con la Seguridad Social como pasivo/riesgo de liquidez; ninguna ayuda no cobrada computa como caja. Toda hipótesis pendiente está declarada junto con el ensayo que la validará. El </w:t>
      </w:r>
      <w:r>
        <w:rPr>
          <w:rFonts w:ascii="Aptos" w:hAnsi="Aptos"/>
          <w:b/>
          <w:color w:val="1F2937"/>
          <w:sz w:val="21"/>
        </w:rPr>
        <w:t>activo tecnológico ya desarrollado</w:t>
      </w:r>
      <w:r>
        <w:rPr>
          <w:rFonts w:ascii="Aptos" w:hAnsi="Aptos"/>
          <w:color w:val="1F2937"/>
          <w:sz w:val="21"/>
        </w:rPr>
        <w:t xml:space="preserve"> (repositorio </w:t>
      </w:r>
      <w:r>
        <w:rPr>
          <w:rStyle w:val="35"/>
          <w:rFonts w:ascii="Aptos" w:hAnsi="Aptos"/>
          <w:color w:val="1F2937"/>
          <w:sz w:val="21"/>
        </w:rPr>
        <w:t>Castuo-system</w:t>
      </w:r>
      <w:r>
        <w:rPr>
          <w:rFonts w:ascii="Aptos" w:hAnsi="Aptos"/>
          <w:color w:val="1F2937"/>
          <w:sz w:val="21"/>
        </w:rPr>
        <w:t xml:space="preserve">, valorado en </w:t>
      </w:r>
      <w:r>
        <w:rPr>
          <w:rFonts w:ascii="Aptos" w:hAnsi="Aptos"/>
          <w:b/>
          <w:color w:val="1F2937"/>
          <w:sz w:val="21"/>
        </w:rPr>
        <w:t>420.000 €</w:t>
      </w:r>
      <w:r>
        <w:rPr>
          <w:rFonts w:ascii="Aptos" w:hAnsi="Aptos"/>
          <w:color w:val="1F2937"/>
          <w:sz w:val="21"/>
        </w:rPr>
        <w:t xml:space="preserve"> por coste de reposición nuevo; §3.8 y Anexo C) documenta un núcleo implementado con pruebas internas y candidato a TRL 6; TRL 7 queda condicionado a piloto y evidencia externa y su margen bruto del 72,9 % en el escenario base reconciliado.</w:t>
      </w:r>
    </w:p>
    <w:p w14:paraId="0855CA0A">
      <w:pPr>
        <w:pStyle w:val="3"/>
      </w:pPr>
      <w:r>
        <w:rPr>
          <w:rFonts w:ascii="Aptos" w:hAnsi="Aptos"/>
          <w:b/>
          <w:color w:val="1F2937"/>
          <w:sz w:val="21"/>
        </w:rPr>
        <w:t>La Fase 1 está diseñada para ser suficiente, no maximalista:</w:t>
      </w:r>
      <w:r>
        <w:rPr>
          <w:rFonts w:ascii="Aptos" w:hAnsi="Aptos"/>
          <w:color w:val="1F2937"/>
          <w:sz w:val="21"/>
        </w:rPr>
        <w:t xml:space="preserve"> suficiente para convertir el desarrollo existente en capacidad empresarial operativa; suficiente para alcanzar un nivel de seguridad y trazabilidad adecuado al mercado objetivo; suficiente para obtener la evidencia externa necesaria; y suficiente para validar el modelo comercial antes de comprometer la infraestructura de gran escala. </w:t>
      </w:r>
      <w:r>
        <w:rPr>
          <w:rFonts w:ascii="Aptos" w:hAnsi="Aptos"/>
          <w:b/>
          <w:color w:val="1F2937"/>
          <w:sz w:val="21"/>
        </w:rPr>
        <w:t>La financiación futura no se utiliza para justificar el arranque:</w:t>
      </w:r>
      <w:r>
        <w:rPr>
          <w:rFonts w:ascii="Aptos" w:hAnsi="Aptos"/>
          <w:color w:val="1F2937"/>
          <w:sz w:val="21"/>
        </w:rPr>
        <w:t xml:space="preserve"> cada nueva etapa debe financiarse y justificarse después de superar el Gate anterior.</w:t>
      </w:r>
    </w:p>
    <w:p w14:paraId="335F0ABA">
      <w:pPr>
        <w:pStyle w:val="3"/>
      </w:pPr>
      <w:r>
        <w:rPr>
          <w:rFonts w:ascii="Aptos" w:hAnsi="Aptos"/>
          <w:color w:val="1F2937"/>
          <w:sz w:val="21"/>
        </w:rPr>
        <w:t xml:space="preserve">Lo que este proyecto pide al PIE PLUS no es financiar una infraestructura: es </w:t>
      </w:r>
      <w:r>
        <w:rPr>
          <w:rFonts w:ascii="Aptos" w:hAnsi="Aptos"/>
          <w:b/>
          <w:color w:val="1F2937"/>
          <w:sz w:val="21"/>
        </w:rPr>
        <w:t>reconocer y catalizar una Fase 1 medible</w:t>
      </w:r>
      <w:r>
        <w:rPr>
          <w:rFonts w:ascii="Aptos" w:hAnsi="Aptos"/>
          <w:color w:val="1F2937"/>
          <w:sz w:val="21"/>
        </w:rPr>
        <w:t xml:space="preserve"> — un núcleo de software ya desarrollado, usuarios reales mediante acuerdos de colaboración y una cartera de validación en construcción hacia el criterio de G1 (≥5 clientes/pilotos remunerados, aún no alcanzado). </w:t>
      </w:r>
      <w:r>
        <w:rPr>
          <w:rFonts w:ascii="Aptos" w:hAnsi="Aptos"/>
          <w:i/>
          <w:color w:val="1F2937"/>
          <w:sz w:val="21"/>
        </w:rPr>
        <w:t>Primero probamos, medimos y validamos; después escalamos.</w:t>
      </w:r>
      <w:r>
        <w:rPr>
          <w:rFonts w:ascii="Aptos" w:hAnsi="Aptos"/>
          <w:color w:val="1F2937"/>
          <w:sz w:val="21"/>
        </w:rPr>
        <w:t xml:space="preserve"> </w:t>
      </w:r>
      <w:r>
        <w:rPr>
          <w:rFonts w:ascii="Aptos" w:hAnsi="Aptos"/>
          <w:b/>
          <w:color w:val="1F2937"/>
          <w:sz w:val="21"/>
        </w:rPr>
        <w:t>El objetivo de PIE PLUS no es financiar una infraestructura especulativa, sino demostrar que una empresa tecnológica rural ya construida puede convertirse en un negocio validado y replicable desde Membrío.</w:t>
      </w:r>
    </w:p>
    <w:p w14:paraId="7F3B391F">
      <w:pPr>
        <w:pStyle w:val="3"/>
      </w:pPr>
      <w:r>
        <w:rPr>
          <w:rFonts w:ascii="Aptos" w:hAnsi="Aptos"/>
          <w:color w:val="1F2937"/>
          <w:sz w:val="21"/>
        </w:rPr>
        <w:t xml:space="preserve">Documentación que acompaña a esta Memoria: </w:t>
      </w:r>
      <w:r>
        <w:rPr>
          <w:rFonts w:ascii="Aptos" w:hAnsi="Aptos"/>
          <w:b/>
          <w:color w:val="1F2937"/>
          <w:sz w:val="21"/>
        </w:rPr>
        <w:t>Plan Económico-Financiero (Excel, plantilla oficial PIE 2026 cumplimentada)</w:t>
      </w:r>
      <w:r>
        <w:rPr>
          <w:rFonts w:ascii="Aptos" w:hAnsi="Aptos"/>
          <w:color w:val="1F2937"/>
          <w:sz w:val="21"/>
        </w:rPr>
        <w:t xml:space="preserve"> · Memoria técnica sincronizada (22 págs.) · Dossier de referencia (10 págs.) · Guía operativa SEV F1 · Repositorio de evidencias </w:t>
      </w:r>
      <w:r>
        <w:rPr>
          <w:rStyle w:val="35"/>
          <w:rFonts w:ascii="Aptos" w:hAnsi="Aptos"/>
          <w:color w:val="1F2937"/>
          <w:sz w:val="21"/>
        </w:rPr>
        <w:t>sev/</w:t>
      </w:r>
      <w:r>
        <w:rPr>
          <w:rFonts w:ascii="Aptos" w:hAnsi="Aptos"/>
          <w:color w:val="1F2937"/>
          <w:sz w:val="21"/>
        </w:rPr>
        <w:t>.</w:t>
      </w:r>
    </w:p>
    <w:p w14:paraId="3B8BA1FB">
      <w:pPr>
        <w:pStyle w:val="2"/>
      </w:pPr>
      <w:bookmarkStart w:id="93" w:name="conclusión"/>
      <w:r>
        <w:rPr>
          <w:rFonts w:ascii="Aptos Display" w:hAnsi="Aptos Display"/>
          <w:b/>
          <w:color w:val="174A2E"/>
          <w:sz w:val="21"/>
        </w:rPr>
        <w:t>Conclusión</w:t>
      </w:r>
      <w:bookmarkEnd w:id="93"/>
    </w:p>
    <w:p w14:paraId="0372C7E7">
      <w:pPr>
        <w:pStyle w:val="23"/>
      </w:pPr>
      <w:r>
        <w:rPr>
          <w:rFonts w:ascii="Aptos" w:hAnsi="Aptos"/>
          <w:b/>
          <w:color w:val="1F2937"/>
          <w:sz w:val="21"/>
        </w:rPr>
        <w:t>Tesis.</w:t>
      </w:r>
      <w:r>
        <w:rPr>
          <w:rFonts w:ascii="Aptos" w:hAnsi="Aptos"/>
          <w:color w:val="1F2937"/>
          <w:sz w:val="21"/>
        </w:rPr>
        <w:t xml:space="preserve"> La Infraestructura Rural Inteligente es un patrón replicable que convierte un municipio pequeño en productor gestionado de alimento, energía y datos — y CASTÚO-SYSTEM™ lo presenta como un sistema de decisión auditable, no como una lista de capacidades.</w:t>
      </w:r>
    </w:p>
    <w:p w14:paraId="02D72ECC">
      <w:pPr>
        <w:pStyle w:val="3"/>
      </w:pPr>
      <w:r>
        <w:rPr>
          <w:rFonts w:ascii="Aptos" w:hAnsi="Aptos"/>
          <w:b/>
          <w:color w:val="1F2937"/>
          <w:sz w:val="21"/>
        </w:rPr>
        <w:t>Estado de madurez. IGM declarado pre-G1: T,D ≈ 2–3; O,C,F ≈ 1–2; R ≈ 1. Componentes comerciales objetivo; el sistema integrado se valida por Gates; el sistema integrado se valida por Gates.</w:t>
      </w:r>
      <w:r>
        <w:rPr>
          <w:rFonts w:ascii="Aptos" w:hAnsi="Aptos"/>
          <w:color w:val="1F2937"/>
          <w:sz w:val="21"/>
        </w:rPr>
      </w:r>
    </w:p>
    <w:p w14:paraId="78D12250">
      <w:pPr>
        <w:pStyle w:val="3"/>
      </w:pPr>
      <w:r>
        <w:rPr>
          <w:rFonts w:ascii="Aptos" w:hAnsi="Aptos"/>
          <w:b/>
          <w:color w:val="1F2937"/>
          <w:sz w:val="21"/>
        </w:rPr>
        <w:t>Qué se presenta al PIE PLUS.</w:t>
      </w:r>
      <w:r>
        <w:rPr>
          <w:rFonts w:ascii="Aptos" w:hAnsi="Aptos"/>
          <w:color w:val="1F2937"/>
          <w:sz w:val="21"/>
        </w:rPr>
        <w:t xml:space="preserve"> La </w:t>
      </w:r>
      <w:r>
        <w:rPr>
          <w:rFonts w:ascii="Aptos" w:hAnsi="Aptos"/>
          <w:b/>
          <w:color w:val="1F2937"/>
          <w:sz w:val="21"/>
        </w:rPr>
        <w:t>Fase 1</w:t>
      </w:r>
      <w:r>
        <w:rPr>
          <w:rFonts w:ascii="Aptos" w:hAnsi="Aptos"/>
          <w:color w:val="1F2937"/>
          <w:sz w:val="21"/>
        </w:rPr>
        <w:t xml:space="preserve"> de consolidación (</w:t>
      </w:r>
      <w:r>
        <w:rPr>
          <w:rFonts w:ascii="Aptos" w:hAnsi="Aptos"/>
          <w:b/>
          <w:color w:val="1F2937"/>
          <w:sz w:val="21"/>
        </w:rPr>
        <w:t>165.000–195.000 €, central 180.000 €</w:t>
      </w:r>
      <w:r>
        <w:rPr>
          <w:rFonts w:ascii="Aptos" w:hAnsi="Aptos"/>
          <w:color w:val="1F2937"/>
          <w:sz w:val="21"/>
        </w:rPr>
        <w:t xml:space="preserve">): endurecimiento del SaaS, seguridad, cumplimiento condicionado, refuerzo GaiaChain/TRAZALIA, validación comercial con usuarios reales, los ensayos críticos previos a obra (módulo de terracota ≈100 m², TRT, pilotos) y la capa de evidencias que los hace verificables. El PIE PLUS actúa como </w:t>
      </w:r>
      <w:r>
        <w:rPr>
          <w:rFonts w:ascii="Aptos" w:hAnsi="Aptos"/>
          <w:b/>
          <w:color w:val="1F2937"/>
          <w:sz w:val="21"/>
        </w:rPr>
        <w:t>catalizador</w:t>
      </w:r>
      <w:r>
        <w:rPr>
          <w:rFonts w:ascii="Aptos" w:hAnsi="Aptos"/>
          <w:color w:val="1F2937"/>
          <w:sz w:val="21"/>
        </w:rPr>
        <w:t>; su dotación no se computa en el modelo financiero.</w:t>
      </w:r>
    </w:p>
    <w:p w14:paraId="46783830">
      <w:pPr>
        <w:pStyle w:val="3"/>
      </w:pPr>
      <w:r>
        <w:rPr>
          <w:rFonts w:ascii="Aptos" w:hAnsi="Aptos"/>
          <w:b/>
          <w:color w:val="1F2937"/>
          <w:sz w:val="21"/>
        </w:rPr>
        <w:t>Por qué la Fase 1 reduce riesgo.</w:t>
      </w:r>
      <w:r>
        <w:rPr>
          <w:rFonts w:ascii="Aptos" w:hAnsi="Aptos"/>
          <w:color w:val="1F2937"/>
          <w:sz w:val="21"/>
        </w:rPr>
        <w:t xml:space="preserve"> La primera inversión es pequeña frente al sistema completo (≈2,6 % de la envolvente ≈6,26 M€) </w:t>
      </w:r>
      <w:r>
        <w:rPr>
          <w:rFonts w:ascii="Aptos" w:hAnsi="Aptos"/>
          <w:b/>
          <w:color w:val="1F2937"/>
          <w:sz w:val="21"/>
        </w:rPr>
        <w:t>porque compra información, validación y mercado antes de comprar hormigón, perforaciones y paneles</w:t>
      </w:r>
      <w:r>
        <w:rPr>
          <w:rFonts w:ascii="Aptos" w:hAnsi="Aptos"/>
          <w:color w:val="1F2937"/>
          <w:sz w:val="21"/>
        </w:rPr>
        <w:t xml:space="preserve">. Su Gate bloquea la obra si la evidencia no acompaña, y si no avanza a infraestructura física, se concentrará en el núcleo SaaS y adaptará costes hasta alcanzar viabilidad comercial; esta viabilidad es un objetivo, no un hecho probado, no una ruina. </w:t>
      </w:r>
      <w:r>
        <w:rPr>
          <w:rFonts w:ascii="Aptos" w:hAnsi="Aptos"/>
          <w:i/>
          <w:color w:val="1F2937"/>
          <w:sz w:val="21"/>
        </w:rPr>
        <w:t>La visión completa está cuantificada; la ejecución está escalonada. La Fase 1 financiera es M1–M12 y la ventana de validación G1 puede extenderse hasta M18 sin ampliar automáticamente la envolvente inicial.</w:t>
      </w:r>
    </w:p>
    <w:p w14:paraId="7226D699">
      <w:pPr>
        <w:pStyle w:val="3"/>
      </w:pPr>
      <w:r>
        <w:rPr>
          <w:rFonts w:ascii="Aptos" w:hAnsi="Aptos"/>
          <w:b/>
          <w:color w:val="1F2937"/>
          <w:sz w:val="21"/>
        </w:rPr>
        <w:t>Visión 2030.</w:t>
      </w:r>
      <w:r>
        <w:rPr>
          <w:rFonts w:ascii="Aptos" w:hAnsi="Aptos"/>
          <w:color w:val="1F2937"/>
          <w:sz w:val="21"/>
        </w:rPr>
        <w:t xml:space="preserve"> CASTÚO-SYSTEM aspira a ser una infraestructura digital de referencia para la pequeña y mediana explotación del sur de Europa: una plataforma abierta, escalable y basada en datos, con pila tecnológica europea y datos bajo RGPD, que empieza por donde casi nadie empieza — un municipio de 600 habitantes que produce alimento, energía y datos, y puede demostrarlo.</w:t>
      </w:r>
    </w:p>
    <w:p w14:paraId="31CE9EAD">
      <w:pPr>
        <w:pStyle w:val="2"/>
      </w:pPr>
      <w:bookmarkStart w:id="94" w:name="anexos"/>
      <w:r>
        <w:rPr>
          <w:rFonts w:ascii="Aptos Display" w:hAnsi="Aptos Display"/>
          <w:b/>
          <w:color w:val="174A2E"/>
          <w:sz w:val="21"/>
        </w:rPr>
        <w:t>Anexos</w:t>
      </w:r>
      <w:bookmarkEnd w:id="94"/>
    </w:p>
    <w:p w14:paraId="70876F39">
      <w:pPr>
        <w:pStyle w:val="4"/>
      </w:pPr>
      <w:bookmarkStart w:id="95" w:name="X03a5949e418141e3504e1959f8546cbb46842c1"/>
      <w:r>
        <w:rPr>
          <w:rFonts w:ascii="Aptos Display" w:hAnsi="Aptos Display"/>
          <w:b/>
          <w:color w:val="174A2E"/>
          <w:sz w:val="21"/>
        </w:rPr>
        <w:t>Anexo A. Catálogo de artefactos del SEV y estado de madurez</w:t>
      </w:r>
      <w:bookmarkEnd w:id="95"/>
    </w:p>
    <w:p w14:paraId="20E5C1B4">
      <w:pPr>
        <w:pStyle w:val="23"/>
      </w:pPr>
      <w:r>
        <w:rPr>
          <w:rFonts w:ascii="Aptos" w:hAnsi="Aptos"/>
          <w:color w:val="1F2937"/>
          <w:sz w:val="21"/>
        </w:rPr>
        <w:t xml:space="preserve">El catálogo completo (identificador, tipo, estado </w:t>
      </w:r>
      <w:r>
        <w:rPr>
          <w:rFonts w:ascii="Aptos" w:hAnsi="Aptos"/>
          <w:i/>
          <w:color w:val="1F2937"/>
          <w:sz w:val="21"/>
        </w:rPr>
        <w:t>planificado/parcial/existe</w:t>
      </w:r>
      <w:r>
        <w:rPr>
          <w:rFonts w:ascii="Aptos" w:hAnsi="Aptos"/>
          <w:color w:val="1F2937"/>
          <w:sz w:val="21"/>
        </w:rPr>
        <w:t xml:space="preserve">, hash y revisor) se mantiene como fuente única en la Memoria Técnica v3.7 (Anexo II) y en vivo en </w:t>
      </w:r>
      <w:r>
        <w:rPr>
          <w:rStyle w:val="35"/>
          <w:rFonts w:ascii="Aptos" w:hAnsi="Aptos"/>
          <w:color w:val="1F2937"/>
          <w:sz w:val="21"/>
        </w:rPr>
        <w:t>sev/</w:t>
      </w:r>
      <w:r>
        <w:rPr>
          <w:rFonts w:ascii="Aptos" w:hAnsi="Aptos"/>
          <w:color w:val="1F2937"/>
          <w:sz w:val="21"/>
        </w:rPr>
        <w:t xml:space="preserve"> (validado: 10 artefactos de F1, 0 errores). Los cinco primeros artefactos que pasarán a estado </w:t>
      </w:r>
      <w:r>
        <w:rPr>
          <w:rFonts w:ascii="Aptos" w:hAnsi="Aptos"/>
          <w:i/>
          <w:color w:val="1F2937"/>
          <w:sz w:val="21"/>
        </w:rPr>
        <w:t>existe</w:t>
      </w:r>
      <w:r>
        <w:rPr>
          <w:rFonts w:ascii="Aptos" w:hAnsi="Aptos"/>
          <w:color w:val="1F2937"/>
          <w:sz w:val="21"/>
        </w:rPr>
        <w:t xml:space="preserve"> con hash real: acta de constitución, convenio de suelo, informe TRT, dataset del módulo de terracota y contrato del primer cliente piloto.</w:t>
      </w:r>
    </w:p>
    <w:p w14:paraId="32131542">
      <w:pPr>
        <w:pStyle w:val="4"/>
      </w:pPr>
      <w:bookmarkStart w:id="96" w:name="X13d3f3e48b75596c745d9ca7c7b1dd56446666e"/>
      <w:r>
        <w:rPr>
          <w:rFonts w:ascii="Aptos Display" w:hAnsi="Aptos Display"/>
          <w:b/>
          <w:color w:val="174A2E"/>
          <w:sz w:val="21"/>
        </w:rPr>
        <w:t>Anexo B. Plantilla de Gate, matriz RACI y glosario (punteros a fuente única)</w:t>
      </w:r>
      <w:bookmarkEnd w:id="96"/>
    </w:p>
    <w:p w14:paraId="3DAE7822">
      <w:pPr>
        <w:pStyle w:val="23"/>
      </w:pPr>
      <w:r>
        <w:rPr>
          <w:rFonts w:ascii="Aptos" w:hAnsi="Aptos"/>
          <w:color w:val="1F2937"/>
          <w:sz w:val="21"/>
        </w:rPr>
        <w:t>Fuente única: los formularios de Gate (G1–G7), la matriz RACI del §8.4 y el glosario de siglas se mantienen en el repositorio del proyecto (</w:t>
      </w:r>
      <w:r>
        <w:rPr>
          <w:rStyle w:val="35"/>
          <w:rFonts w:ascii="Aptos" w:hAnsi="Aptos"/>
          <w:color w:val="1F2937"/>
          <w:sz w:val="21"/>
        </w:rPr>
        <w:t>config/*.json</w:t>
      </w:r>
      <w:r>
        <w:rPr>
          <w:rFonts w:ascii="Aptos" w:hAnsi="Aptos"/>
          <w:color w:val="1F2937"/>
          <w:sz w:val="21"/>
        </w:rPr>
        <w:t xml:space="preserve">, </w:t>
      </w:r>
      <w:r>
        <w:rPr>
          <w:rStyle w:val="35"/>
          <w:rFonts w:ascii="Aptos" w:hAnsi="Aptos"/>
          <w:color w:val="1F2937"/>
          <w:sz w:val="21"/>
        </w:rPr>
        <w:t>sev/</w:t>
      </w:r>
      <w:r>
        <w:rPr>
          <w:rFonts w:ascii="Aptos" w:hAnsi="Aptos"/>
          <w:color w:val="1F2937"/>
          <w:sz w:val="21"/>
        </w:rPr>
        <w:t>) para evitar duplicación; aquí se referencian, no se transcriben.</w:t>
      </w:r>
    </w:p>
    <w:p w14:paraId="7172607C">
      <w:pPr>
        <w:pStyle w:val="4"/>
      </w:pPr>
      <w:bookmarkStart w:id="97" w:name="Xd9d60431e0d8cee162bcc291aea396d849fda1a"/>
      <w:r>
        <w:rPr>
          <w:rFonts w:ascii="Aptos Display" w:hAnsi="Aptos Display"/>
          <w:b/>
          <w:color w:val="174A2E"/>
          <w:sz w:val="21"/>
        </w:rPr>
        <w:t xml:space="preserve">Anexo C. Inventario técnico del repositorio </w:t>
      </w:r>
      <w:r>
        <w:rPr>
          <w:rStyle w:val="35"/>
          <w:rFonts w:ascii="Aptos Display" w:hAnsi="Aptos Display"/>
          <w:b/>
          <w:color w:val="174A2E"/>
          <w:sz w:val="21"/>
        </w:rPr>
        <w:t>Castuo-system</w:t>
      </w:r>
      <w:r>
        <w:rPr>
          <w:rFonts w:ascii="Aptos Display" w:hAnsi="Aptos Display"/>
          <w:b/>
          <w:color w:val="174A2E"/>
          <w:sz w:val="21"/>
        </w:rPr>
        <w:t xml:space="preserve"> y metodología de valoración del código</w:t>
      </w:r>
      <w:bookmarkEnd w:id="97"/>
    </w:p>
    <w:p w14:paraId="482384DA">
      <w:pPr>
        <w:pStyle w:val="23"/>
      </w:pPr>
      <w:r>
        <w:rPr>
          <w:rFonts w:ascii="Aptos" w:hAnsi="Aptos"/>
          <w:b/>
          <w:color w:val="1F2937"/>
          <w:sz w:val="21"/>
        </w:rPr>
        <w:t>Repositorio:</w:t>
      </w:r>
      <w:r>
        <w:rPr>
          <w:rFonts w:ascii="Aptos" w:hAnsi="Aptos"/>
          <w:color w:val="1F2937"/>
          <w:sz w:val="21"/>
        </w:rPr>
        <w:t xml:space="preserve"> </w:t>
      </w:r>
      <w:r>
        <w:rPr>
          <w:rStyle w:val="35"/>
          <w:rFonts w:ascii="Aptos" w:hAnsi="Aptos"/>
          <w:color w:val="1F2937"/>
          <w:sz w:val="21"/>
        </w:rPr>
        <w:t>Traky12/Castuo-system</w:t>
      </w:r>
      <w:r>
        <w:rPr>
          <w:rFonts w:ascii="Aptos" w:hAnsi="Aptos"/>
          <w:color w:val="1F2937"/>
          <w:sz w:val="21"/>
        </w:rPr>
        <w:t xml:space="preserve"> (privado, </w:t>
      </w:r>
      <w:r>
        <w:rPr>
          <w:rFonts w:ascii="Aptos" w:hAnsi="Aptos"/>
          <w:i/>
          <w:color w:val="1F2937"/>
          <w:sz w:val="21"/>
        </w:rPr>
        <w:t>private template</w:t>
      </w:r>
      <w:r>
        <w:rPr>
          <w:rFonts w:ascii="Aptos" w:hAnsi="Aptos"/>
          <w:color w:val="1F2937"/>
          <w:sz w:val="21"/>
        </w:rPr>
        <w:t>) · web: castuo-system.es · desarrollo activo con historial de commits (CI/CD, seguridad, IoT, trazabilidad).</w:t>
      </w:r>
    </w:p>
    <w:p w14:paraId="2E04BCB3">
      <w:pPr>
        <w:pStyle w:val="3"/>
      </w:pPr>
      <w:r>
        <w:rPr>
          <w:rFonts w:ascii="Aptos" w:hAnsi="Aptos"/>
          <w:b/>
          <w:color w:val="1F2937"/>
          <w:sz w:val="21"/>
        </w:rPr>
        <w:t>Objetivos declarados del sistema</w:t>
      </w:r>
      <w:r>
        <w:rPr>
          <w:rFonts w:ascii="Aptos" w:hAnsi="Aptos"/>
          <w:color w:val="1F2937"/>
          <w:sz w:val="21"/>
        </w:rPr>
        <w:t xml:space="preserve"> (README): centralizar la operación de servicios críticos; automatizar flujos técnicos y administrativos; integrar telemetría e IoT con trazabilidad de eventos; aplicar controles de seguridad y auditoría; mantener despliegues reproducibles en contenedores y Kubernetes; operar sobre infraestructura europea con soberanía de datos.</w:t>
      </w:r>
    </w:p>
    <w:p w14:paraId="2C98703C">
      <w:pPr>
        <w:pStyle w:val="3"/>
      </w:pPr>
      <w:r>
        <w:rPr>
          <w:rFonts w:ascii="Aptos" w:hAnsi="Aptos"/>
          <w:b/>
          <w:color w:val="1F2937"/>
          <w:sz w:val="21"/>
        </w:rPr>
        <w:t>Inventario de componentes</w:t>
      </w:r>
      <w:r>
        <w:rPr>
          <w:rFonts w:ascii="Aptos" w:hAnsi="Aptos"/>
          <w:color w:val="1F2937"/>
          <w:sz w:val="21"/>
        </w:rPr>
        <w:t xml:space="preserve"> (directorios principales): </w:t>
      </w:r>
      <w:r>
        <w:rPr>
          <w:rFonts w:ascii="Aptos" w:hAnsi="Aptos"/>
          <w:b/>
          <w:color w:val="1F2937"/>
          <w:sz w:val="21"/>
        </w:rPr>
        <w:t>Backend</w:t>
      </w:r>
      <w:r>
        <w:rPr>
          <w:rFonts w:ascii="Aptos" w:hAnsi="Aptos"/>
          <w:color w:val="1F2937"/>
          <w:sz w:val="21"/>
        </w:rPr>
        <w:t xml:space="preserve"> </w:t>
      </w:r>
      <w:r>
        <w:rPr>
          <w:rStyle w:val="35"/>
          <w:rFonts w:ascii="Aptos" w:hAnsi="Aptos"/>
          <w:color w:val="1F2937"/>
          <w:sz w:val="21"/>
        </w:rPr>
        <w:t>backend/</w:t>
      </w:r>
      <w:r>
        <w:rPr>
          <w:rFonts w:ascii="Aptos" w:hAnsi="Aptos"/>
          <w:color w:val="1F2937"/>
          <w:sz w:val="21"/>
        </w:rPr>
        <w:t xml:space="preserve"> (FastAPI: sensores, MQTT, cultivos, alertas, </w:t>
      </w:r>
      <w:r>
        <w:rPr>
          <w:rStyle w:val="35"/>
          <w:rFonts w:ascii="Aptos" w:hAnsi="Aptos"/>
          <w:color w:val="1F2937"/>
          <w:sz w:val="21"/>
        </w:rPr>
        <w:t>/health</w:t>
      </w:r>
      <w:r>
        <w:rPr>
          <w:rFonts w:ascii="Aptos" w:hAnsi="Aptos"/>
          <w:color w:val="1F2937"/>
          <w:sz w:val="21"/>
        </w:rPr>
        <w:t xml:space="preserve"> con </w:t>
      </w:r>
      <w:r>
        <w:rPr>
          <w:rStyle w:val="35"/>
          <w:rFonts w:ascii="Aptos" w:hAnsi="Aptos"/>
          <w:color w:val="1F2937"/>
          <w:sz w:val="21"/>
        </w:rPr>
        <w:t>chain_status</w:t>
      </w:r>
      <w:r>
        <w:rPr>
          <w:rFonts w:ascii="Aptos" w:hAnsi="Aptos"/>
          <w:color w:val="1F2937"/>
          <w:sz w:val="21"/>
        </w:rPr>
        <w:t xml:space="preserve">), </w:t>
      </w:r>
      <w:r>
        <w:rPr>
          <w:rStyle w:val="35"/>
          <w:rFonts w:ascii="Aptos" w:hAnsi="Aptos"/>
          <w:color w:val="1F2937"/>
          <w:sz w:val="21"/>
        </w:rPr>
        <w:t>services/</w:t>
      </w:r>
      <w:r>
        <w:rPr>
          <w:rFonts w:ascii="Aptos" w:hAnsi="Aptos"/>
          <w:color w:val="1F2937"/>
          <w:sz w:val="21"/>
        </w:rPr>
        <w:t xml:space="preserve"> (satélite, GDPR), </w:t>
      </w:r>
      <w:r>
        <w:rPr>
          <w:rStyle w:val="35"/>
          <w:rFonts w:ascii="Aptos" w:hAnsi="Aptos"/>
          <w:color w:val="1F2937"/>
          <w:sz w:val="21"/>
        </w:rPr>
        <w:t>workers/</w:t>
      </w:r>
      <w:r>
        <w:rPr>
          <w:rFonts w:ascii="Aptos" w:hAnsi="Aptos"/>
          <w:color w:val="1F2937"/>
          <w:sz w:val="21"/>
        </w:rPr>
        <w:t xml:space="preserve">, monorepo </w:t>
      </w:r>
      <w:r>
        <w:rPr>
          <w:rStyle w:val="35"/>
          <w:rFonts w:ascii="Aptos" w:hAnsi="Aptos"/>
          <w:color w:val="1F2937"/>
          <w:sz w:val="21"/>
        </w:rPr>
        <w:t>packages/</w:t>
      </w:r>
      <w:r>
        <w:rPr>
          <w:rFonts w:ascii="Aptos" w:hAnsi="Aptos"/>
          <w:color w:val="1F2937"/>
          <w:sz w:val="21"/>
        </w:rPr>
        <w:t xml:space="preserve">. </w:t>
      </w:r>
      <w:r>
        <w:rPr>
          <w:rFonts w:ascii="Aptos" w:hAnsi="Aptos"/>
          <w:b/>
          <w:color w:val="1F2937"/>
          <w:sz w:val="21"/>
        </w:rPr>
        <w:t>IoT/edge</w:t>
      </w:r>
      <w:r>
        <w:rPr>
          <w:rFonts w:ascii="Aptos" w:hAnsi="Aptos"/>
          <w:color w:val="1F2937"/>
          <w:sz w:val="21"/>
        </w:rPr>
        <w:t xml:space="preserve"> </w:t>
      </w:r>
      <w:r>
        <w:rPr>
          <w:rStyle w:val="35"/>
          <w:rFonts w:ascii="Aptos" w:hAnsi="Aptos"/>
          <w:color w:val="1F2937"/>
          <w:sz w:val="21"/>
        </w:rPr>
        <w:t>esp32_code*/</w:t>
      </w:r>
      <w:r>
        <w:rPr>
          <w:rFonts w:ascii="Aptos" w:hAnsi="Aptos"/>
          <w:color w:val="1F2937"/>
          <w:sz w:val="21"/>
        </w:rPr>
        <w:t xml:space="preserve"> (TTGO LoRa32, TTN EU868), </w:t>
      </w:r>
      <w:r>
        <w:rPr>
          <w:rStyle w:val="35"/>
          <w:rFonts w:ascii="Aptos" w:hAnsi="Aptos"/>
          <w:color w:val="1F2937"/>
          <w:sz w:val="21"/>
        </w:rPr>
        <w:t>mosquitto/</w:t>
      </w:r>
      <w:r>
        <w:rPr>
          <w:rFonts w:ascii="Aptos" w:hAnsi="Aptos"/>
          <w:color w:val="1F2937"/>
          <w:sz w:val="21"/>
        </w:rPr>
        <w:t xml:space="preserve"> (MQTT/TLS). </w:t>
      </w:r>
      <w:r>
        <w:rPr>
          <w:rFonts w:ascii="Aptos" w:hAnsi="Aptos"/>
          <w:b/>
          <w:color w:val="1F2937"/>
          <w:sz w:val="21"/>
        </w:rPr>
        <w:t>Trazabilidad</w:t>
      </w:r>
      <w:r>
        <w:rPr>
          <w:rFonts w:ascii="Aptos" w:hAnsi="Aptos"/>
          <w:color w:val="1F2937"/>
          <w:sz w:val="21"/>
        </w:rPr>
        <w:t xml:space="preserve"> </w:t>
      </w:r>
      <w:r>
        <w:rPr>
          <w:rStyle w:val="35"/>
          <w:rFonts w:ascii="Aptos" w:hAnsi="Aptos"/>
          <w:color w:val="1F2937"/>
          <w:sz w:val="21"/>
        </w:rPr>
        <w:t>trazalia-mcp-server/</w:t>
      </w:r>
      <w:r>
        <w:rPr>
          <w:rFonts w:ascii="Aptos" w:hAnsi="Aptos"/>
          <w:color w:val="1F2937"/>
          <w:sz w:val="21"/>
        </w:rPr>
        <w:t xml:space="preserve">, </w:t>
      </w:r>
      <w:r>
        <w:rPr>
          <w:rStyle w:val="35"/>
          <w:rFonts w:ascii="Aptos" w:hAnsi="Aptos"/>
          <w:color w:val="1F2937"/>
          <w:sz w:val="21"/>
        </w:rPr>
        <w:t>blockchain_txs/iso22000/</w:t>
      </w:r>
      <w:r>
        <w:rPr>
          <w:rFonts w:ascii="Aptos" w:hAnsi="Aptos"/>
          <w:color w:val="1F2937"/>
          <w:sz w:val="21"/>
        </w:rPr>
        <w:t xml:space="preserve">, Merkle chain (GaiaChain), </w:t>
      </w:r>
      <w:r>
        <w:rPr>
          <w:rStyle w:val="35"/>
          <w:rFonts w:ascii="Aptos" w:hAnsi="Aptos"/>
          <w:color w:val="1F2937"/>
          <w:sz w:val="21"/>
        </w:rPr>
        <w:t>validar_lote</w:t>
      </w:r>
      <w:r>
        <w:rPr>
          <w:rFonts w:ascii="Aptos" w:hAnsi="Aptos"/>
          <w:color w:val="1F2937"/>
          <w:sz w:val="21"/>
        </w:rPr>
        <w:t xml:space="preserve">. </w:t>
      </w:r>
      <w:r>
        <w:rPr>
          <w:rFonts w:ascii="Aptos" w:hAnsi="Aptos"/>
          <w:b/>
          <w:color w:val="1F2937"/>
          <w:sz w:val="21"/>
        </w:rPr>
        <w:t>IA</w:t>
      </w:r>
      <w:r>
        <w:rPr>
          <w:rFonts w:ascii="Aptos" w:hAnsi="Aptos"/>
          <w:color w:val="1F2937"/>
          <w:sz w:val="21"/>
        </w:rPr>
        <w:t xml:space="preserve"> </w:t>
      </w:r>
      <w:r>
        <w:rPr>
          <w:rStyle w:val="35"/>
          <w:rFonts w:ascii="Aptos" w:hAnsi="Aptos"/>
          <w:color w:val="1F2937"/>
          <w:sz w:val="21"/>
        </w:rPr>
        <w:t>agents/sabionda/</w:t>
      </w:r>
      <w:r>
        <w:rPr>
          <w:rFonts w:ascii="Aptos" w:hAnsi="Aptos"/>
          <w:color w:val="1F2937"/>
          <w:sz w:val="21"/>
        </w:rPr>
        <w:t xml:space="preserve">, </w:t>
      </w:r>
      <w:r>
        <w:rPr>
          <w:rStyle w:val="35"/>
          <w:rFonts w:ascii="Aptos" w:hAnsi="Aptos"/>
          <w:color w:val="1F2937"/>
          <w:sz w:val="21"/>
        </w:rPr>
        <w:t>castuo_graph/</w:t>
      </w:r>
      <w:r>
        <w:rPr>
          <w:rFonts w:ascii="Aptos" w:hAnsi="Aptos"/>
          <w:color w:val="1F2937"/>
          <w:sz w:val="21"/>
        </w:rPr>
        <w:t xml:space="preserve"> (LangGraph), memoria Mistral. </w:t>
      </w:r>
      <w:r>
        <w:rPr>
          <w:rFonts w:ascii="Aptos" w:hAnsi="Aptos"/>
          <w:b/>
          <w:color w:val="1F2937"/>
          <w:sz w:val="21"/>
        </w:rPr>
        <w:t>Datos</w:t>
      </w:r>
      <w:r>
        <w:rPr>
          <w:rFonts w:ascii="Aptos" w:hAnsi="Aptos"/>
          <w:color w:val="1F2937"/>
          <w:sz w:val="21"/>
        </w:rPr>
        <w:t xml:space="preserve"> PostgreSQL + TimescaleDB (HA) + Redis. </w:t>
      </w:r>
      <w:r>
        <w:rPr>
          <w:rFonts w:ascii="Aptos" w:hAnsi="Aptos"/>
          <w:b/>
          <w:color w:val="1F2937"/>
          <w:sz w:val="21"/>
        </w:rPr>
        <w:t>Frontend/diseño</w:t>
      </w:r>
      <w:r>
        <w:rPr>
          <w:rFonts w:ascii="Aptos" w:hAnsi="Aptos"/>
          <w:color w:val="1F2937"/>
          <w:sz w:val="21"/>
        </w:rPr>
        <w:t xml:space="preserve"> </w:t>
      </w:r>
      <w:r>
        <w:rPr>
          <w:rStyle w:val="35"/>
          <w:rFonts w:ascii="Aptos" w:hAnsi="Aptos"/>
          <w:color w:val="1F2937"/>
          <w:sz w:val="21"/>
        </w:rPr>
        <w:t>frontend/</w:t>
      </w:r>
      <w:r>
        <w:rPr>
          <w:rFonts w:ascii="Aptos" w:hAnsi="Aptos"/>
          <w:color w:val="1F2937"/>
          <w:sz w:val="21"/>
        </w:rPr>
        <w:t xml:space="preserve">, </w:t>
      </w:r>
      <w:r>
        <w:rPr>
          <w:rStyle w:val="35"/>
          <w:rFonts w:ascii="Aptos" w:hAnsi="Aptos"/>
          <w:color w:val="1F2937"/>
          <w:sz w:val="21"/>
        </w:rPr>
        <w:t>ds-bundle/</w:t>
      </w:r>
      <w:r>
        <w:rPr>
          <w:rFonts w:ascii="Aptos" w:hAnsi="Aptos"/>
          <w:color w:val="1F2937"/>
          <w:sz w:val="21"/>
        </w:rPr>
        <w:t xml:space="preserve">, identidad SABIONDA 3D/4D. </w:t>
      </w:r>
      <w:r>
        <w:rPr>
          <w:rFonts w:ascii="Aptos" w:hAnsi="Aptos"/>
          <w:b/>
          <w:color w:val="1F2937"/>
          <w:sz w:val="21"/>
        </w:rPr>
        <w:t>Infra/DevOps</w:t>
      </w:r>
      <w:r>
        <w:rPr>
          <w:rFonts w:ascii="Aptos" w:hAnsi="Aptos"/>
          <w:color w:val="1F2937"/>
          <w:sz w:val="21"/>
        </w:rPr>
        <w:t xml:space="preserve"> K8s Hetzner, Terraform, ≈13 perfiles </w:t>
      </w:r>
      <w:r>
        <w:rPr>
          <w:rStyle w:val="35"/>
          <w:rFonts w:ascii="Aptos" w:hAnsi="Aptos"/>
          <w:color w:val="1F2937"/>
          <w:sz w:val="21"/>
        </w:rPr>
        <w:t>docker-compose</w:t>
      </w:r>
      <w:r>
        <w:rPr>
          <w:rFonts w:ascii="Aptos" w:hAnsi="Aptos"/>
          <w:color w:val="1F2937"/>
          <w:sz w:val="21"/>
        </w:rPr>
        <w:t xml:space="preserve">, GitHub Actions/GHCR. </w:t>
      </w:r>
      <w:r>
        <w:rPr>
          <w:rFonts w:ascii="Aptos" w:hAnsi="Aptos"/>
          <w:b/>
          <w:color w:val="1F2937"/>
          <w:sz w:val="21"/>
        </w:rPr>
        <w:t>Observabilidad</w:t>
      </w:r>
      <w:r>
        <w:rPr>
          <w:rFonts w:ascii="Aptos" w:hAnsi="Aptos"/>
          <w:color w:val="1F2937"/>
          <w:sz w:val="21"/>
        </w:rPr>
        <w:t xml:space="preserve"> Prometheus/Grafana/Alertmanager. </w:t>
      </w:r>
      <w:r>
        <w:rPr>
          <w:rFonts w:ascii="Aptos" w:hAnsi="Aptos"/>
          <w:b/>
          <w:color w:val="1F2937"/>
          <w:sz w:val="21"/>
        </w:rPr>
        <w:t>Seguridad</w:t>
      </w:r>
      <w:r>
        <w:rPr>
          <w:rFonts w:ascii="Aptos" w:hAnsi="Aptos"/>
          <w:color w:val="1F2937"/>
          <w:sz w:val="21"/>
        </w:rPr>
        <w:t xml:space="preserve"> Vault, JWT, MFA, RBAC, cifrado híbrido X25519+AES-GCM/ECIES P-384, TLS hardening, módulo GDPR. </w:t>
      </w:r>
      <w:r>
        <w:rPr>
          <w:rFonts w:ascii="Aptos" w:hAnsi="Aptos"/>
          <w:b/>
          <w:color w:val="1F2937"/>
          <w:sz w:val="21"/>
        </w:rPr>
        <w:t>Calidad</w:t>
      </w:r>
      <w:r>
        <w:rPr>
          <w:rFonts w:ascii="Aptos" w:hAnsi="Aptos"/>
          <w:color w:val="1F2937"/>
          <w:sz w:val="21"/>
        </w:rPr>
        <w:t xml:space="preserve"> </w:t>
      </w:r>
      <w:r>
        <w:rPr>
          <w:rStyle w:val="35"/>
          <w:rFonts w:ascii="Aptos" w:hAnsi="Aptos"/>
          <w:color w:val="1F2937"/>
          <w:sz w:val="21"/>
        </w:rPr>
        <w:t>tests/</w:t>
      </w:r>
      <w:r>
        <w:rPr>
          <w:rFonts w:ascii="Aptos" w:hAnsi="Aptos"/>
          <w:color w:val="1F2937"/>
          <w:sz w:val="21"/>
        </w:rPr>
        <w:t xml:space="preserve"> (E2E/unitarias), pytest, ESLint/Black/Ruff. </w:t>
      </w:r>
      <w:r>
        <w:rPr>
          <w:rFonts w:ascii="Aptos" w:hAnsi="Aptos"/>
          <w:b/>
          <w:color w:val="1F2937"/>
          <w:sz w:val="21"/>
        </w:rPr>
        <w:t>Automatización</w:t>
      </w:r>
      <w:r>
        <w:rPr>
          <w:rFonts w:ascii="Aptos" w:hAnsi="Aptos"/>
          <w:color w:val="1F2937"/>
          <w:sz w:val="21"/>
        </w:rPr>
        <w:t xml:space="preserve"> </w:t>
      </w:r>
      <w:r>
        <w:rPr>
          <w:rStyle w:val="35"/>
          <w:rFonts w:ascii="Aptos" w:hAnsi="Aptos"/>
          <w:color w:val="1F2937"/>
          <w:sz w:val="21"/>
        </w:rPr>
        <w:t>n8n/workflows/</w:t>
      </w:r>
      <w:r>
        <w:rPr>
          <w:rFonts w:ascii="Aptos" w:hAnsi="Aptos"/>
          <w:color w:val="1F2937"/>
          <w:sz w:val="21"/>
        </w:rPr>
        <w:t xml:space="preserve">, WhatsApp. </w:t>
      </w:r>
      <w:r>
        <w:rPr>
          <w:rFonts w:ascii="Aptos" w:hAnsi="Aptos"/>
          <w:b/>
          <w:color w:val="1F2937"/>
          <w:sz w:val="21"/>
        </w:rPr>
        <w:t>Documentación</w:t>
      </w:r>
      <w:r>
        <w:rPr>
          <w:rFonts w:ascii="Aptos" w:hAnsi="Aptos"/>
          <w:color w:val="1F2937"/>
          <w:sz w:val="21"/>
        </w:rPr>
        <w:t xml:space="preserve"> ~40 documentos (</w:t>
      </w:r>
      <w:r>
        <w:rPr>
          <w:rStyle w:val="35"/>
          <w:rFonts w:ascii="Aptos" w:hAnsi="Aptos"/>
          <w:color w:val="1F2937"/>
          <w:sz w:val="21"/>
        </w:rPr>
        <w:t>STACK.md</w:t>
      </w:r>
      <w:r>
        <w:rPr>
          <w:rFonts w:ascii="Aptos" w:hAnsi="Aptos"/>
          <w:color w:val="1F2937"/>
          <w:sz w:val="21"/>
        </w:rPr>
        <w:t xml:space="preserve">, </w:t>
      </w:r>
      <w:r>
        <w:rPr>
          <w:rStyle w:val="35"/>
          <w:rFonts w:ascii="Aptos" w:hAnsi="Aptos"/>
          <w:color w:val="1F2937"/>
          <w:sz w:val="21"/>
        </w:rPr>
        <w:t>DEPLOYMENT.md</w:t>
      </w:r>
      <w:r>
        <w:rPr>
          <w:rFonts w:ascii="Aptos" w:hAnsi="Aptos"/>
          <w:color w:val="1F2937"/>
          <w:sz w:val="21"/>
        </w:rPr>
        <w:t xml:space="preserve">, </w:t>
      </w:r>
      <w:r>
        <w:rPr>
          <w:rStyle w:val="35"/>
          <w:rFonts w:ascii="Aptos" w:hAnsi="Aptos"/>
          <w:color w:val="1F2937"/>
          <w:sz w:val="21"/>
        </w:rPr>
        <w:t>RUNBOOK</w:t>
      </w:r>
      <w:r>
        <w:rPr>
          <w:rFonts w:ascii="Aptos" w:hAnsi="Aptos"/>
          <w:color w:val="1F2937"/>
          <w:sz w:val="21"/>
        </w:rPr>
        <w:t xml:space="preserve">, </w:t>
      </w:r>
      <w:r>
        <w:rPr>
          <w:rStyle w:val="35"/>
          <w:rFonts w:ascii="Aptos" w:hAnsi="Aptos"/>
          <w:color w:val="1F2937"/>
          <w:sz w:val="21"/>
        </w:rPr>
        <w:t>SECURITY.md</w:t>
      </w:r>
      <w:r>
        <w:rPr>
          <w:rFonts w:ascii="Aptos" w:hAnsi="Aptos"/>
          <w:color w:val="1F2937"/>
          <w:sz w:val="21"/>
        </w:rPr>
        <w:t xml:space="preserve">, </w:t>
      </w:r>
      <w:r>
        <w:rPr>
          <w:rStyle w:val="35"/>
          <w:rFonts w:ascii="Aptos" w:hAnsi="Aptos"/>
          <w:color w:val="1F2937"/>
          <w:sz w:val="21"/>
        </w:rPr>
        <w:t>AGENTS.md</w:t>
      </w:r>
      <w:r>
        <w:rPr>
          <w:rFonts w:ascii="Aptos" w:hAnsi="Aptos"/>
          <w:color w:val="1F2937"/>
          <w:sz w:val="21"/>
        </w:rPr>
        <w:t>).</w:t>
      </w:r>
    </w:p>
    <w:p w14:paraId="45AB9141">
      <w:pPr>
        <w:pStyle w:val="3"/>
      </w:pPr>
      <w:r>
        <w:rPr>
          <w:rFonts w:ascii="Aptos" w:hAnsi="Aptos"/>
          <w:b/>
          <w:color w:val="1F2937"/>
          <w:sz w:val="21"/>
        </w:rPr>
        <w:t>Stack canónico</w:t>
      </w:r>
      <w:r>
        <w:rPr>
          <w:rFonts w:ascii="Aptos" w:hAnsi="Aptos"/>
          <w:color w:val="1F2937"/>
          <w:sz w:val="21"/>
        </w:rPr>
        <w:t xml:space="preserve"> (coincidente con el declarado en la memoria): FastAPI (Python 3.11/3.12) · Pydantic v2 · PostgreSQL + TimescaleDB + Redis · MQTT/TLS · n8n · Prometheus/Grafana/Alertmanager · Vault/JWT/MFA/RBAC · Docker/Kubernetes/Terraform · GitHub Actions. La coherencia entre este stack y el del §3.5 es exacta: el repositorio </w:t>
      </w:r>
      <w:r>
        <w:rPr>
          <w:rFonts w:ascii="Aptos" w:hAnsi="Aptos"/>
          <w:b/>
          <w:color w:val="1F2937"/>
          <w:sz w:val="21"/>
        </w:rPr>
        <w:t>es</w:t>
      </w:r>
      <w:r>
        <w:rPr>
          <w:rFonts w:ascii="Aptos" w:hAnsi="Aptos"/>
          <w:color w:val="1F2937"/>
          <w:sz w:val="21"/>
        </w:rPr>
        <w:t xml:space="preserve"> la implementación del “cerebro digital” descrito.</w:t>
      </w:r>
    </w:p>
    <w:p w14:paraId="3AC9681D">
      <w:pPr>
        <w:pStyle w:val="3"/>
      </w:pPr>
      <w:r>
        <w:rPr>
          <w:rFonts w:ascii="Aptos" w:hAnsi="Aptos"/>
          <w:b/>
          <w:color w:val="1F2937"/>
          <w:sz w:val="21"/>
        </w:rPr>
        <w:t>Metodología de valoración (coste de reposición nuevo, RCN).</w:t>
      </w:r>
      <w:r>
        <w:rPr>
          <w:rFonts w:ascii="Aptos" w:hAnsi="Aptos"/>
          <w:color w:val="1F2937"/>
          <w:sz w:val="21"/>
        </w:rPr>
        <w:t xml:space="preserve"> Se descompone el sistema en </w:t>
      </w:r>
      <w:r>
        <w:rPr>
          <w:rFonts w:ascii="Aptos" w:hAnsi="Aptos"/>
          <w:b/>
          <w:color w:val="1F2937"/>
          <w:sz w:val="21"/>
        </w:rPr>
        <w:t>diez módulos funcionales</w:t>
      </w:r>
      <w:r>
        <w:rPr>
          <w:rFonts w:ascii="Aptos" w:hAnsi="Aptos"/>
          <w:color w:val="1F2937"/>
          <w:sz w:val="21"/>
        </w:rPr>
        <w:t xml:space="preserve">; a cada uno se le asignan las horas de ingeniería de reconstrucción; se agregan </w:t>
      </w:r>
      <w:r>
        <w:rPr>
          <w:rFonts w:ascii="Aptos" w:hAnsi="Aptos"/>
          <w:b/>
          <w:color w:val="1F2937"/>
          <w:sz w:val="21"/>
        </w:rPr>
        <w:t>5.600 horas</w:t>
      </w:r>
      <w:r>
        <w:rPr>
          <w:rFonts w:ascii="Aptos" w:hAnsi="Aptos"/>
          <w:color w:val="1F2937"/>
          <w:sz w:val="21"/>
        </w:rPr>
        <w:t xml:space="preserve"> y se multiplican por una </w:t>
      </w:r>
      <w:r>
        <w:rPr>
          <w:rFonts w:ascii="Aptos" w:hAnsi="Aptos"/>
          <w:b/>
          <w:color w:val="1F2937"/>
          <w:sz w:val="21"/>
        </w:rPr>
        <w:t>tarifa de 75 €/hora</w:t>
      </w:r>
      <w:r>
        <w:rPr>
          <w:rFonts w:ascii="Aptos" w:hAnsi="Aptos"/>
          <w:color w:val="1F2937"/>
          <w:sz w:val="21"/>
        </w:rPr>
        <w:t xml:space="preserve">. Resultado: </w:t>
      </w:r>
      <w:r>
        <w:rPr>
          <w:rFonts w:ascii="Aptos" w:hAnsi="Aptos"/>
          <w:b/>
          <w:color w:val="1F2937"/>
          <w:sz w:val="21"/>
        </w:rPr>
        <w:t>420.000 €</w:t>
      </w:r>
      <w:r>
        <w:rPr>
          <w:rFonts w:ascii="Aptos" w:hAnsi="Aptos"/>
          <w:color w:val="1F2937"/>
          <w:sz w:val="21"/>
        </w:rPr>
        <w:t xml:space="preserve"> (detalle y sensibilidad en §3.8). Excluye marca, contratos y proyecciones de ingresos. Las métricas exactas (LOC por lenguaje, cobertura de pruebas, resultados de CI —116 tests automatizados superados) se verifican mediante acceso al repositorio </w:t>
      </w:r>
      <w:r>
        <w:rPr>
          <w:rStyle w:val="35"/>
          <w:rFonts w:ascii="Aptos" w:hAnsi="Aptos"/>
          <w:color w:val="1F2937"/>
          <w:sz w:val="21"/>
        </w:rPr>
        <w:t>Traky12/Castuo-system</w:t>
      </w:r>
      <w:r>
        <w:rPr>
          <w:rFonts w:ascii="Aptos" w:hAnsi="Aptos"/>
          <w:color w:val="1F2937"/>
          <w:sz w:val="21"/>
        </w:rPr>
        <w:t xml:space="preserve"> y al entorno </w:t>
      </w:r>
      <w:r>
        <w:rPr>
          <w:rStyle w:val="35"/>
          <w:rFonts w:ascii="Aptos" w:hAnsi="Aptos"/>
          <w:color w:val="1F2937"/>
          <w:sz w:val="21"/>
        </w:rPr>
        <w:t>/evaluation-environment</w:t>
      </w:r>
      <w:r>
        <w:rPr>
          <w:rFonts w:ascii="Aptos" w:hAnsi="Aptos"/>
          <w:color w:val="1F2937"/>
          <w:sz w:val="21"/>
        </w:rPr>
        <w:t>.</w:t>
      </w:r>
    </w:p>
    <w:p w14:paraId="4438D0E8">
      <w:pPr>
        <w:pStyle w:val="4"/>
      </w:pPr>
      <w:bookmarkStart w:id="98" w:name="X507bf9a3057bc9821c1b794b6d38b7283a97caa"/>
      <w:r>
        <w:rPr>
          <w:rFonts w:ascii="Aptos Display" w:hAnsi="Aptos Display"/>
          <w:b/>
          <w:color w:val="174A2E"/>
          <w:sz w:val="21"/>
        </w:rPr>
        <w:t>Anexo D. Plan de datos de la Fase 1 (objetivos a sellar en el SEV)</w:t>
      </w:r>
      <w:bookmarkEnd w:id="98"/>
    </w:p>
    <w:p w14:paraId="5A687CC7">
      <w:pPr>
        <w:pStyle w:val="23"/>
      </w:pPr>
      <w:r>
        <w:rPr>
          <w:rFonts w:ascii="Aptos" w:hAnsi="Aptos"/>
          <w:color w:val="1F2937"/>
          <w:sz w:val="21"/>
        </w:rPr>
        <w:t>Objetivos de datos a sellar en el SEV durante la Fase 1: uptime del SaaS, nº de clientes remunerados (criterio G1 ≥5), datos del módulo de terracota (~100 m², ≥6 meses), TRT (conductividad del terreno), y trazas de lote GaiaChain. Cada dato se publica con hash y revisor antes de considerarse verificado.</w:t>
      </w:r>
    </w:p>
    <w:p w14:paraId="264CD377">
      <w:pPr>
        <w:pStyle w:val="4"/>
      </w:pPr>
      <w:bookmarkStart w:id="99" w:name="X527aaa320a1f0ff0ea052ddeec09e29163ff19c"/>
      <w:r>
        <w:rPr>
          <w:rFonts w:ascii="Aptos Display" w:hAnsi="Aptos Display"/>
          <w:b/>
          <w:color w:val="174A2E"/>
          <w:sz w:val="21"/>
        </w:rPr>
        <w:t>Anexo E. Correspondencia con el modelo oficial PIE PLUS</w:t>
      </w:r>
      <w:bookmarkEnd w:id="99"/>
    </w:p>
    <w:tbl>
      <w:tblPr>
        <w:tblStyle w:val="28"/>
        <w:tblW w:w="5000" w:type="pct"/>
        <w:jc w:val="center"/>
        <w:tblInd w:w="0" w:type="dxa"/>
        <w:tblLayout w:type="fixed"/>
        <w:tblCellMar>
          <w:top w:w="0" w:type="dxa"/>
          <w:left w:w="108" w:type="dxa"/>
          <w:bottom w:w="0" w:type="dxa"/>
          <w:right w:w="108" w:type="dxa"/>
        </w:tblCellMar>
      </w:tblPr>
      <w:tblGrid>
        <w:gridCol w:w="3960"/>
        <w:gridCol w:w="3960"/>
      </w:tblGrid>
      <w:tr w14:paraId="64FD4F76">
        <w:tblPrEx>
          <w:tblCellMar>
            <w:top w:w="0" w:type="dxa"/>
            <w:left w:w="108" w:type="dxa"/>
            <w:bottom w:w="0" w:type="dxa"/>
            <w:right w:w="108" w:type="dxa"/>
          </w:tblCellMar>
        </w:tblPrEx>
        <w:tc>
          <w:tcPr>
            <w:tcW w:w="4680" w:type="dxa"/>
            <w:tcBorders>
              <w:bottom w:val="single" w:color="auto" w:sz="0" w:space="0"/>
            </w:tcBorders>
            <w:vAlign w:val="bottom"/>
          </w:tcPr>
          <w:p w14:paraId="5A2330A8">
            <w:pPr>
              <w:pStyle w:val="24"/>
              <w:spacing w:after="0"/>
              <w:jc w:val="left"/>
            </w:pPr>
            <w:r>
              <w:rPr>
                <w:rFonts w:ascii="Aptos" w:hAnsi="Aptos"/>
                <w:color w:val="1F2937"/>
                <w:sz w:val="18"/>
              </w:rPr>
              <w:t>Requisito del modelo oficial</w:t>
            </w:r>
          </w:p>
        </w:tc>
        <w:tc>
          <w:tcPr>
            <w:tcW w:w="4680" w:type="dxa"/>
            <w:tcBorders>
              <w:bottom w:val="single" w:color="auto" w:sz="0" w:space="0"/>
            </w:tcBorders>
            <w:vAlign w:val="bottom"/>
          </w:tcPr>
          <w:p w14:paraId="4582423F">
            <w:pPr>
              <w:pStyle w:val="24"/>
              <w:spacing w:after="0"/>
              <w:jc w:val="left"/>
            </w:pPr>
            <w:r>
              <w:rPr>
                <w:rFonts w:ascii="Aptos" w:hAnsi="Aptos"/>
                <w:color w:val="1F2937"/>
                <w:sz w:val="18"/>
              </w:rPr>
              <w:t>Dónde se responde</w:t>
            </w:r>
          </w:p>
        </w:tc>
      </w:tr>
      <w:tr w14:paraId="157BFCBF">
        <w:tblPrEx>
          <w:tblCellMar>
            <w:top w:w="0" w:type="dxa"/>
            <w:left w:w="108" w:type="dxa"/>
            <w:bottom w:w="0" w:type="dxa"/>
            <w:right w:w="108" w:type="dxa"/>
          </w:tblCellMar>
        </w:tblPrEx>
        <w:tc>
          <w:p w14:paraId="61CDFD93">
            <w:pPr>
              <w:pStyle w:val="24"/>
              <w:spacing w:after="0"/>
              <w:jc w:val="left"/>
            </w:pPr>
            <w:r>
              <w:rPr>
                <w:rFonts w:ascii="Aptos" w:hAnsi="Aptos"/>
                <w:color w:val="1F2937"/>
                <w:sz w:val="18"/>
              </w:rPr>
              <w:t>1.1 Datos básicos (forma jurídica, fechas, inversión, recursos propios, financiación, empleo)</w:t>
            </w:r>
          </w:p>
        </w:tc>
        <w:tc>
          <w:p w14:paraId="263C6420">
            <w:pPr>
              <w:pStyle w:val="24"/>
              <w:spacing w:after="0"/>
              <w:jc w:val="left"/>
            </w:pPr>
            <w:r>
              <w:rPr>
                <w:rFonts w:ascii="Aptos" w:hAnsi="Aptos"/>
                <w:color w:val="1F2937"/>
                <w:sz w:val="18"/>
              </w:rPr>
              <w:t>§1.1</w:t>
            </w:r>
          </w:p>
        </w:tc>
      </w:tr>
      <w:tr w14:paraId="78C95A5E">
        <w:tblPrEx>
          <w:tblCellMar>
            <w:top w:w="0" w:type="dxa"/>
            <w:left w:w="108" w:type="dxa"/>
            <w:bottom w:w="0" w:type="dxa"/>
            <w:right w:w="108" w:type="dxa"/>
          </w:tblCellMar>
        </w:tblPrEx>
        <w:tc>
          <w:p w14:paraId="3AD3E7D1">
            <w:pPr>
              <w:pStyle w:val="24"/>
              <w:spacing w:after="0"/>
              <w:jc w:val="left"/>
            </w:pPr>
            <w:r>
              <w:rPr>
                <w:rFonts w:ascii="Aptos" w:hAnsi="Aptos"/>
                <w:color w:val="1F2937"/>
                <w:sz w:val="18"/>
              </w:rPr>
              <w:t>1.2 Carácter rural, recursos locales, ventajas, retos</w:t>
            </w:r>
          </w:p>
        </w:tc>
        <w:tc>
          <w:p w14:paraId="30100D19">
            <w:pPr>
              <w:pStyle w:val="24"/>
              <w:spacing w:after="0"/>
              <w:jc w:val="left"/>
            </w:pPr>
            <w:r>
              <w:rPr>
                <w:rFonts w:ascii="Aptos" w:hAnsi="Aptos"/>
                <w:color w:val="1F2937"/>
                <w:sz w:val="18"/>
              </w:rPr>
              <w:t>§1.2</w:t>
            </w:r>
          </w:p>
        </w:tc>
      </w:tr>
      <w:tr w14:paraId="0A3E4448">
        <w:tblPrEx>
          <w:tblCellMar>
            <w:top w:w="0" w:type="dxa"/>
            <w:left w:w="108" w:type="dxa"/>
            <w:bottom w:w="0" w:type="dxa"/>
            <w:right w:w="108" w:type="dxa"/>
          </w:tblCellMar>
        </w:tblPrEx>
        <w:tc>
          <w:p w14:paraId="07D087B8">
            <w:pPr>
              <w:pStyle w:val="24"/>
              <w:spacing w:after="0"/>
              <w:jc w:val="left"/>
            </w:pPr>
            <w:r>
              <w:rPr>
                <w:rFonts w:ascii="Aptos" w:hAnsi="Aptos"/>
                <w:color w:val="1F2937"/>
                <w:sz w:val="18"/>
              </w:rPr>
              <w:t>1.3 Resumen ejecutivo</w:t>
            </w:r>
          </w:p>
        </w:tc>
        <w:tc>
          <w:p w14:paraId="35F270E9">
            <w:pPr>
              <w:pStyle w:val="24"/>
              <w:spacing w:after="0"/>
              <w:jc w:val="left"/>
            </w:pPr>
            <w:r>
              <w:rPr>
                <w:rFonts w:ascii="Aptos" w:hAnsi="Aptos"/>
                <w:color w:val="1F2937"/>
                <w:sz w:val="18"/>
              </w:rPr>
              <w:t>§1.3</w:t>
            </w:r>
          </w:p>
        </w:tc>
      </w:tr>
      <w:tr w14:paraId="35F493EC">
        <w:tblPrEx>
          <w:tblCellMar>
            <w:top w:w="0" w:type="dxa"/>
            <w:left w:w="108" w:type="dxa"/>
            <w:bottom w:w="0" w:type="dxa"/>
            <w:right w:w="108" w:type="dxa"/>
          </w:tblCellMar>
        </w:tblPrEx>
        <w:tc>
          <w:p w14:paraId="75B3F557">
            <w:pPr>
              <w:pStyle w:val="24"/>
              <w:spacing w:after="0"/>
              <w:jc w:val="left"/>
            </w:pPr>
            <w:r>
              <w:rPr>
                <w:rFonts w:ascii="Aptos" w:hAnsi="Aptos"/>
                <w:color w:val="1F2937"/>
                <w:sz w:val="18"/>
              </w:rPr>
              <w:t>2 Equipo: trayectoria, CV, motivación, vínculo residencial</w:t>
            </w:r>
          </w:p>
        </w:tc>
        <w:tc>
          <w:p w14:paraId="78E6B867">
            <w:pPr>
              <w:pStyle w:val="24"/>
              <w:spacing w:after="0"/>
              <w:jc w:val="left"/>
            </w:pPr>
            <w:r>
              <w:rPr>
                <w:rFonts w:ascii="Aptos" w:hAnsi="Aptos"/>
                <w:color w:val="1F2937"/>
                <w:sz w:val="18"/>
              </w:rPr>
              <w:t>§2</w:t>
            </w:r>
          </w:p>
        </w:tc>
      </w:tr>
      <w:tr w14:paraId="05A2FAE1">
        <w:tblPrEx>
          <w:tblCellMar>
            <w:top w:w="0" w:type="dxa"/>
            <w:left w:w="108" w:type="dxa"/>
            <w:bottom w:w="0" w:type="dxa"/>
            <w:right w:w="108" w:type="dxa"/>
          </w:tblCellMar>
        </w:tblPrEx>
        <w:tc>
          <w:p w14:paraId="035D6A72">
            <w:pPr>
              <w:pStyle w:val="24"/>
              <w:spacing w:after="0"/>
              <w:jc w:val="left"/>
            </w:pPr>
            <w:r>
              <w:rPr>
                <w:rFonts w:ascii="Aptos" w:hAnsi="Aptos"/>
                <w:color w:val="1F2937"/>
                <w:sz w:val="18"/>
              </w:rPr>
              <w:t>3.1 Propuesta de valor y ventajas competitivas</w:t>
            </w:r>
          </w:p>
        </w:tc>
        <w:tc>
          <w:p w14:paraId="1946E671">
            <w:pPr>
              <w:pStyle w:val="24"/>
              <w:spacing w:after="0"/>
              <w:jc w:val="left"/>
            </w:pPr>
            <w:r>
              <w:rPr>
                <w:rFonts w:ascii="Aptos" w:hAnsi="Aptos"/>
                <w:color w:val="1F2937"/>
                <w:sz w:val="18"/>
              </w:rPr>
              <w:t>§3.1</w:t>
            </w:r>
          </w:p>
        </w:tc>
      </w:tr>
      <w:tr w14:paraId="65356E0E">
        <w:tblPrEx>
          <w:tblCellMar>
            <w:top w:w="0" w:type="dxa"/>
            <w:left w:w="108" w:type="dxa"/>
            <w:bottom w:w="0" w:type="dxa"/>
            <w:right w:w="108" w:type="dxa"/>
          </w:tblCellMar>
        </w:tblPrEx>
        <w:tc>
          <w:p w14:paraId="6869F4BF">
            <w:pPr>
              <w:pStyle w:val="24"/>
              <w:spacing w:after="0"/>
              <w:jc w:val="left"/>
            </w:pPr>
            <w:r>
              <w:rPr>
                <w:rFonts w:ascii="Aptos" w:hAnsi="Aptos"/>
                <w:color w:val="1F2937"/>
                <w:sz w:val="18"/>
              </w:rPr>
              <w:t>3.2 Carácter innovador</w:t>
            </w:r>
          </w:p>
        </w:tc>
        <w:tc>
          <w:p w14:paraId="605C399E">
            <w:pPr>
              <w:pStyle w:val="24"/>
              <w:spacing w:after="0"/>
              <w:jc w:val="left"/>
            </w:pPr>
            <w:r>
              <w:rPr>
                <w:rFonts w:ascii="Aptos" w:hAnsi="Aptos"/>
                <w:color w:val="1F2937"/>
                <w:sz w:val="18"/>
              </w:rPr>
              <w:t>§3.2</w:t>
            </w:r>
          </w:p>
        </w:tc>
      </w:tr>
      <w:tr w14:paraId="62BF7C61">
        <w:tblPrEx>
          <w:tblCellMar>
            <w:top w:w="0" w:type="dxa"/>
            <w:left w:w="108" w:type="dxa"/>
            <w:bottom w:w="0" w:type="dxa"/>
            <w:right w:w="108" w:type="dxa"/>
          </w:tblCellMar>
        </w:tblPrEx>
        <w:tc>
          <w:p w14:paraId="3FB5D468">
            <w:pPr>
              <w:pStyle w:val="24"/>
              <w:spacing w:after="0"/>
              <w:jc w:val="left"/>
            </w:pPr>
            <w:r>
              <w:rPr>
                <w:rFonts w:ascii="Aptos" w:hAnsi="Aptos"/>
                <w:color w:val="1F2937"/>
                <w:sz w:val="18"/>
              </w:rPr>
              <w:t>Estado real del desarrollo (repositorio, stack, valoración del código)</w:t>
            </w:r>
          </w:p>
        </w:tc>
        <w:tc>
          <w:p w14:paraId="79CBA5F9">
            <w:pPr>
              <w:pStyle w:val="24"/>
              <w:spacing w:after="0"/>
              <w:jc w:val="left"/>
            </w:pPr>
            <w:r>
              <w:rPr>
                <w:rFonts w:ascii="Aptos" w:hAnsi="Aptos"/>
                <w:color w:val="1F2937"/>
                <w:sz w:val="18"/>
              </w:rPr>
              <w:t>§3.8, Anexo C</w:t>
            </w:r>
          </w:p>
        </w:tc>
      </w:tr>
      <w:tr w14:paraId="42F82BEA">
        <w:tblPrEx>
          <w:tblCellMar>
            <w:top w:w="0" w:type="dxa"/>
            <w:left w:w="108" w:type="dxa"/>
            <w:bottom w:w="0" w:type="dxa"/>
            <w:right w:w="108" w:type="dxa"/>
          </w:tblCellMar>
        </w:tblPrEx>
        <w:tc>
          <w:p w14:paraId="2229C317">
            <w:pPr>
              <w:pStyle w:val="24"/>
              <w:spacing w:after="0"/>
              <w:jc w:val="left"/>
            </w:pPr>
            <w:r>
              <w:rPr>
                <w:rFonts w:ascii="Aptos" w:hAnsi="Aptos"/>
                <w:color w:val="1F2937"/>
                <w:sz w:val="18"/>
              </w:rPr>
              <w:t>3.3 Cartera de productos y servicios</w:t>
            </w:r>
          </w:p>
        </w:tc>
        <w:tc>
          <w:p w14:paraId="24C2E3A9">
            <w:pPr>
              <w:pStyle w:val="24"/>
              <w:spacing w:after="0"/>
              <w:jc w:val="left"/>
            </w:pPr>
            <w:r>
              <w:rPr>
                <w:rFonts w:ascii="Aptos" w:hAnsi="Aptos"/>
                <w:color w:val="1F2937"/>
                <w:sz w:val="18"/>
              </w:rPr>
              <w:t>§3.3</w:t>
            </w:r>
          </w:p>
        </w:tc>
      </w:tr>
      <w:tr w14:paraId="76222C6D">
        <w:tblPrEx>
          <w:tblCellMar>
            <w:top w:w="0" w:type="dxa"/>
            <w:left w:w="108" w:type="dxa"/>
            <w:bottom w:w="0" w:type="dxa"/>
            <w:right w:w="108" w:type="dxa"/>
          </w:tblCellMar>
        </w:tblPrEx>
        <w:tc>
          <w:p w14:paraId="3DEB3257">
            <w:pPr>
              <w:pStyle w:val="24"/>
              <w:spacing w:after="0"/>
              <w:jc w:val="left"/>
            </w:pPr>
            <w:r>
              <w:rPr>
                <w:rFonts w:ascii="Aptos" w:hAnsi="Aptos"/>
                <w:color w:val="1F2937"/>
                <w:sz w:val="18"/>
              </w:rPr>
              <w:t>4 Fuentes de ingresos; 4.1 mecanismos de pago; 4.2 periodicidad y %</w:t>
            </w:r>
          </w:p>
        </w:tc>
        <w:tc>
          <w:p w14:paraId="7B7790DD">
            <w:pPr>
              <w:pStyle w:val="24"/>
              <w:spacing w:after="0"/>
              <w:jc w:val="left"/>
            </w:pPr>
            <w:r>
              <w:rPr>
                <w:rFonts w:ascii="Aptos" w:hAnsi="Aptos"/>
                <w:color w:val="1F2937"/>
                <w:sz w:val="18"/>
              </w:rPr>
              <w:t>§4, §4.1, §4.2</w:t>
            </w:r>
          </w:p>
        </w:tc>
      </w:tr>
      <w:tr w14:paraId="20E1CF98">
        <w:tblPrEx>
          <w:tblCellMar>
            <w:top w:w="0" w:type="dxa"/>
            <w:left w:w="108" w:type="dxa"/>
            <w:bottom w:w="0" w:type="dxa"/>
            <w:right w:w="108" w:type="dxa"/>
          </w:tblCellMar>
        </w:tblPrEx>
        <w:tc>
          <w:p w14:paraId="4DB04D3D">
            <w:pPr>
              <w:pStyle w:val="24"/>
              <w:spacing w:after="0"/>
              <w:jc w:val="left"/>
            </w:pPr>
            <w:r>
              <w:rPr>
                <w:rFonts w:ascii="Aptos" w:hAnsi="Aptos"/>
                <w:color w:val="1F2937"/>
                <w:sz w:val="18"/>
              </w:rPr>
              <w:t>5.1 Sector; 5.2 entorno; 5.3 buyer persona; 5.4 competencia con nombres reales</w:t>
            </w:r>
          </w:p>
        </w:tc>
        <w:tc>
          <w:p w14:paraId="0AB563C1">
            <w:pPr>
              <w:pStyle w:val="24"/>
              <w:spacing w:after="0"/>
              <w:jc w:val="left"/>
            </w:pPr>
            <w:r>
              <w:rPr>
                <w:rFonts w:ascii="Aptos" w:hAnsi="Aptos"/>
                <w:color w:val="1F2937"/>
                <w:sz w:val="18"/>
              </w:rPr>
              <w:t>§5.1–§5.4</w:t>
            </w:r>
          </w:p>
        </w:tc>
      </w:tr>
      <w:tr w14:paraId="5E7B86DE">
        <w:tblPrEx>
          <w:tblCellMar>
            <w:top w:w="0" w:type="dxa"/>
            <w:left w:w="108" w:type="dxa"/>
            <w:bottom w:w="0" w:type="dxa"/>
            <w:right w:w="108" w:type="dxa"/>
          </w:tblCellMar>
        </w:tblPrEx>
        <w:tc>
          <w:p w14:paraId="2EF5ABB3">
            <w:pPr>
              <w:pStyle w:val="24"/>
              <w:spacing w:after="0"/>
              <w:jc w:val="left"/>
            </w:pPr>
            <w:r>
              <w:rPr>
                <w:rFonts w:ascii="Aptos" w:hAnsi="Aptos"/>
                <w:color w:val="1F2937"/>
                <w:sz w:val="18"/>
              </w:rPr>
              <w:t>6.1 Posicionamiento y precios; 6.2 canales y logística; 6.3 comunicación e identidad</w:t>
            </w:r>
          </w:p>
        </w:tc>
        <w:tc>
          <w:p w14:paraId="155D85FB">
            <w:pPr>
              <w:pStyle w:val="24"/>
              <w:spacing w:after="0"/>
              <w:jc w:val="left"/>
            </w:pPr>
            <w:r>
              <w:rPr>
                <w:rFonts w:ascii="Aptos" w:hAnsi="Aptos"/>
                <w:color w:val="1F2937"/>
                <w:sz w:val="18"/>
              </w:rPr>
              <w:t>§6.1–§6.3</w:t>
            </w:r>
          </w:p>
        </w:tc>
      </w:tr>
      <w:tr w14:paraId="292AB195">
        <w:tblPrEx>
          <w:tblCellMar>
            <w:top w:w="0" w:type="dxa"/>
            <w:left w:w="108" w:type="dxa"/>
            <w:bottom w:w="0" w:type="dxa"/>
            <w:right w:w="108" w:type="dxa"/>
          </w:tblCellMar>
        </w:tblPrEx>
        <w:tc>
          <w:p w14:paraId="19B198ED">
            <w:pPr>
              <w:pStyle w:val="24"/>
              <w:spacing w:after="0"/>
              <w:jc w:val="left"/>
            </w:pPr>
            <w:r>
              <w:rPr>
                <w:rFonts w:ascii="Aptos" w:hAnsi="Aptos"/>
                <w:color w:val="1F2937"/>
                <w:sz w:val="18"/>
              </w:rPr>
              <w:t>7.1 Instalaciones; 7.2 equipamiento y proceso; 7.3 calidad, residuos, economía circular</w:t>
            </w:r>
          </w:p>
        </w:tc>
        <w:tc>
          <w:p w14:paraId="20A6A63C">
            <w:pPr>
              <w:pStyle w:val="24"/>
              <w:spacing w:after="0"/>
              <w:jc w:val="left"/>
            </w:pPr>
            <w:r>
              <w:rPr>
                <w:rFonts w:ascii="Aptos" w:hAnsi="Aptos"/>
                <w:color w:val="1F2937"/>
                <w:sz w:val="18"/>
              </w:rPr>
              <w:t>§7.1–§7.3, §7.10</w:t>
            </w:r>
          </w:p>
        </w:tc>
      </w:tr>
      <w:tr w14:paraId="1A566F3D">
        <w:tblPrEx>
          <w:tblCellMar>
            <w:top w:w="0" w:type="dxa"/>
            <w:left w:w="108" w:type="dxa"/>
            <w:bottom w:w="0" w:type="dxa"/>
            <w:right w:w="108" w:type="dxa"/>
          </w:tblCellMar>
        </w:tblPrEx>
        <w:tc>
          <w:p w14:paraId="7D9DCFCC">
            <w:pPr>
              <w:pStyle w:val="24"/>
              <w:spacing w:after="0"/>
              <w:jc w:val="left"/>
            </w:pPr>
            <w:r>
              <w:rPr>
                <w:rFonts w:ascii="Aptos" w:hAnsi="Aptos"/>
                <w:color w:val="1F2937"/>
                <w:sz w:val="18"/>
              </w:rPr>
              <w:t>8.1 Puestos; 8.2 organigrama y empleo local; 8.3 alianzas (incl. incubadoras)</w:t>
            </w:r>
          </w:p>
        </w:tc>
        <w:tc>
          <w:p w14:paraId="441C1943">
            <w:pPr>
              <w:pStyle w:val="24"/>
              <w:spacing w:after="0"/>
              <w:jc w:val="left"/>
            </w:pPr>
            <w:r>
              <w:rPr>
                <w:rFonts w:ascii="Aptos" w:hAnsi="Aptos"/>
                <w:color w:val="1F2937"/>
                <w:sz w:val="18"/>
              </w:rPr>
              <w:t>§8.1–§8.3</w:t>
            </w:r>
          </w:p>
        </w:tc>
      </w:tr>
      <w:tr w14:paraId="365974D5">
        <w:tblPrEx>
          <w:tblCellMar>
            <w:top w:w="0" w:type="dxa"/>
            <w:left w:w="108" w:type="dxa"/>
            <w:bottom w:w="0" w:type="dxa"/>
            <w:right w:w="108" w:type="dxa"/>
          </w:tblCellMar>
        </w:tblPrEx>
        <w:tc>
          <w:p w14:paraId="1892FAD3">
            <w:pPr>
              <w:pStyle w:val="24"/>
              <w:spacing w:after="0"/>
              <w:jc w:val="left"/>
            </w:pPr>
            <w:r>
              <w:rPr>
                <w:rFonts w:ascii="Aptos" w:hAnsi="Aptos"/>
                <w:color w:val="1F2937"/>
                <w:sz w:val="18"/>
              </w:rPr>
              <w:t>9 DAFO</w:t>
            </w:r>
          </w:p>
        </w:tc>
        <w:tc>
          <w:p w14:paraId="27E54DED">
            <w:pPr>
              <w:pStyle w:val="24"/>
              <w:spacing w:after="0"/>
              <w:jc w:val="left"/>
            </w:pPr>
            <w:r>
              <w:rPr>
                <w:rFonts w:ascii="Aptos" w:hAnsi="Aptos"/>
                <w:color w:val="1F2937"/>
                <w:sz w:val="18"/>
              </w:rPr>
              <w:t>§9</w:t>
            </w:r>
          </w:p>
        </w:tc>
      </w:tr>
      <w:tr w14:paraId="026BE083">
        <w:tblPrEx>
          <w:tblCellMar>
            <w:top w:w="0" w:type="dxa"/>
            <w:left w:w="108" w:type="dxa"/>
            <w:bottom w:w="0" w:type="dxa"/>
            <w:right w:w="108" w:type="dxa"/>
          </w:tblCellMar>
        </w:tblPrEx>
        <w:tc>
          <w:p w14:paraId="7BD609D3">
            <w:pPr>
              <w:pStyle w:val="24"/>
              <w:spacing w:after="0"/>
              <w:jc w:val="left"/>
            </w:pPr>
            <w:r>
              <w:rPr>
                <w:rFonts w:ascii="Aptos" w:hAnsi="Aptos"/>
                <w:color w:val="1F2937"/>
                <w:sz w:val="18"/>
              </w:rPr>
              <w:t>Coherencia memoria–Excel</w:t>
            </w:r>
          </w:p>
        </w:tc>
        <w:tc>
          <w:p w14:paraId="4CD6FFE3">
            <w:pPr>
              <w:pStyle w:val="24"/>
              <w:spacing w:after="0"/>
              <w:jc w:val="left"/>
            </w:pPr>
            <w:r>
              <w:rPr>
                <w:rFonts w:ascii="Aptos" w:hAnsi="Aptos"/>
                <w:color w:val="1F2937"/>
                <w:sz w:val="18"/>
              </w:rPr>
              <w:t>Cierre + §4.3</w:t>
            </w:r>
          </w:p>
        </w:tc>
      </w:tr>
    </w:tbl>
    <w:p w14:paraId="15AE4DD5">
      <w:pPr>
        <w:pStyle w:val="4"/>
      </w:pPr>
      <w:bookmarkStart w:id="100" w:name="X38fbcd85047e94778a9749af5825de63fb7347b"/>
      <w:r>
        <w:rPr>
          <w:rFonts w:ascii="Aptos Display" w:hAnsi="Aptos Display"/>
          <w:b/>
          <w:color w:val="174A2E"/>
          <w:sz w:val="21"/>
        </w:rPr>
        <w:t>Anexo F. Estado real de evidencias y compromisos</w:t>
      </w:r>
      <w:bookmarkEnd w:id="100"/>
    </w:p>
    <w:p w14:paraId="27C4E000">
      <w:pPr>
        <w:pStyle w:val="23"/>
      </w:pPr>
      <w:r>
        <w:rPr>
          <w:rFonts w:ascii="Aptos" w:hAnsi="Aptos"/>
          <w:color w:val="1F2937"/>
          <w:sz w:val="21"/>
        </w:rPr>
        <w:t xml:space="preserve">Resumen de estados honestos (auditoría v5.1): Cuatrecasas Acelera </w:t>
      </w:r>
      <w:r>
        <w:rPr>
          <w:rFonts w:ascii="Aptos" w:hAnsi="Aptos"/>
          <w:b/>
          <w:color w:val="1F2937"/>
          <w:sz w:val="21"/>
        </w:rPr>
        <w:t>en proceso de selección</w:t>
      </w:r>
      <w:r>
        <w:rPr>
          <w:rFonts w:ascii="Aptos" w:hAnsi="Aptos"/>
          <w:color w:val="1F2937"/>
          <w:sz w:val="21"/>
        </w:rPr>
        <w:t xml:space="preserve"> (no admitida); dos </w:t>
      </w:r>
      <w:r>
        <w:rPr>
          <w:rFonts w:ascii="Aptos" w:hAnsi="Aptos"/>
          <w:b/>
          <w:color w:val="1F2937"/>
          <w:sz w:val="21"/>
        </w:rPr>
        <w:t>acuerdos de colaboración</w:t>
      </w:r>
      <w:r>
        <w:rPr>
          <w:rFonts w:ascii="Aptos" w:hAnsi="Aptos"/>
          <w:color w:val="1F2937"/>
          <w:sz w:val="21"/>
        </w:rPr>
        <w:t xml:space="preserve"> con explotaciones ganaderas (acceso a usuarios reales, no clientes remunerados); cuatro programas de incubación </w:t>
      </w:r>
      <w:r>
        <w:rPr>
          <w:rFonts w:ascii="Aptos" w:hAnsi="Aptos"/>
          <w:b/>
          <w:color w:val="1F2937"/>
          <w:sz w:val="21"/>
        </w:rPr>
        <w:t>en candidatura</w:t>
      </w:r>
      <w:r>
        <w:rPr>
          <w:rFonts w:ascii="Aptos" w:hAnsi="Aptos"/>
          <w:color w:val="1F2937"/>
          <w:sz w:val="21"/>
        </w:rPr>
        <w:t xml:space="preserve">; marca </w:t>
      </w:r>
      <w:r>
        <w:rPr>
          <w:rFonts w:ascii="Aptos" w:hAnsi="Aptos"/>
          <w:b/>
          <w:color w:val="1F2937"/>
          <w:sz w:val="21"/>
        </w:rPr>
        <w:t>M4359038</w:t>
      </w:r>
      <w:r>
        <w:rPr>
          <w:rFonts w:ascii="Aptos" w:hAnsi="Aptos"/>
          <w:color w:val="1F2937"/>
          <w:sz w:val="21"/>
        </w:rPr>
        <w:t xml:space="preserve"> en proceso de concesión (tasa 210,72 € abonada); 116 tests de CI </w:t>
      </w:r>
      <w:r>
        <w:rPr>
          <w:rFonts w:ascii="Aptos" w:hAnsi="Aptos"/>
          <w:b/>
          <w:color w:val="1F2937"/>
          <w:sz w:val="21"/>
        </w:rPr>
        <w:t>superados</w:t>
      </w:r>
      <w:r>
        <w:rPr>
          <w:rFonts w:ascii="Aptos" w:hAnsi="Aptos"/>
          <w:color w:val="1F2937"/>
          <w:sz w:val="21"/>
        </w:rPr>
        <w:t xml:space="preserve">; activo tecnológico 420.000 € </w:t>
      </w:r>
      <w:r>
        <w:rPr>
          <w:rFonts w:ascii="Aptos" w:hAnsi="Aptos"/>
          <w:b/>
          <w:color w:val="1F2937"/>
          <w:sz w:val="21"/>
        </w:rPr>
        <w:t>valoración técnica</w:t>
      </w:r>
      <w:r>
        <w:rPr>
          <w:rFonts w:ascii="Aptos" w:hAnsi="Aptos"/>
          <w:color w:val="1F2937"/>
          <w:sz w:val="21"/>
        </w:rPr>
        <w:t xml:space="preserve">. Todo importe/salario/ayuda no documentado figura como </w:t>
      </w:r>
      <w:r>
        <w:rPr>
          <w:rFonts w:ascii="Aptos" w:hAnsi="Aptos"/>
          <w:b/>
          <w:color w:val="1F2937"/>
          <w:sz w:val="21"/>
        </w:rPr>
        <w:t>A CONSIGNAR</w:t>
      </w:r>
      <w:r>
        <w:rPr>
          <w:rFonts w:ascii="Aptos" w:hAnsi="Aptos"/>
          <w:color w:val="1F2937"/>
          <w:sz w:val="21"/>
        </w:rPr>
        <w:t>.</w:t>
      </w:r>
    </w:p>
    <w:p w14:paraId="22540282">
      <w:pPr>
        <w:pStyle w:val="4"/>
      </w:pPr>
      <w:bookmarkStart w:id="101" w:name="X14f9dac8f15e7a8fe51aa7846b8652a6f5b99b7"/>
      <w:r>
        <w:rPr>
          <w:rFonts w:ascii="Aptos Display" w:hAnsi="Aptos Display"/>
          <w:b/>
          <w:color w:val="174A2E"/>
          <w:sz w:val="21"/>
        </w:rPr>
        <w:t>Anexo G. Trazabilidad económica histórica (gasto documentado)</w:t>
      </w:r>
      <w:bookmarkEnd w:id="101"/>
    </w:p>
    <w:p w14:paraId="02FE21A3">
      <w:pPr>
        <w:pStyle w:val="23"/>
      </w:pPr>
      <w:r>
        <w:rPr>
          <w:rFonts w:ascii="Aptos" w:hAnsi="Aptos"/>
          <w:b/>
          <w:color w:val="1F2937"/>
          <w:sz w:val="21"/>
        </w:rPr>
        <w:t>Periodo 21/01/2026–14/08/2026. Criterio conservador:</w:t>
      </w:r>
      <w:r>
        <w:rPr>
          <w:rFonts w:ascii="Aptos" w:hAnsi="Aptos"/>
          <w:color w:val="1F2937"/>
          <w:sz w:val="21"/>
        </w:rPr>
        <w:t xml:space="preserve"> cada gasto se contabiliza una sola vez y por el importe de su justificante; los duplicados documentales se eliminan. Fuente: paquetes documentales aportados por el promotor. Detalle y fórmulas en la el Anexo G del Excel.</w:t>
      </w:r>
    </w:p>
    <w:tbl>
      <w:tblPr>
        <w:tblStyle w:val="28"/>
        <w:tblW w:w="5000" w:type="pct"/>
        <w:jc w:val="center"/>
        <w:tblInd w:w="0" w:type="dxa"/>
        <w:tblLayout w:type="fixed"/>
        <w:tblCellMar>
          <w:top w:w="0" w:type="dxa"/>
          <w:left w:w="108" w:type="dxa"/>
          <w:bottom w:w="0" w:type="dxa"/>
          <w:right w:w="108" w:type="dxa"/>
        </w:tblCellMar>
      </w:tblPr>
      <w:tblGrid>
        <w:gridCol w:w="3960"/>
        <w:gridCol w:w="3960"/>
      </w:tblGrid>
      <w:tr w14:paraId="6FE664B2">
        <w:tc>
          <w:tcPr>
            <w:tcW w:w="4680" w:type="dxa"/>
            <w:tcBorders>
              <w:bottom w:val="single" w:color="auto" w:sz="0" w:space="0"/>
            </w:tcBorders>
            <w:vAlign w:val="bottom"/>
          </w:tcPr>
          <w:p w14:paraId="5CE0D013">
            <w:pPr>
              <w:pStyle w:val="24"/>
              <w:spacing w:after="0"/>
              <w:jc w:val="left"/>
            </w:pPr>
            <w:r>
              <w:rPr>
                <w:rFonts w:ascii="Aptos" w:hAnsi="Aptos"/>
                <w:color w:val="1F2937"/>
                <w:sz w:val="18"/>
              </w:rPr>
              <w:t>Categoría</w:t>
            </w:r>
          </w:p>
        </w:tc>
        <w:tc>
          <w:tcPr>
            <w:tcW w:w="4680" w:type="dxa"/>
            <w:tcBorders>
              <w:bottom w:val="single" w:color="auto" w:sz="0" w:space="0"/>
            </w:tcBorders>
            <w:vAlign w:val="bottom"/>
          </w:tcPr>
          <w:p w14:paraId="602D52E9">
            <w:pPr>
              <w:pStyle w:val="24"/>
              <w:spacing w:after="0"/>
              <w:jc w:val="right"/>
            </w:pPr>
            <w:r>
              <w:rPr>
                <w:rFonts w:ascii="Aptos" w:hAnsi="Aptos"/>
                <w:color w:val="1F2937"/>
                <w:sz w:val="18"/>
              </w:rPr>
              <w:t>Total</w:t>
            </w:r>
          </w:p>
        </w:tc>
      </w:tr>
      <w:tr w14:paraId="75B6008F">
        <w:tblPrEx>
          <w:tblCellMar>
            <w:top w:w="0" w:type="dxa"/>
            <w:left w:w="108" w:type="dxa"/>
            <w:bottom w:w="0" w:type="dxa"/>
            <w:right w:w="108" w:type="dxa"/>
          </w:tblCellMar>
        </w:tblPrEx>
        <w:tc>
          <w:p w14:paraId="55307A9A">
            <w:pPr>
              <w:pStyle w:val="24"/>
              <w:spacing w:after="0"/>
              <w:jc w:val="left"/>
            </w:pPr>
            <w:r>
              <w:rPr>
                <w:rFonts w:ascii="Aptos" w:hAnsi="Aptos"/>
                <w:color w:val="1F2937"/>
                <w:sz w:val="18"/>
              </w:rPr>
              <w:t>Anthropic / Claude (uso adicional IA)</w:t>
            </w:r>
          </w:p>
        </w:tc>
        <w:tc>
          <w:p w14:paraId="044456CF">
            <w:pPr>
              <w:pStyle w:val="24"/>
              <w:spacing w:after="0"/>
              <w:jc w:val="right"/>
            </w:pPr>
            <w:r>
              <w:rPr>
                <w:rFonts w:ascii="Aptos" w:hAnsi="Aptos"/>
                <w:color w:val="1F2937"/>
                <w:sz w:val="18"/>
              </w:rPr>
              <w:t>161,97 €</w:t>
            </w:r>
          </w:p>
        </w:tc>
      </w:tr>
      <w:tr w14:paraId="5D6D3797">
        <w:tblPrEx>
          <w:tblCellMar>
            <w:top w:w="0" w:type="dxa"/>
            <w:left w:w="108" w:type="dxa"/>
            <w:bottom w:w="0" w:type="dxa"/>
            <w:right w:w="108" w:type="dxa"/>
          </w:tblCellMar>
        </w:tblPrEx>
        <w:tc>
          <w:p w14:paraId="63D9EF1E">
            <w:pPr>
              <w:pStyle w:val="24"/>
              <w:spacing w:after="0"/>
              <w:jc w:val="left"/>
            </w:pPr>
            <w:r>
              <w:rPr>
                <w:rFonts w:ascii="Aptos" w:hAnsi="Aptos"/>
                <w:color w:val="1F2937"/>
                <w:sz w:val="18"/>
              </w:rPr>
              <w:t>Hetzner (servidores «Castuo-system»)</w:t>
            </w:r>
          </w:p>
        </w:tc>
        <w:tc>
          <w:p w14:paraId="62EE5A90">
            <w:pPr>
              <w:pStyle w:val="24"/>
              <w:spacing w:after="0"/>
              <w:jc w:val="right"/>
            </w:pPr>
            <w:r>
              <w:rPr>
                <w:rFonts w:ascii="Aptos" w:hAnsi="Aptos"/>
                <w:color w:val="1F2937"/>
                <w:sz w:val="18"/>
              </w:rPr>
              <w:t>96,74 €</w:t>
            </w:r>
          </w:p>
        </w:tc>
      </w:tr>
      <w:tr w14:paraId="123D7222">
        <w:tblPrEx>
          <w:tblCellMar>
            <w:top w:w="0" w:type="dxa"/>
            <w:left w:w="108" w:type="dxa"/>
            <w:bottom w:w="0" w:type="dxa"/>
            <w:right w:w="108" w:type="dxa"/>
          </w:tblCellMar>
        </w:tblPrEx>
        <w:tc>
          <w:p w14:paraId="3E61F607">
            <w:pPr>
              <w:pStyle w:val="24"/>
              <w:spacing w:after="0"/>
              <w:jc w:val="left"/>
            </w:pPr>
            <w:r>
              <w:rPr>
                <w:rFonts w:ascii="Aptos" w:hAnsi="Aptos"/>
                <w:color w:val="1F2937"/>
                <w:sz w:val="18"/>
              </w:rPr>
              <w:t>Bitdefender Premium Security</w:t>
            </w:r>
          </w:p>
        </w:tc>
        <w:tc>
          <w:p w14:paraId="69DE707B">
            <w:pPr>
              <w:pStyle w:val="24"/>
              <w:spacing w:after="0"/>
              <w:jc w:val="right"/>
            </w:pPr>
            <w:r>
              <w:rPr>
                <w:rFonts w:ascii="Aptos" w:hAnsi="Aptos"/>
                <w:color w:val="1F2937"/>
                <w:sz w:val="18"/>
              </w:rPr>
              <w:t>54,99 €</w:t>
            </w:r>
          </w:p>
        </w:tc>
      </w:tr>
      <w:tr w14:paraId="095F76C1">
        <w:tblPrEx>
          <w:tblCellMar>
            <w:top w:w="0" w:type="dxa"/>
            <w:left w:w="108" w:type="dxa"/>
            <w:bottom w:w="0" w:type="dxa"/>
            <w:right w:w="108" w:type="dxa"/>
          </w:tblCellMar>
        </w:tblPrEx>
        <w:tc>
          <w:p w14:paraId="66EBBD48">
            <w:pPr>
              <w:pStyle w:val="24"/>
              <w:spacing w:after="0"/>
              <w:jc w:val="left"/>
            </w:pPr>
            <w:bookmarkStart w:id="102" w:name="_GoBack"/>
            <w:r>
              <w:rPr>
                <w:rFonts w:ascii="Aptos" w:hAnsi="Aptos"/>
                <w:color w:val="1F2937"/>
                <w:sz w:val="18"/>
              </w:rPr>
              <w:t>Reparación informática — incidente troyano (Infonorba)</w:t>
            </w:r>
          </w:p>
        </w:tc>
        <w:tc>
          <w:p w14:paraId="360D8F33">
            <w:pPr>
              <w:pStyle w:val="24"/>
              <w:spacing w:after="0"/>
              <w:jc w:val="right"/>
            </w:pPr>
            <w:r>
              <w:rPr>
                <w:rFonts w:ascii="Aptos" w:hAnsi="Aptos"/>
                <w:color w:val="1F2937"/>
                <w:sz w:val="18"/>
              </w:rPr>
              <w:t>268,60 €</w:t>
            </w:r>
          </w:p>
        </w:tc>
      </w:tr>
      <w:bookmarkEnd w:id="102"/>
      <w:tr w14:paraId="14F809E8">
        <w:tblPrEx>
          <w:tblCellMar>
            <w:top w:w="0" w:type="dxa"/>
            <w:left w:w="108" w:type="dxa"/>
            <w:bottom w:w="0" w:type="dxa"/>
            <w:right w:w="108" w:type="dxa"/>
          </w:tblCellMar>
        </w:tblPrEx>
        <w:tc>
          <w:p w14:paraId="719B239D">
            <w:pPr>
              <w:pStyle w:val="24"/>
              <w:spacing w:after="0"/>
              <w:jc w:val="left"/>
            </w:pPr>
            <w:r>
              <w:rPr>
                <w:rFonts w:ascii="Aptos" w:hAnsi="Aptos"/>
                <w:color w:val="1F2937"/>
                <w:sz w:val="18"/>
              </w:rPr>
              <w:t>Combustible / desplazamientos</w:t>
            </w:r>
          </w:p>
        </w:tc>
        <w:tc>
          <w:p w14:paraId="21A42E6A">
            <w:pPr>
              <w:pStyle w:val="24"/>
              <w:spacing w:after="0"/>
              <w:jc w:val="right"/>
            </w:pPr>
            <w:r>
              <w:rPr>
                <w:rFonts w:ascii="Aptos" w:hAnsi="Aptos"/>
                <w:color w:val="1F2937"/>
                <w:sz w:val="18"/>
              </w:rPr>
              <w:t>155,45 €</w:t>
            </w:r>
          </w:p>
        </w:tc>
      </w:tr>
      <w:tr w14:paraId="17BF2FF1">
        <w:tblPrEx>
          <w:tblCellMar>
            <w:top w:w="0" w:type="dxa"/>
            <w:left w:w="108" w:type="dxa"/>
            <w:bottom w:w="0" w:type="dxa"/>
            <w:right w:w="108" w:type="dxa"/>
          </w:tblCellMar>
        </w:tblPrEx>
        <w:tc>
          <w:p w14:paraId="4D8AC3B8">
            <w:pPr>
              <w:pStyle w:val="24"/>
              <w:spacing w:after="0"/>
              <w:jc w:val="left"/>
            </w:pPr>
            <w:r>
              <w:rPr>
                <w:rFonts w:ascii="Aptos" w:hAnsi="Aptos"/>
                <w:color w:val="1F2937"/>
                <w:sz w:val="18"/>
              </w:rPr>
              <w:t>Seguridad Social (periodo 01/2026)</w:t>
            </w:r>
          </w:p>
        </w:tc>
        <w:tc>
          <w:p w14:paraId="02201643">
            <w:pPr>
              <w:pStyle w:val="24"/>
              <w:spacing w:after="0"/>
              <w:jc w:val="right"/>
            </w:pPr>
            <w:r>
              <w:rPr>
                <w:rFonts w:ascii="Aptos" w:hAnsi="Aptos"/>
                <w:color w:val="1F2937"/>
                <w:sz w:val="18"/>
              </w:rPr>
              <w:t>109,84 €</w:t>
            </w:r>
          </w:p>
        </w:tc>
      </w:tr>
      <w:tr w14:paraId="5CF27E02">
        <w:tblPrEx>
          <w:tblCellMar>
            <w:top w:w="0" w:type="dxa"/>
            <w:left w:w="108" w:type="dxa"/>
            <w:bottom w:w="0" w:type="dxa"/>
            <w:right w:w="108" w:type="dxa"/>
          </w:tblCellMar>
        </w:tblPrEx>
        <w:tc>
          <w:p w14:paraId="09B19DCD">
            <w:pPr>
              <w:pStyle w:val="24"/>
              <w:spacing w:after="0"/>
              <w:jc w:val="left"/>
            </w:pPr>
            <w:r>
              <w:rPr>
                <w:rFonts w:ascii="Aptos" w:hAnsi="Aptos"/>
                <w:color w:val="1F2937"/>
                <w:sz w:val="18"/>
              </w:rPr>
              <w:t xml:space="preserve">Tasa de marca / nombre comercial (solicitud M4359038, </w:t>
            </w:r>
            <w:r>
              <w:rPr>
                <w:rFonts w:ascii="Aptos" w:hAnsi="Aptos"/>
                <w:b/>
                <w:color w:val="1F2937"/>
                <w:sz w:val="18"/>
              </w:rPr>
              <w:t>en proceso de concesión</w:t>
            </w:r>
            <w:r>
              <w:rPr>
                <w:rFonts w:ascii="Aptos" w:hAnsi="Aptos"/>
                <w:color w:val="1F2937"/>
                <w:sz w:val="18"/>
              </w:rPr>
              <w:t>)</w:t>
            </w:r>
          </w:p>
        </w:tc>
        <w:tc>
          <w:p w14:paraId="20AA1BA0">
            <w:pPr>
              <w:pStyle w:val="24"/>
              <w:spacing w:after="0"/>
              <w:jc w:val="right"/>
            </w:pPr>
            <w:r>
              <w:rPr>
                <w:rFonts w:ascii="Aptos" w:hAnsi="Aptos"/>
                <w:color w:val="1F2937"/>
                <w:sz w:val="18"/>
              </w:rPr>
              <w:t>210,72 €</w:t>
            </w:r>
          </w:p>
        </w:tc>
      </w:tr>
      <w:tr w14:paraId="20C02342">
        <w:tblPrEx>
          <w:tblCellMar>
            <w:top w:w="0" w:type="dxa"/>
            <w:left w:w="108" w:type="dxa"/>
            <w:bottom w:w="0" w:type="dxa"/>
            <w:right w:w="108" w:type="dxa"/>
          </w:tblCellMar>
        </w:tblPrEx>
        <w:tc>
          <w:p w14:paraId="2C29265F">
            <w:pPr>
              <w:pStyle w:val="24"/>
              <w:spacing w:after="0"/>
              <w:jc w:val="left"/>
            </w:pPr>
            <w:r>
              <w:rPr>
                <w:rFonts w:ascii="Aptos" w:hAnsi="Aptos"/>
                <w:b/>
                <w:color w:val="1F2937"/>
                <w:sz w:val="18"/>
              </w:rPr>
              <w:t>Total documentado (€)</w:t>
            </w:r>
          </w:p>
        </w:tc>
        <w:tc>
          <w:p w14:paraId="2772DEB2">
            <w:pPr>
              <w:pStyle w:val="24"/>
              <w:spacing w:after="0"/>
              <w:jc w:val="right"/>
            </w:pPr>
            <w:r>
              <w:rPr>
                <w:rFonts w:ascii="Aptos" w:hAnsi="Aptos"/>
                <w:b/>
                <w:color w:val="1F2937"/>
                <w:sz w:val="18"/>
              </w:rPr>
              <w:t>1.058,31 €</w:t>
            </w:r>
          </w:p>
        </w:tc>
      </w:tr>
      <w:tr w14:paraId="5B83EF81">
        <w:tblPrEx>
          <w:tblCellMar>
            <w:top w:w="0" w:type="dxa"/>
            <w:left w:w="108" w:type="dxa"/>
            <w:bottom w:w="0" w:type="dxa"/>
            <w:right w:w="108" w:type="dxa"/>
          </w:tblCellMar>
        </w:tblPrEx>
        <w:tc>
          <w:p w14:paraId="6AF1812B">
            <w:pPr>
              <w:pStyle w:val="24"/>
              <w:spacing w:after="0"/>
              <w:jc w:val="left"/>
            </w:pPr>
            <w:r>
              <w:rPr>
                <w:rFonts w:ascii="Aptos" w:hAnsi="Aptos"/>
                <w:color w:val="1F2937"/>
                <w:sz w:val="18"/>
              </w:rPr>
              <w:t>GitHub / GitHub Copilot (no convertido a €)</w:t>
            </w:r>
          </w:p>
        </w:tc>
        <w:tc>
          <w:p w14:paraId="34AEC967">
            <w:pPr>
              <w:pStyle w:val="24"/>
              <w:spacing w:after="0"/>
              <w:jc w:val="right"/>
            </w:pPr>
            <w:r>
              <w:rPr>
                <w:rFonts w:ascii="Aptos" w:hAnsi="Aptos"/>
                <w:color w:val="1F2937"/>
                <w:sz w:val="18"/>
              </w:rPr>
              <w:t>21,42 USD</w:t>
            </w:r>
          </w:p>
        </w:tc>
      </w:tr>
    </w:tbl>
    <w:p w14:paraId="263D8DAC">
      <w:pPr>
        <w:pStyle w:val="3"/>
      </w:pPr>
      <w:r>
        <w:rPr>
          <w:rFonts w:ascii="Aptos" w:hAnsi="Aptos"/>
          <w:b/>
          <w:color w:val="1F2937"/>
          <w:sz w:val="21"/>
        </w:rPr>
        <w:t>Criterios y salvedades.</w:t>
      </w:r>
      <w:r>
        <w:rPr>
          <w:rFonts w:ascii="Aptos" w:hAnsi="Aptos"/>
          <w:color w:val="1F2937"/>
          <w:sz w:val="21"/>
        </w:rPr>
        <w:t xml:space="preserve"> Incidente de malware por su importe exacto </w:t>
      </w:r>
      <w:r>
        <w:rPr>
          <w:rFonts w:ascii="Aptos" w:hAnsi="Aptos"/>
          <w:b/>
          <w:color w:val="1F2937"/>
          <w:sz w:val="21"/>
        </w:rPr>
        <w:t>268,60 €</w:t>
      </w:r>
      <w:r>
        <w:rPr>
          <w:rFonts w:ascii="Aptos" w:hAnsi="Aptos"/>
          <w:color w:val="1F2937"/>
          <w:sz w:val="21"/>
        </w:rPr>
        <w:t xml:space="preserve"> (no sumar «270 €»). Gestoría 70 €/trimestre </w:t>
      </w:r>
      <w:r>
        <w:rPr>
          <w:rFonts w:ascii="Aptos" w:hAnsi="Aptos"/>
          <w:b/>
          <w:color w:val="1F2937"/>
          <w:sz w:val="21"/>
        </w:rPr>
        <w:t>no contabilizada</w:t>
      </w:r>
      <w:r>
        <w:rPr>
          <w:rFonts w:ascii="Aptos" w:hAnsi="Aptos"/>
          <w:color w:val="1F2937"/>
          <w:sz w:val="21"/>
        </w:rPr>
        <w:t xml:space="preserve"> hasta factura. Alta censal (036) 0 €. GitHub en USD </w:t>
      </w:r>
      <w:r>
        <w:rPr>
          <w:rFonts w:ascii="Aptos" w:hAnsi="Aptos"/>
          <w:b/>
          <w:color w:val="1F2937"/>
          <w:sz w:val="21"/>
        </w:rPr>
        <w:t>no convertido</w:t>
      </w:r>
      <w:r>
        <w:rPr>
          <w:rFonts w:ascii="Aptos" w:hAnsi="Aptos"/>
          <w:color w:val="1F2937"/>
          <w:sz w:val="21"/>
        </w:rPr>
        <w:t xml:space="preserve">. Coste estrictamente tecnológico (Anthropic+Hetzner+Bitdefender+Infonorba) 582,30 € + 21,42 USD. </w:t>
      </w:r>
      <w:r>
        <w:rPr>
          <w:rFonts w:ascii="Aptos" w:hAnsi="Aptos"/>
          <w:b/>
          <w:color w:val="1F2937"/>
          <w:sz w:val="21"/>
        </w:rPr>
        <w:t>Tasa de marca 210,72 €</w:t>
      </w:r>
      <w:r>
        <w:rPr>
          <w:rFonts w:ascii="Aptos" w:hAnsi="Aptos"/>
          <w:color w:val="1F2937"/>
          <w:sz w:val="21"/>
        </w:rPr>
        <w:t xml:space="preserve"> (expediente M4359038) abonada y </w:t>
      </w:r>
      <w:r>
        <w:rPr>
          <w:rFonts w:ascii="Aptos" w:hAnsi="Aptos"/>
          <w:b/>
          <w:color w:val="1F2937"/>
          <w:sz w:val="21"/>
        </w:rPr>
        <w:t>en proceso de concesión</w:t>
      </w:r>
      <w:r>
        <w:rPr>
          <w:rFonts w:ascii="Aptos" w:hAnsi="Aptos"/>
          <w:color w:val="1F2937"/>
          <w:sz w:val="21"/>
        </w:rPr>
        <w:t xml:space="preserve"> (marca aún no concedida). </w:t>
      </w:r>
      <w:r>
        <w:rPr>
          <w:rFonts w:ascii="Aptos" w:hAnsi="Aptos"/>
          <w:b/>
          <w:color w:val="1F2937"/>
          <w:sz w:val="21"/>
        </w:rPr>
        <w:t>1.058,31 € + 21,42 USD</w:t>
      </w:r>
      <w:r>
        <w:rPr>
          <w:rFonts w:ascii="Aptos" w:hAnsi="Aptos"/>
          <w:color w:val="1F2937"/>
          <w:sz w:val="21"/>
        </w:rPr>
        <w:t xml:space="preserve"> es el mínimo documental acreditado, no el coste histórico total (pendiente: Cursor, Arsys, gestoría, dominios/APIs y facturas posteriores a jul-2026).</w:t>
      </w:r>
    </w:p>
    <w:p w14:paraId="542E04EC">
      <w:pPr>
        <w:pStyle w:val="3"/>
      </w:pPr>
      <w:r>
        <w:rPr>
          <w:rFonts w:ascii="Aptos" w:hAnsi="Aptos"/>
          <w:b/>
          <w:color w:val="1F2937"/>
          <w:sz w:val="21"/>
        </w:rPr>
        <w:t>Función en el plan.</w:t>
      </w:r>
      <w:r>
        <w:rPr>
          <w:rFonts w:ascii="Aptos" w:hAnsi="Aptos"/>
          <w:color w:val="1F2937"/>
          <w:sz w:val="21"/>
        </w:rPr>
        <w:t xml:space="preserve"> Pertenece al </w:t>
      </w:r>
      <w:r>
        <w:rPr>
          <w:rFonts w:ascii="Aptos" w:hAnsi="Aptos"/>
          <w:b/>
          <w:color w:val="1F2937"/>
          <w:sz w:val="21"/>
        </w:rPr>
        <w:t>Plano A (ejecutado/verificado)</w:t>
      </w:r>
      <w:r>
        <w:rPr>
          <w:rFonts w:ascii="Aptos" w:hAnsi="Aptos"/>
          <w:color w:val="1F2937"/>
          <w:sz w:val="21"/>
        </w:rPr>
        <w:t xml:space="preserve">: evidencia de compromiso y ejecución real, </w:t>
      </w:r>
      <w:r>
        <w:rPr>
          <w:rFonts w:ascii="Aptos" w:hAnsi="Aptos"/>
          <w:b/>
          <w:color w:val="1F2937"/>
          <w:sz w:val="21"/>
        </w:rPr>
        <w:t>separada</w:t>
      </w:r>
      <w:r>
        <w:rPr>
          <w:rFonts w:ascii="Aptos" w:hAnsi="Aptos"/>
          <w:color w:val="1F2937"/>
          <w:sz w:val="21"/>
        </w:rPr>
        <w:t xml:space="preserve"> del presupuesto futuro de F1 (165.000–195.000 €) y de la estimación interna de coste de reposición nuevo (420.000 € RCN, no caja).</w:t>
      </w:r>
    </w:p>
    <w:p>
      <w:pPr>
        <w:pStyle w:val="2"/>
      </w:pPr>
      <w:r>
        <w:rPr>
          <w:rFonts w:ascii="Aptos Display" w:hAnsi="Aptos Display"/>
          <w:b/>
          <w:color w:val="174A2E"/>
          <w:sz w:val="21"/>
        </w:rPr>
        <w:t>Sincronización económica con el Excel financiero reconciliado</w:t>
      </w:r>
    </w:p>
    <w:p>
      <w:r>
        <w:rPr>
          <w:rFonts w:ascii="Aptos" w:hAnsi="Aptos"/>
          <w:color w:val="1F2937"/>
          <w:sz w:val="21"/>
        </w:rPr>
        <w:t>Las cifras económicas de esta memoria se sincronizan con el Excel oficial de 12 hojas. El presupuesto F1 se mantiene separado del P&amp;L, de los pagos efectivos y de la caja; los intereses quedan fuera del presupuesto operativo F1. El Año 1 corresponde a los 12 meses posteriores al inicio efectivo de la Fase 1; las partidas de personal se calculan según meses efectivos de contratación y no como anualización completa salvo indicación expresa.</w:t>
      </w:r>
    </w:p>
    <w:tbl>
      <w:tblPr>
        <w:tblW w:type="auto" w:w="0"/>
        <w:jc w:val="center"/>
        <w:tblLook w:firstColumn="1" w:firstRow="1" w:lastColumn="0" w:lastRow="0" w:noHBand="0" w:noVBand="1" w:val="04A0"/>
      </w:tblPr>
      <w:tblGrid>
        <w:gridCol w:w="3120"/>
        <w:gridCol w:w="3120"/>
        <w:gridCol w:w="3120"/>
      </w:tblGrid>
      <w:tr>
        <w:tc>
          <w:tcPr>
            <w:tcW w:type="dxa" w:w="3120"/>
          </w:tcPr>
          <w:p>
            <w:pPr>
              <w:spacing w:after="0"/>
            </w:pPr>
            <w:r>
              <w:rPr>
                <w:rFonts w:ascii="Aptos" w:hAnsi="Aptos"/>
                <w:color w:val="1F2937"/>
                <w:sz w:val="18"/>
              </w:rPr>
              <w:t>Magnitud</w:t>
            </w:r>
          </w:p>
        </w:tc>
        <w:tc>
          <w:tcPr>
            <w:tcW w:type="dxa" w:w="3120"/>
          </w:tcPr>
          <w:p>
            <w:pPr>
              <w:spacing w:after="0"/>
            </w:pPr>
            <w:r>
              <w:rPr>
                <w:rFonts w:ascii="Aptos" w:hAnsi="Aptos"/>
                <w:color w:val="1F2937"/>
                <w:sz w:val="18"/>
              </w:rPr>
              <w:t>Importe</w:t>
            </w:r>
          </w:p>
        </w:tc>
        <w:tc>
          <w:tcPr>
            <w:tcW w:type="dxa" w:w="3120"/>
          </w:tcPr>
          <w:p>
            <w:pPr>
              <w:spacing w:after="0"/>
            </w:pPr>
            <w:r>
              <w:rPr>
                <w:rFonts w:ascii="Aptos" w:hAnsi="Aptos"/>
                <w:color w:val="1F2937"/>
                <w:sz w:val="18"/>
              </w:rPr>
              <w:t>Tratamiento</w:t>
            </w:r>
          </w:p>
        </w:tc>
      </w:tr>
      <w:tr>
        <w:tc>
          <w:tcPr>
            <w:tcW w:type="dxa" w:w="3120"/>
          </w:tcPr>
          <w:p>
            <w:pPr>
              <w:spacing w:after="0"/>
            </w:pPr>
            <w:r>
              <w:rPr>
                <w:rFonts w:ascii="Aptos" w:hAnsi="Aptos"/>
                <w:color w:val="1F2937"/>
                <w:sz w:val="18"/>
              </w:rPr>
              <w:t>F1 prudente</w:t>
            </w:r>
          </w:p>
        </w:tc>
        <w:tc>
          <w:tcPr>
            <w:tcW w:type="dxa" w:w="3120"/>
          </w:tcPr>
          <w:p>
            <w:pPr>
              <w:spacing w:after="0"/>
            </w:pPr>
            <w:r>
              <w:rPr>
                <w:rFonts w:ascii="Aptos" w:hAnsi="Aptos"/>
                <w:color w:val="1F2937"/>
                <w:sz w:val="18"/>
              </w:rPr>
              <w:t>165.000,00 €</w:t>
            </w:r>
          </w:p>
        </w:tc>
        <w:tc>
          <w:tcPr>
            <w:tcW w:type="dxa" w:w="3120"/>
          </w:tcPr>
          <w:p>
            <w:pPr>
              <w:spacing w:after="0"/>
            </w:pPr>
            <w:r>
              <w:rPr>
                <w:rFonts w:ascii="Aptos" w:hAnsi="Aptos"/>
                <w:color w:val="1F2937"/>
                <w:sz w:val="18"/>
              </w:rPr>
              <w:t>Presupuesto</w:t>
            </w:r>
          </w:p>
        </w:tc>
      </w:tr>
      <w:tr>
        <w:tc>
          <w:tcPr>
            <w:tcW w:type="dxa" w:w="3120"/>
          </w:tcPr>
          <w:p>
            <w:pPr>
              <w:spacing w:after="0"/>
            </w:pPr>
            <w:r>
              <w:rPr>
                <w:rFonts w:ascii="Aptos" w:hAnsi="Aptos"/>
                <w:color w:val="1F2937"/>
                <w:sz w:val="18"/>
              </w:rPr>
              <w:t>F1 central</w:t>
            </w:r>
          </w:p>
        </w:tc>
        <w:tc>
          <w:tcPr>
            <w:tcW w:type="dxa" w:w="3120"/>
          </w:tcPr>
          <w:p>
            <w:pPr>
              <w:spacing w:after="0"/>
            </w:pPr>
            <w:r>
              <w:rPr>
                <w:rFonts w:ascii="Aptos" w:hAnsi="Aptos"/>
                <w:color w:val="1F2937"/>
                <w:sz w:val="18"/>
              </w:rPr>
              <w:t>180.000,00 €</w:t>
            </w:r>
          </w:p>
        </w:tc>
        <w:tc>
          <w:tcPr>
            <w:tcW w:type="dxa" w:w="3120"/>
          </w:tcPr>
          <w:p>
            <w:pPr>
              <w:spacing w:after="0"/>
            </w:pPr>
            <w:r>
              <w:rPr>
                <w:rFonts w:ascii="Aptos" w:hAnsi="Aptos"/>
                <w:color w:val="1F2937"/>
                <w:sz w:val="18"/>
              </w:rPr>
              <w:t>Presupuesto</w:t>
            </w:r>
          </w:p>
        </w:tc>
      </w:tr>
      <w:tr>
        <w:tc>
          <w:tcPr>
            <w:tcW w:type="dxa" w:w="3120"/>
          </w:tcPr>
          <w:p>
            <w:pPr>
              <w:spacing w:after="0"/>
            </w:pPr>
            <w:r>
              <w:rPr>
                <w:rFonts w:ascii="Aptos" w:hAnsi="Aptos"/>
                <w:color w:val="1F2937"/>
                <w:sz w:val="18"/>
              </w:rPr>
              <w:t>F1 techo</w:t>
            </w:r>
          </w:p>
        </w:tc>
        <w:tc>
          <w:tcPr>
            <w:tcW w:type="dxa" w:w="3120"/>
          </w:tcPr>
          <w:p>
            <w:pPr>
              <w:spacing w:after="0"/>
            </w:pPr>
            <w:r>
              <w:rPr>
                <w:rFonts w:ascii="Aptos" w:hAnsi="Aptos"/>
                <w:color w:val="1F2937"/>
                <w:sz w:val="18"/>
              </w:rPr>
              <w:t>195.000,00 €</w:t>
            </w:r>
          </w:p>
        </w:tc>
        <w:tc>
          <w:tcPr>
            <w:tcW w:type="dxa" w:w="3120"/>
          </w:tcPr>
          <w:p>
            <w:pPr>
              <w:spacing w:after="0"/>
            </w:pPr>
            <w:r>
              <w:rPr>
                <w:rFonts w:ascii="Aptos" w:hAnsi="Aptos"/>
                <w:color w:val="1F2937"/>
                <w:sz w:val="18"/>
              </w:rPr>
              <w:t>Presupuesto</w:t>
            </w:r>
          </w:p>
        </w:tc>
      </w:tr>
      <w:tr>
        <w:tc>
          <w:tcPr>
            <w:tcW w:type="dxa" w:w="3120"/>
          </w:tcPr>
          <w:p>
            <w:pPr>
              <w:spacing w:after="0"/>
            </w:pPr>
            <w:r>
              <w:rPr>
                <w:rFonts w:ascii="Aptos" w:hAnsi="Aptos"/>
                <w:color w:val="1F2937"/>
                <w:sz w:val="18"/>
              </w:rPr>
              <w:t>Personal reconocido Año 1 según calendario oficial</w:t>
            </w:r>
          </w:p>
        </w:tc>
        <w:tc>
          <w:tcPr>
            <w:tcW w:type="dxa" w:w="3120"/>
          </w:tcPr>
          <w:p>
            <w:pPr>
              <w:spacing w:after="0"/>
            </w:pPr>
            <w:r>
              <w:rPr>
                <w:rFonts w:ascii="Aptos" w:hAnsi="Aptos"/>
                <w:color w:val="1F2937"/>
                <w:sz w:val="18"/>
              </w:rPr>
              <w:t>52.566,67 €</w:t>
            </w:r>
          </w:p>
        </w:tc>
        <w:tc>
          <w:tcPr>
            <w:tcW w:type="dxa" w:w="3120"/>
          </w:tcPr>
          <w:p>
            <w:pPr>
              <w:spacing w:after="0"/>
            </w:pPr>
            <w:r>
              <w:rPr>
                <w:rFonts w:ascii="Aptos" w:hAnsi="Aptos"/>
                <w:color w:val="1F2937"/>
                <w:sz w:val="18"/>
              </w:rPr>
              <w:t>Coste reconocido según calendario</w:t>
            </w:r>
          </w:p>
        </w:tc>
      </w:tr>
      <w:tr>
        <w:tc>
          <w:tcPr>
            <w:tcW w:type="dxa" w:w="3120"/>
          </w:tcPr>
          <w:p>
            <w:pPr>
              <w:spacing w:after="0"/>
            </w:pPr>
            <w:r>
              <w:rPr>
                <w:rFonts w:ascii="Aptos" w:hAnsi="Aptos"/>
                <w:color w:val="1F2937"/>
                <w:sz w:val="18"/>
              </w:rPr>
              <w:t>Personal P&amp;L Año 1</w:t>
            </w:r>
          </w:p>
        </w:tc>
        <w:tc>
          <w:tcPr>
            <w:tcW w:type="dxa" w:w="3120"/>
          </w:tcPr>
          <w:p>
            <w:pPr>
              <w:spacing w:after="0"/>
            </w:pPr>
            <w:r>
              <w:rPr>
                <w:rFonts w:ascii="Aptos" w:hAnsi="Aptos"/>
                <w:color w:val="1F2937"/>
                <w:sz w:val="18"/>
              </w:rPr>
              <w:t>52.566,67 €</w:t>
            </w:r>
          </w:p>
        </w:tc>
        <w:tc>
          <w:tcPr>
            <w:tcW w:type="dxa" w:w="3120"/>
          </w:tcPr>
          <w:p>
            <w:pPr>
              <w:spacing w:after="0"/>
            </w:pPr>
            <w:r>
              <w:rPr>
                <w:rFonts w:ascii="Aptos" w:hAnsi="Aptos"/>
                <w:color w:val="1F2937"/>
                <w:sz w:val="18"/>
              </w:rPr>
              <w:t>Calendario M1–M12/M5–M8/M9–M12</w:t>
            </w:r>
          </w:p>
        </w:tc>
      </w:tr>
      <w:tr>
        <w:tc>
          <w:tcPr>
            <w:tcW w:type="dxa" w:w="3120"/>
          </w:tcPr>
          <w:p>
            <w:pPr>
              <w:spacing w:after="0"/>
            </w:pPr>
            <w:r>
              <w:rPr>
                <w:rFonts w:ascii="Aptos" w:hAnsi="Aptos"/>
                <w:color w:val="1F2937"/>
                <w:sz w:val="18"/>
              </w:rPr>
              <w:t>Ingresos Año 1</w:t>
            </w:r>
          </w:p>
        </w:tc>
        <w:tc>
          <w:tcPr>
            <w:tcW w:type="dxa" w:w="3120"/>
          </w:tcPr>
          <w:p>
            <w:pPr>
              <w:spacing w:after="0"/>
            </w:pPr>
            <w:r>
              <w:rPr>
                <w:rFonts w:ascii="Aptos" w:hAnsi="Aptos"/>
                <w:color w:val="1F2937"/>
                <w:sz w:val="18"/>
              </w:rPr>
              <w:t>39.500,00 €</w:t>
            </w:r>
          </w:p>
        </w:tc>
        <w:tc>
          <w:tcPr>
            <w:tcW w:type="dxa" w:w="3120"/>
          </w:tcPr>
          <w:p>
            <w:pPr>
              <w:spacing w:after="0"/>
            </w:pPr>
            <w:r>
              <w:rPr>
                <w:rFonts w:ascii="Aptos" w:hAnsi="Aptos"/>
                <w:color w:val="1F2937"/>
                <w:sz w:val="18"/>
              </w:rPr>
              <w:t>P&amp;L y cobros</w:t>
            </w:r>
          </w:p>
        </w:tc>
      </w:tr>
      <w:tr>
        <w:tc>
          <w:tcPr>
            <w:tcW w:type="dxa" w:w="3120"/>
          </w:tcPr>
          <w:p>
            <w:pPr>
              <w:spacing w:after="0"/>
            </w:pPr>
            <w:r>
              <w:rPr>
                <w:rFonts w:ascii="Aptos" w:hAnsi="Aptos"/>
                <w:color w:val="1F2937"/>
                <w:sz w:val="18"/>
              </w:rPr>
              <w:t>Consumos</w:t>
            </w:r>
          </w:p>
        </w:tc>
        <w:tc>
          <w:tcPr>
            <w:tcW w:type="dxa" w:w="3120"/>
          </w:tcPr>
          <w:p>
            <w:pPr>
              <w:spacing w:after="0"/>
            </w:pPr>
            <w:r>
              <w:rPr>
                <w:rFonts w:ascii="Aptos" w:hAnsi="Aptos"/>
                <w:color w:val="1F2937"/>
                <w:sz w:val="18"/>
              </w:rPr>
              <w:t>10.696,00 €</w:t>
            </w:r>
          </w:p>
        </w:tc>
        <w:tc>
          <w:tcPr>
            <w:tcW w:type="dxa" w:w="3120"/>
          </w:tcPr>
          <w:p>
            <w:pPr>
              <w:spacing w:after="0"/>
            </w:pPr>
            <w:r>
              <w:rPr>
                <w:rFonts w:ascii="Aptos" w:hAnsi="Aptos"/>
                <w:color w:val="1F2937"/>
                <w:sz w:val="18"/>
              </w:rPr>
              <w:t>P&amp;L y caja</w:t>
            </w:r>
          </w:p>
        </w:tc>
      </w:tr>
      <w:tr>
        <w:tc>
          <w:tcPr>
            <w:tcW w:type="dxa" w:w="3120"/>
          </w:tcPr>
          <w:p>
            <w:pPr>
              <w:spacing w:after="0"/>
            </w:pPr>
            <w:r>
              <w:rPr>
                <w:rFonts w:ascii="Aptos" w:hAnsi="Aptos"/>
                <w:color w:val="1F2937"/>
                <w:sz w:val="18"/>
              </w:rPr>
              <w:t>Gastos fijos</w:t>
            </w:r>
          </w:p>
        </w:tc>
        <w:tc>
          <w:tcPr>
            <w:tcW w:type="dxa" w:w="3120"/>
          </w:tcPr>
          <w:p>
            <w:pPr>
              <w:spacing w:after="0"/>
            </w:pPr>
            <w:r>
              <w:rPr>
                <w:rFonts w:ascii="Aptos" w:hAnsi="Aptos"/>
                <w:color w:val="1F2937"/>
                <w:sz w:val="18"/>
              </w:rPr>
              <w:t>11.916,67 €</w:t>
            </w:r>
          </w:p>
        </w:tc>
        <w:tc>
          <w:tcPr>
            <w:tcW w:type="dxa" w:w="3120"/>
          </w:tcPr>
          <w:p>
            <w:pPr>
              <w:spacing w:after="0"/>
            </w:pPr>
            <w:r>
              <w:rPr>
                <w:rFonts w:ascii="Aptos" w:hAnsi="Aptos"/>
                <w:color w:val="1F2937"/>
                <w:sz w:val="18"/>
              </w:rPr>
              <w:t>P&amp;L y caja</w:t>
            </w:r>
          </w:p>
        </w:tc>
      </w:tr>
      <w:tr>
        <w:tc>
          <w:tcPr>
            <w:tcW w:type="dxa" w:w="3120"/>
          </w:tcPr>
          <w:p>
            <w:pPr>
              <w:spacing w:after="0"/>
            </w:pPr>
            <w:r>
              <w:rPr>
                <w:rFonts w:ascii="Aptos" w:hAnsi="Aptos"/>
                <w:color w:val="1F2937"/>
                <w:sz w:val="18"/>
              </w:rPr>
              <w:t>Variables</w:t>
            </w:r>
          </w:p>
        </w:tc>
        <w:tc>
          <w:tcPr>
            <w:tcW w:type="dxa" w:w="3120"/>
          </w:tcPr>
          <w:p>
            <w:pPr>
              <w:spacing w:after="0"/>
            </w:pPr>
            <w:r>
              <w:rPr>
                <w:rFonts w:ascii="Aptos" w:hAnsi="Aptos"/>
                <w:color w:val="1F2937"/>
                <w:sz w:val="18"/>
              </w:rPr>
              <w:t>2.566,67 €</w:t>
            </w:r>
          </w:p>
        </w:tc>
        <w:tc>
          <w:tcPr>
            <w:tcW w:type="dxa" w:w="3120"/>
          </w:tcPr>
          <w:p>
            <w:pPr>
              <w:spacing w:after="0"/>
            </w:pPr>
            <w:r>
              <w:rPr>
                <w:rFonts w:ascii="Aptos" w:hAnsi="Aptos"/>
                <w:color w:val="1F2937"/>
                <w:sz w:val="18"/>
              </w:rPr>
              <w:t>P&amp;L y caja</w:t>
            </w:r>
          </w:p>
        </w:tc>
      </w:tr>
      <w:tr>
        <w:tc>
          <w:tcPr>
            <w:tcW w:type="dxa" w:w="3120"/>
          </w:tcPr>
          <w:p>
            <w:pPr>
              <w:spacing w:after="0"/>
            </w:pPr>
            <w:r>
              <w:rPr>
                <w:rFonts w:ascii="Aptos" w:hAnsi="Aptos"/>
                <w:color w:val="1F2937"/>
                <w:sz w:val="18"/>
              </w:rPr>
              <w:t>Amortización</w:t>
            </w:r>
          </w:p>
        </w:tc>
        <w:tc>
          <w:tcPr>
            <w:tcW w:type="dxa" w:w="3120"/>
          </w:tcPr>
          <w:p>
            <w:pPr>
              <w:spacing w:after="0"/>
            </w:pPr>
            <w:r>
              <w:rPr>
                <w:rFonts w:ascii="Aptos" w:hAnsi="Aptos"/>
                <w:color w:val="1F2937"/>
                <w:sz w:val="18"/>
              </w:rPr>
              <w:t>11.746,07 €</w:t>
            </w:r>
          </w:p>
        </w:tc>
        <w:tc>
          <w:tcPr>
            <w:tcW w:type="dxa" w:w="3120"/>
          </w:tcPr>
          <w:p>
            <w:pPr>
              <w:spacing w:after="0"/>
            </w:pPr>
            <w:r>
              <w:rPr>
                <w:rFonts w:ascii="Aptos" w:hAnsi="Aptos"/>
                <w:color w:val="1F2937"/>
                <w:sz w:val="18"/>
              </w:rPr>
              <w:t>P&amp;L; no salida directa de caja</w:t>
            </w:r>
          </w:p>
        </w:tc>
      </w:tr>
      <w:tr>
        <w:tc>
          <w:tcPr>
            <w:tcW w:type="dxa" w:w="3120"/>
          </w:tcPr>
          <w:p>
            <w:pPr>
              <w:spacing w:after="0"/>
            </w:pPr>
            <w:r>
              <w:rPr>
                <w:rFonts w:ascii="Aptos" w:hAnsi="Aptos"/>
                <w:color w:val="1F2937"/>
                <w:sz w:val="18"/>
              </w:rPr>
              <w:t>Resultado explotación</w:t>
            </w:r>
          </w:p>
        </w:tc>
        <w:tc>
          <w:tcPr>
            <w:tcW w:type="dxa" w:w="3120"/>
          </w:tcPr>
          <w:p>
            <w:pPr>
              <w:spacing w:after="0"/>
            </w:pPr>
            <w:r>
              <w:rPr>
                <w:rFonts w:ascii="Aptos" w:hAnsi="Aptos"/>
                <w:color w:val="1F2937"/>
                <w:sz w:val="18"/>
              </w:rPr>
              <w:t>−75.762,67 €</w:t>
            </w:r>
          </w:p>
        </w:tc>
        <w:tc>
          <w:tcPr>
            <w:tcW w:type="dxa" w:w="3120"/>
          </w:tcPr>
          <w:p>
            <w:pPr>
              <w:spacing w:after="0"/>
            </w:pPr>
            <w:r>
              <w:rPr>
                <w:rFonts w:ascii="Aptos" w:hAnsi="Aptos"/>
                <w:color w:val="1F2937"/>
                <w:sz w:val="18"/>
              </w:rPr>
              <w:t>Resultado mensualizado</w:t>
            </w:r>
          </w:p>
        </w:tc>
      </w:tr>
      <w:tr>
        <w:tc>
          <w:tcPr>
            <w:tcW w:type="dxa" w:w="3120"/>
          </w:tcPr>
          <w:p>
            <w:pPr>
              <w:spacing w:after="0"/>
            </w:pPr>
            <w:r>
              <w:rPr>
                <w:rFonts w:ascii="Aptos" w:hAnsi="Aptos"/>
                <w:color w:val="1F2937"/>
                <w:sz w:val="18"/>
              </w:rPr>
              <w:t>Intereses</w:t>
            </w:r>
          </w:p>
        </w:tc>
        <w:tc>
          <w:tcPr>
            <w:tcW w:type="dxa" w:w="3120"/>
          </w:tcPr>
          <w:p>
            <w:pPr>
              <w:spacing w:after="0"/>
            </w:pPr>
            <w:r>
              <w:rPr>
                <w:rFonts w:ascii="Aptos" w:hAnsi="Aptos"/>
                <w:color w:val="1F2937"/>
                <w:sz w:val="18"/>
              </w:rPr>
              <w:t>12.600,00 €</w:t>
            </w:r>
          </w:p>
        </w:tc>
        <w:tc>
          <w:tcPr>
            <w:tcW w:type="dxa" w:w="3120"/>
          </w:tcPr>
          <w:p>
            <w:pPr>
              <w:spacing w:after="0"/>
            </w:pPr>
            <w:r>
              <w:rPr>
                <w:rFonts w:ascii="Aptos" w:hAnsi="Aptos"/>
                <w:color w:val="1F2937"/>
                <w:sz w:val="18"/>
              </w:rPr>
              <w:t>Gasto P&amp;L y −12.600 € en caja; fuera de F1</w:t>
            </w:r>
          </w:p>
        </w:tc>
      </w:tr>
      <w:tr>
        <w:tc>
          <w:tcPr>
            <w:tcW w:type="dxa" w:w="3120"/>
          </w:tcPr>
          <w:p>
            <w:pPr>
              <w:spacing w:after="0"/>
            </w:pPr>
            <w:r>
              <w:rPr>
                <w:rFonts w:ascii="Aptos" w:hAnsi="Aptos"/>
                <w:color w:val="1F2937"/>
                <w:sz w:val="18"/>
              </w:rPr>
              <w:t>Resultado antes de impuestos</w:t>
            </w:r>
          </w:p>
        </w:tc>
        <w:tc>
          <w:tcPr>
            <w:tcW w:type="dxa" w:w="3120"/>
          </w:tcPr>
          <w:p>
            <w:pPr>
              <w:spacing w:after="0"/>
            </w:pPr>
            <w:r>
              <w:rPr>
                <w:rFonts w:ascii="Aptos" w:hAnsi="Aptos"/>
                <w:color w:val="1F2937"/>
                <w:sz w:val="18"/>
              </w:rPr>
              <w:t>−82.362,67 €</w:t>
            </w:r>
          </w:p>
        </w:tc>
        <w:tc>
          <w:tcPr>
            <w:tcW w:type="dxa" w:w="3120"/>
          </w:tcPr>
          <w:p>
            <w:pPr>
              <w:spacing w:after="0"/>
            </w:pPr>
            <w:r>
              <w:rPr>
                <w:rFonts w:ascii="Aptos" w:hAnsi="Aptos"/>
                <w:color w:val="1F2937"/>
                <w:sz w:val="18"/>
              </w:rPr>
              <w:t>Resultado mensualizado</w:t>
            </w:r>
          </w:p>
        </w:tc>
      </w:tr>
      <w:tr>
        <w:tc>
          <w:tcPr>
            <w:tcW w:type="dxa" w:w="3120"/>
          </w:tcPr>
          <w:p>
            <w:pPr>
              <w:spacing w:after="0"/>
            </w:pPr>
            <w:r>
              <w:rPr>
                <w:rFonts w:ascii="Aptos" w:hAnsi="Aptos"/>
                <w:color w:val="1F2937"/>
                <w:sz w:val="18"/>
              </w:rPr>
              <w:t>IVA inversión</w:t>
            </w:r>
          </w:p>
        </w:tc>
        <w:tc>
          <w:tcPr>
            <w:tcW w:type="dxa" w:w="3120"/>
          </w:tcPr>
          <w:p>
            <w:pPr>
              <w:spacing w:after="0"/>
            </w:pPr>
            <w:r>
              <w:rPr>
                <w:rFonts w:ascii="Aptos" w:hAnsi="Aptos"/>
                <w:color w:val="1F2937"/>
                <w:sz w:val="18"/>
              </w:rPr>
              <w:t>5.040,00 €</w:t>
            </w:r>
          </w:p>
        </w:tc>
        <w:tc>
          <w:tcPr>
            <w:tcW w:type="dxa" w:w="3120"/>
          </w:tcPr>
          <w:p>
            <w:pPr>
              <w:spacing w:after="0"/>
            </w:pPr>
            <w:r>
              <w:rPr>
                <w:rFonts w:ascii="Aptos" w:hAnsi="Aptos"/>
                <w:color w:val="1F2937"/>
                <w:sz w:val="18"/>
              </w:rPr>
              <w:t>Hipótesis por partidas sujetas</w:t>
            </w:r>
          </w:p>
        </w:tc>
      </w:tr>
      <w:tr>
        <w:tc>
          <w:tcPr>
            <w:tcW w:type="dxa" w:w="3120"/>
          </w:tcPr>
          <w:p>
            <w:pPr>
              <w:spacing w:after="0"/>
            </w:pPr>
            <w:r>
              <w:rPr>
                <w:rFonts w:ascii="Aptos" w:hAnsi="Aptos"/>
                <w:color w:val="1F2937"/>
                <w:sz w:val="18"/>
              </w:rPr>
              <w:t>IVA a favor/compensable</w:t>
            </w:r>
          </w:p>
        </w:tc>
        <w:tc>
          <w:tcPr>
            <w:tcW w:type="dxa" w:w="3120"/>
          </w:tcPr>
          <w:p>
            <w:pPr>
              <w:spacing w:after="0"/>
            </w:pPr>
            <w:r>
              <w:rPr>
                <w:rFonts w:ascii="Aptos" w:hAnsi="Aptos"/>
                <w:color w:val="1F2937"/>
                <w:sz w:val="18"/>
              </w:rPr>
              <w:t>7.745,49 €</w:t>
            </w:r>
          </w:p>
        </w:tc>
        <w:tc>
          <w:tcPr>
            <w:tcW w:type="dxa" w:w="3120"/>
          </w:tcPr>
          <w:p>
            <w:pPr>
              <w:spacing w:after="0"/>
            </w:pPr>
            <w:r>
              <w:rPr>
                <w:rFonts w:ascii="Aptos" w:hAnsi="Aptos"/>
                <w:color w:val="1F2937"/>
                <w:sz w:val="18"/>
              </w:rPr>
              <w:t>Sin pago automático</w:t>
            </w:r>
          </w:p>
        </w:tc>
      </w:tr>
      <w:tr>
        <w:tc>
          <w:tcPr>
            <w:tcW w:type="dxa" w:w="3120"/>
          </w:tcPr>
          <w:p>
            <w:pPr>
              <w:spacing w:after="0"/>
            </w:pPr>
            <w:r>
              <w:rPr>
                <w:rFonts w:ascii="Aptos" w:hAnsi="Aptos"/>
                <w:color w:val="1F2937"/>
                <w:sz w:val="18"/>
              </w:rPr>
              <w:t>Caja final</w:t>
            </w:r>
          </w:p>
        </w:tc>
        <w:tc>
          <w:tcPr>
            <w:tcW w:type="dxa" w:w="3120"/>
          </w:tcPr>
          <w:p>
            <w:pPr>
              <w:spacing w:after="0"/>
            </w:pPr>
            <w:r>
              <w:rPr>
                <w:rFonts w:ascii="Aptos" w:hAnsi="Aptos"/>
                <w:color w:val="1F2937"/>
                <w:sz w:val="18"/>
              </w:rPr>
              <w:t>saldo de tesorería de una versión anterior, no aplicable a la versión reconciliada</w:t>
            </w:r>
          </w:p>
        </w:tc>
        <w:tc>
          <w:tcPr>
            <w:tcW w:type="dxa" w:w="3120"/>
          </w:tcPr>
          <w:p>
            <w:pPr>
              <w:spacing w:after="0"/>
            </w:pPr>
            <w:r>
              <w:rPr>
                <w:rFonts w:ascii="Aptos" w:hAnsi="Aptos"/>
                <w:color w:val="1F2937"/>
                <w:sz w:val="18"/>
              </w:rPr>
              <w:t>Necesidad de financiación no cubierta</w:t>
            </w:r>
          </w:p>
        </w:tc>
      </w:tr>
      <w:tr>
        <w:tc>
          <w:tcPr>
            <w:tcW w:type="dxa" w:w="3120"/>
          </w:tcPr>
          <w:p>
            <w:pPr>
              <w:spacing w:after="0"/>
            </w:pPr>
            <w:r>
              <w:rPr>
                <w:rFonts w:ascii="Aptos" w:hAnsi="Aptos"/>
                <w:color w:val="1F2937"/>
                <w:sz w:val="18"/>
              </w:rPr>
              <w:t>Pago F1 ejecutado</w:t>
            </w:r>
          </w:p>
        </w:tc>
        <w:tc>
          <w:tcPr>
            <w:tcW w:type="dxa" w:w="3120"/>
          </w:tcPr>
          <w:p>
            <w:pPr>
              <w:spacing w:after="0"/>
            </w:pPr>
            <w:r>
              <w:rPr>
                <w:rFonts w:ascii="Aptos" w:hAnsi="Aptos"/>
                <w:color w:val="1F2937"/>
                <w:sz w:val="18"/>
              </w:rPr>
              <w:t>76.133,33 €</w:t>
            </w:r>
          </w:p>
        </w:tc>
        <w:tc>
          <w:tcPr>
            <w:tcW w:type="dxa" w:w="3120"/>
          </w:tcPr>
          <w:p>
            <w:pPr>
              <w:spacing w:after="0"/>
            </w:pPr>
            <w:r>
              <w:rPr>
                <w:rFonts w:ascii="Aptos" w:hAnsi="Aptos"/>
                <w:color w:val="1F2937"/>
                <w:sz w:val="18"/>
              </w:rPr>
              <w:t>Personal + pilotos/inversiones</w:t>
            </w:r>
          </w:p>
        </w:tc>
      </w:tr>
      <w:tr>
        <w:tc>
          <w:tcPr>
            <w:tcW w:type="dxa" w:w="3120"/>
          </w:tcPr>
          <w:p>
            <w:pPr>
              <w:spacing w:after="0"/>
            </w:pPr>
            <w:r>
              <w:rPr>
                <w:rFonts w:ascii="Aptos" w:hAnsi="Aptos"/>
                <w:color w:val="1F2937"/>
                <w:sz w:val="18"/>
              </w:rPr>
              <w:t>F1 diferida/condicionada</w:t>
            </w:r>
          </w:p>
        </w:tc>
        <w:tc>
          <w:tcPr>
            <w:tcW w:type="dxa" w:w="3120"/>
          </w:tcPr>
          <w:p>
            <w:pPr>
              <w:spacing w:after="0"/>
            </w:pPr>
            <w:r>
              <w:rPr>
                <w:rFonts w:ascii="Aptos" w:hAnsi="Aptos"/>
                <w:color w:val="1F2937"/>
                <w:sz w:val="18"/>
              </w:rPr>
              <w:t>103.866,67 €</w:t>
            </w:r>
          </w:p>
        </w:tc>
        <w:tc>
          <w:tcPr>
            <w:tcW w:type="dxa" w:w="3120"/>
          </w:tcPr>
          <w:p>
            <w:pPr>
              <w:spacing w:after="0"/>
            </w:pPr>
            <w:r>
              <w:rPr>
                <w:rFonts w:ascii="Aptos" w:hAnsi="Aptos"/>
                <w:color w:val="1F2937"/>
                <w:sz w:val="18"/>
              </w:rPr>
              <w:t>No P&amp;L, no caja hasta activación</w:t>
            </w:r>
          </w:p>
        </w:tc>
      </w:tr>
      <w:tr>
        <w:tc>
          <w:tcPr>
            <w:tcW w:type="dxa" w:w="3120"/>
          </w:tcPr>
          <w:p>
            <w:pPr>
              <w:spacing w:after="0"/>
            </w:pPr>
            <w:r>
              <w:rPr>
                <w:rFonts w:ascii="Aptos" w:hAnsi="Aptos"/>
                <w:color w:val="1F2937"/>
                <w:sz w:val="18"/>
              </w:rPr>
              <w:t>Control F1</w:t>
            </w:r>
          </w:p>
        </w:tc>
        <w:tc>
          <w:tcPr>
            <w:tcW w:type="dxa" w:w="3120"/>
          </w:tcPr>
          <w:p>
            <w:pPr>
              <w:spacing w:after="0"/>
            </w:pPr>
            <w:r>
              <w:rPr>
                <w:rFonts w:ascii="Aptos" w:hAnsi="Aptos"/>
                <w:color w:val="1F2937"/>
                <w:sz w:val="18"/>
              </w:rPr>
              <w:t>0,00 €</w:t>
            </w:r>
          </w:p>
        </w:tc>
        <w:tc>
          <w:tcPr>
            <w:tcW w:type="dxa" w:w="3120"/>
          </w:tcPr>
          <w:p>
            <w:pPr>
              <w:spacing w:after="0"/>
            </w:pPr>
            <w:r>
              <w:rPr>
                <w:rFonts w:ascii="Aptos" w:hAnsi="Aptos"/>
                <w:color w:val="1F2937"/>
                <w:sz w:val="18"/>
              </w:rPr>
              <w:t>180.000 − 76.133,33 − 103.866,67</w:t>
            </w:r>
          </w:p>
        </w:tc>
      </w:tr>
    </w:tbl>
    <w:p>
      <w:pPr>
        <w:pStyle w:val="2"/>
      </w:pPr>
      <w:r>
        <w:rPr>
          <w:rFonts w:ascii="Aptos Display" w:hAnsi="Aptos Display"/>
          <w:b/>
          <w:color w:val="174A2E"/>
          <w:sz w:val="21"/>
        </w:rPr>
        <w:t>Matriz única de compensación Excel–memoria</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spacing w:after="0"/>
            </w:pPr>
            <w:r>
              <w:rPr>
                <w:rFonts w:ascii="Aptos" w:hAnsi="Aptos"/>
                <w:color w:val="1F2937"/>
                <w:sz w:val="18"/>
              </w:rPr>
              <w:t>Concepto</w:t>
            </w:r>
          </w:p>
        </w:tc>
        <w:tc>
          <w:tcPr>
            <w:tcW w:type="dxa" w:w="2340"/>
          </w:tcPr>
          <w:p>
            <w:pPr>
              <w:spacing w:after="0"/>
            </w:pPr>
            <w:r>
              <w:rPr>
                <w:rFonts w:ascii="Aptos" w:hAnsi="Aptos"/>
                <w:color w:val="1F2937"/>
                <w:sz w:val="18"/>
              </w:rPr>
              <w:t>Excel</w:t>
            </w:r>
          </w:p>
        </w:tc>
        <w:tc>
          <w:tcPr>
            <w:tcW w:type="dxa" w:w="2340"/>
          </w:tcPr>
          <w:p>
            <w:pPr>
              <w:spacing w:after="0"/>
            </w:pPr>
            <w:r>
              <w:rPr>
                <w:rFonts w:ascii="Aptos" w:hAnsi="Aptos"/>
                <w:color w:val="1F2937"/>
                <w:sz w:val="18"/>
              </w:rPr>
              <w:t>Memoria</w:t>
            </w:r>
          </w:p>
        </w:tc>
        <w:tc>
          <w:tcPr>
            <w:tcW w:type="dxa" w:w="2340"/>
          </w:tcPr>
          <w:p>
            <w:pPr>
              <w:spacing w:after="0"/>
            </w:pPr>
            <w:r>
              <w:rPr>
                <w:rFonts w:ascii="Aptos" w:hAnsi="Aptos"/>
                <w:color w:val="1F2937"/>
                <w:sz w:val="18"/>
              </w:rPr>
              <w:t>Estado</w:t>
            </w:r>
          </w:p>
        </w:tc>
      </w:tr>
      <w:tr>
        <w:tc>
          <w:tcPr>
            <w:tcW w:type="dxa" w:w="2340"/>
          </w:tcPr>
          <w:p>
            <w:pPr>
              <w:spacing w:after="0"/>
            </w:pPr>
            <w:r>
              <w:rPr>
                <w:rFonts w:ascii="Aptos" w:hAnsi="Aptos"/>
                <w:color w:val="1F2937"/>
                <w:sz w:val="18"/>
              </w:rPr>
              <w:t>F1 prudente</w:t>
            </w:r>
          </w:p>
        </w:tc>
        <w:tc>
          <w:tcPr>
            <w:tcW w:type="dxa" w:w="2340"/>
          </w:tcPr>
          <w:p>
            <w:pPr>
              <w:spacing w:after="0"/>
            </w:pPr>
            <w:r>
              <w:rPr>
                <w:rFonts w:ascii="Aptos" w:hAnsi="Aptos"/>
                <w:color w:val="1F2937"/>
                <w:sz w:val="18"/>
              </w:rPr>
              <w:t>165.000,00 €</w:t>
            </w:r>
          </w:p>
        </w:tc>
        <w:tc>
          <w:tcPr>
            <w:tcW w:type="dxa" w:w="2340"/>
          </w:tcPr>
          <w:p>
            <w:pPr>
              <w:spacing w:after="0"/>
            </w:pPr>
            <w:r>
              <w:rPr>
                <w:rFonts w:ascii="Aptos" w:hAnsi="Aptos"/>
                <w:color w:val="1F2937"/>
                <w:sz w:val="18"/>
              </w:rPr>
              <w:t>165.000,00 €</w:t>
            </w:r>
          </w:p>
        </w:tc>
        <w:tc>
          <w:tcPr>
            <w:tcW w:type="dxa" w:w="2340"/>
          </w:tcPr>
          <w:p>
            <w:pPr>
              <w:spacing w:after="0"/>
            </w:pPr>
            <w:r>
              <w:rPr>
                <w:rFonts w:ascii="Aptos" w:hAnsi="Aptos"/>
                <w:color w:val="1F2937"/>
                <w:sz w:val="18"/>
              </w:rPr>
              <w:t>PASS</w:t>
            </w:r>
          </w:p>
        </w:tc>
      </w:tr>
      <w:tr>
        <w:tc>
          <w:tcPr>
            <w:tcW w:type="dxa" w:w="2340"/>
          </w:tcPr>
          <w:p>
            <w:pPr>
              <w:spacing w:after="0"/>
            </w:pPr>
            <w:r>
              <w:rPr>
                <w:rFonts w:ascii="Aptos" w:hAnsi="Aptos"/>
                <w:color w:val="1F2937"/>
                <w:sz w:val="18"/>
              </w:rPr>
              <w:t>F1 central</w:t>
            </w:r>
          </w:p>
        </w:tc>
        <w:tc>
          <w:tcPr>
            <w:tcW w:type="dxa" w:w="2340"/>
          </w:tcPr>
          <w:p>
            <w:pPr>
              <w:spacing w:after="0"/>
            </w:pPr>
            <w:r>
              <w:rPr>
                <w:rFonts w:ascii="Aptos" w:hAnsi="Aptos"/>
                <w:color w:val="1F2937"/>
                <w:sz w:val="18"/>
              </w:rPr>
              <w:t>180.000,00 €</w:t>
            </w:r>
          </w:p>
        </w:tc>
        <w:tc>
          <w:tcPr>
            <w:tcW w:type="dxa" w:w="2340"/>
          </w:tcPr>
          <w:p>
            <w:pPr>
              <w:spacing w:after="0"/>
            </w:pPr>
            <w:r>
              <w:rPr>
                <w:rFonts w:ascii="Aptos" w:hAnsi="Aptos"/>
                <w:color w:val="1F2937"/>
                <w:sz w:val="18"/>
              </w:rPr>
              <w:t>180.000,00 €</w:t>
            </w:r>
          </w:p>
        </w:tc>
        <w:tc>
          <w:tcPr>
            <w:tcW w:type="dxa" w:w="2340"/>
          </w:tcPr>
          <w:p>
            <w:pPr>
              <w:spacing w:after="0"/>
            </w:pPr>
            <w:r>
              <w:rPr>
                <w:rFonts w:ascii="Aptos" w:hAnsi="Aptos"/>
                <w:color w:val="1F2937"/>
                <w:sz w:val="18"/>
              </w:rPr>
              <w:t>PASS</w:t>
            </w:r>
          </w:p>
        </w:tc>
      </w:tr>
      <w:tr>
        <w:tc>
          <w:tcPr>
            <w:tcW w:type="dxa" w:w="2340"/>
          </w:tcPr>
          <w:p>
            <w:pPr>
              <w:spacing w:after="0"/>
            </w:pPr>
            <w:r>
              <w:rPr>
                <w:rFonts w:ascii="Aptos" w:hAnsi="Aptos"/>
                <w:color w:val="1F2937"/>
                <w:sz w:val="18"/>
              </w:rPr>
              <w:t>F1 techo</w:t>
            </w:r>
          </w:p>
        </w:tc>
        <w:tc>
          <w:tcPr>
            <w:tcW w:type="dxa" w:w="2340"/>
          </w:tcPr>
          <w:p>
            <w:pPr>
              <w:spacing w:after="0"/>
            </w:pPr>
            <w:r>
              <w:rPr>
                <w:rFonts w:ascii="Aptos" w:hAnsi="Aptos"/>
                <w:color w:val="1F2937"/>
                <w:sz w:val="18"/>
              </w:rPr>
              <w:t>195.000,00 €</w:t>
            </w:r>
          </w:p>
        </w:tc>
        <w:tc>
          <w:tcPr>
            <w:tcW w:type="dxa" w:w="2340"/>
          </w:tcPr>
          <w:p>
            <w:pPr>
              <w:spacing w:after="0"/>
            </w:pPr>
            <w:r>
              <w:rPr>
                <w:rFonts w:ascii="Aptos" w:hAnsi="Aptos"/>
                <w:color w:val="1F2937"/>
                <w:sz w:val="18"/>
              </w:rPr>
              <w:t>195.000,00 €</w:t>
            </w:r>
          </w:p>
        </w:tc>
        <w:tc>
          <w:tcPr>
            <w:tcW w:type="dxa" w:w="2340"/>
          </w:tcPr>
          <w:p>
            <w:pPr>
              <w:spacing w:after="0"/>
            </w:pPr>
            <w:r>
              <w:rPr>
                <w:rFonts w:ascii="Aptos" w:hAnsi="Aptos"/>
                <w:color w:val="1F2937"/>
                <w:sz w:val="18"/>
              </w:rPr>
              <w:t>PASS</w:t>
            </w:r>
          </w:p>
        </w:tc>
      </w:tr>
      <w:tr>
        <w:tc>
          <w:tcPr>
            <w:tcW w:type="dxa" w:w="2340"/>
          </w:tcPr>
          <w:p>
            <w:pPr>
              <w:spacing w:after="0"/>
            </w:pPr>
            <w:r>
              <w:rPr>
                <w:rFonts w:ascii="Aptos" w:hAnsi="Aptos"/>
                <w:color w:val="1F2937"/>
                <w:sz w:val="18"/>
              </w:rPr>
              <w:t>Personal reconocido Año 1 según calendario oficial</w:t>
            </w:r>
          </w:p>
        </w:tc>
        <w:tc>
          <w:tcPr>
            <w:tcW w:type="dxa" w:w="2340"/>
          </w:tcPr>
          <w:p>
            <w:pPr>
              <w:spacing w:after="0"/>
            </w:pPr>
            <w:r>
              <w:rPr>
                <w:rFonts w:ascii="Aptos" w:hAnsi="Aptos"/>
                <w:color w:val="1F2937"/>
                <w:sz w:val="18"/>
              </w:rPr>
              <w:t>52.566,67 €</w:t>
            </w:r>
          </w:p>
        </w:tc>
        <w:tc>
          <w:tcPr>
            <w:tcW w:type="dxa" w:w="2340"/>
          </w:tcPr>
          <w:p>
            <w:pPr>
              <w:spacing w:after="0"/>
            </w:pPr>
            <w:r>
              <w:rPr>
                <w:rFonts w:ascii="Aptos" w:hAnsi="Aptos"/>
                <w:color w:val="1F2937"/>
                <w:sz w:val="18"/>
              </w:rPr>
              <w:t>52.566,67 €</w:t>
            </w:r>
          </w:p>
        </w:tc>
        <w:tc>
          <w:tcPr>
            <w:tcW w:type="dxa" w:w="2340"/>
          </w:tcPr>
          <w:p>
            <w:pPr>
              <w:spacing w:after="0"/>
            </w:pPr>
            <w:r>
              <w:rPr>
                <w:rFonts w:ascii="Aptos" w:hAnsi="Aptos"/>
                <w:color w:val="1F2937"/>
                <w:sz w:val="18"/>
              </w:rPr>
              <w:t>PASS</w:t>
            </w:r>
          </w:p>
        </w:tc>
      </w:tr>
      <w:tr>
        <w:tc>
          <w:tcPr>
            <w:tcW w:type="dxa" w:w="2340"/>
          </w:tcPr>
          <w:p>
            <w:pPr>
              <w:spacing w:after="0"/>
            </w:pPr>
            <w:r>
              <w:rPr>
                <w:rFonts w:ascii="Aptos" w:hAnsi="Aptos"/>
                <w:color w:val="1F2937"/>
                <w:sz w:val="18"/>
              </w:rPr>
              <w:t>Personal Año 1/P&amp;L</w:t>
            </w:r>
          </w:p>
        </w:tc>
        <w:tc>
          <w:tcPr>
            <w:tcW w:type="dxa" w:w="2340"/>
          </w:tcPr>
          <w:p>
            <w:pPr>
              <w:spacing w:after="0"/>
            </w:pPr>
            <w:r>
              <w:rPr>
                <w:rFonts w:ascii="Aptos" w:hAnsi="Aptos"/>
                <w:color w:val="1F2937"/>
                <w:sz w:val="18"/>
              </w:rPr>
              <w:t>52.566,67 €</w:t>
            </w:r>
          </w:p>
        </w:tc>
        <w:tc>
          <w:tcPr>
            <w:tcW w:type="dxa" w:w="2340"/>
          </w:tcPr>
          <w:p>
            <w:pPr>
              <w:spacing w:after="0"/>
            </w:pPr>
            <w:r>
              <w:rPr>
                <w:rFonts w:ascii="Aptos" w:hAnsi="Aptos"/>
                <w:color w:val="1F2937"/>
                <w:sz w:val="18"/>
              </w:rPr>
              <w:t>52.566,67 €</w:t>
            </w:r>
          </w:p>
        </w:tc>
        <w:tc>
          <w:tcPr>
            <w:tcW w:type="dxa" w:w="2340"/>
          </w:tcPr>
          <w:p>
            <w:pPr>
              <w:spacing w:after="0"/>
            </w:pPr>
            <w:r>
              <w:rPr>
                <w:rFonts w:ascii="Aptos" w:hAnsi="Aptos"/>
                <w:color w:val="1F2937"/>
                <w:sz w:val="18"/>
              </w:rPr>
              <w:t>PASS</w:t>
            </w:r>
          </w:p>
        </w:tc>
      </w:tr>
      <w:tr>
        <w:tc>
          <w:tcPr>
            <w:tcW w:type="dxa" w:w="2340"/>
          </w:tcPr>
          <w:p>
            <w:pPr>
              <w:spacing w:after="0"/>
            </w:pPr>
            <w:r>
              <w:rPr>
                <w:rFonts w:ascii="Aptos" w:hAnsi="Aptos"/>
                <w:color w:val="1F2937"/>
                <w:sz w:val="18"/>
              </w:rPr>
              <w:t>Amortización</w:t>
            </w:r>
          </w:p>
        </w:tc>
        <w:tc>
          <w:tcPr>
            <w:tcW w:type="dxa" w:w="2340"/>
          </w:tcPr>
          <w:p>
            <w:pPr>
              <w:spacing w:after="0"/>
            </w:pPr>
            <w:r>
              <w:rPr>
                <w:rFonts w:ascii="Aptos" w:hAnsi="Aptos"/>
                <w:color w:val="1F2937"/>
                <w:sz w:val="18"/>
              </w:rPr>
              <w:t>11.746,07 €</w:t>
            </w:r>
          </w:p>
        </w:tc>
        <w:tc>
          <w:tcPr>
            <w:tcW w:type="dxa" w:w="2340"/>
          </w:tcPr>
          <w:p>
            <w:pPr>
              <w:spacing w:after="0"/>
            </w:pPr>
            <w:r>
              <w:rPr>
                <w:rFonts w:ascii="Aptos" w:hAnsi="Aptos"/>
                <w:color w:val="1F2937"/>
                <w:sz w:val="18"/>
              </w:rPr>
              <w:t>11.746,07 €</w:t>
            </w:r>
          </w:p>
        </w:tc>
        <w:tc>
          <w:tcPr>
            <w:tcW w:type="dxa" w:w="2340"/>
          </w:tcPr>
          <w:p>
            <w:pPr>
              <w:spacing w:after="0"/>
            </w:pPr>
            <w:r>
              <w:rPr>
                <w:rFonts w:ascii="Aptos" w:hAnsi="Aptos"/>
                <w:color w:val="1F2937"/>
                <w:sz w:val="18"/>
              </w:rPr>
              <w:t>PASS</w:t>
            </w:r>
          </w:p>
        </w:tc>
      </w:tr>
      <w:tr>
        <w:tc>
          <w:tcPr>
            <w:tcW w:type="dxa" w:w="2340"/>
          </w:tcPr>
          <w:p>
            <w:pPr>
              <w:spacing w:after="0"/>
            </w:pPr>
            <w:r>
              <w:rPr>
                <w:rFonts w:ascii="Aptos" w:hAnsi="Aptos"/>
                <w:color w:val="1F2937"/>
                <w:sz w:val="18"/>
              </w:rPr>
              <w:t>Resultado explotación</w:t>
            </w:r>
          </w:p>
        </w:tc>
        <w:tc>
          <w:tcPr>
            <w:tcW w:type="dxa" w:w="2340"/>
          </w:tcPr>
          <w:p>
            <w:pPr>
              <w:spacing w:after="0"/>
            </w:pPr>
            <w:r>
              <w:rPr>
                <w:rFonts w:ascii="Aptos" w:hAnsi="Aptos"/>
                <w:color w:val="1F2937"/>
                <w:sz w:val="18"/>
              </w:rPr>
              <w:t>−75.762,67 €</w:t>
            </w:r>
          </w:p>
        </w:tc>
        <w:tc>
          <w:tcPr>
            <w:tcW w:type="dxa" w:w="2340"/>
          </w:tcPr>
          <w:p>
            <w:pPr>
              <w:spacing w:after="0"/>
            </w:pPr>
            <w:r>
              <w:rPr>
                <w:rFonts w:ascii="Aptos" w:hAnsi="Aptos"/>
                <w:color w:val="1F2937"/>
                <w:sz w:val="18"/>
              </w:rPr>
              <w:t>−75.762,67 €</w:t>
            </w:r>
          </w:p>
        </w:tc>
        <w:tc>
          <w:tcPr>
            <w:tcW w:type="dxa" w:w="2340"/>
          </w:tcPr>
          <w:p>
            <w:pPr>
              <w:spacing w:after="0"/>
            </w:pPr>
            <w:r>
              <w:rPr>
                <w:rFonts w:ascii="Aptos" w:hAnsi="Aptos"/>
                <w:color w:val="1F2937"/>
                <w:sz w:val="18"/>
              </w:rPr>
              <w:t>PASS</w:t>
            </w:r>
          </w:p>
        </w:tc>
      </w:tr>
      <w:tr>
        <w:tc>
          <w:tcPr>
            <w:tcW w:type="dxa" w:w="2340"/>
          </w:tcPr>
          <w:p>
            <w:pPr>
              <w:spacing w:after="0"/>
            </w:pPr>
            <w:r>
              <w:rPr>
                <w:rFonts w:ascii="Aptos" w:hAnsi="Aptos"/>
                <w:color w:val="1F2937"/>
                <w:sz w:val="18"/>
              </w:rPr>
              <w:t>Resultado antes de impuestos</w:t>
            </w:r>
          </w:p>
        </w:tc>
        <w:tc>
          <w:tcPr>
            <w:tcW w:type="dxa" w:w="2340"/>
          </w:tcPr>
          <w:p>
            <w:pPr>
              <w:spacing w:after="0"/>
            </w:pPr>
            <w:r>
              <w:rPr>
                <w:rFonts w:ascii="Aptos" w:hAnsi="Aptos"/>
                <w:color w:val="1F2937"/>
                <w:sz w:val="18"/>
              </w:rPr>
              <w:t>−82.362,67 €</w:t>
            </w:r>
          </w:p>
        </w:tc>
        <w:tc>
          <w:tcPr>
            <w:tcW w:type="dxa" w:w="2340"/>
          </w:tcPr>
          <w:p>
            <w:pPr>
              <w:spacing w:after="0"/>
            </w:pPr>
            <w:r>
              <w:rPr>
                <w:rFonts w:ascii="Aptos" w:hAnsi="Aptos"/>
                <w:color w:val="1F2937"/>
                <w:sz w:val="18"/>
              </w:rPr>
              <w:t>−82.362,67 €</w:t>
            </w:r>
          </w:p>
        </w:tc>
        <w:tc>
          <w:tcPr>
            <w:tcW w:type="dxa" w:w="2340"/>
          </w:tcPr>
          <w:p>
            <w:pPr>
              <w:spacing w:after="0"/>
            </w:pPr>
            <w:r>
              <w:rPr>
                <w:rFonts w:ascii="Aptos" w:hAnsi="Aptos"/>
                <w:color w:val="1F2937"/>
                <w:sz w:val="18"/>
              </w:rPr>
              <w:t>PASS</w:t>
            </w:r>
          </w:p>
        </w:tc>
      </w:tr>
      <w:tr>
        <w:tc>
          <w:tcPr>
            <w:tcW w:type="dxa" w:w="2340"/>
          </w:tcPr>
          <w:p>
            <w:pPr>
              <w:spacing w:after="0"/>
            </w:pPr>
            <w:r>
              <w:rPr>
                <w:rFonts w:ascii="Aptos" w:hAnsi="Aptos"/>
                <w:color w:val="1F2937"/>
                <w:sz w:val="18"/>
              </w:rPr>
              <w:t>IVA inversión</w:t>
            </w:r>
          </w:p>
        </w:tc>
        <w:tc>
          <w:tcPr>
            <w:tcW w:type="dxa" w:w="2340"/>
          </w:tcPr>
          <w:p>
            <w:pPr>
              <w:spacing w:after="0"/>
            </w:pPr>
            <w:r>
              <w:rPr>
                <w:rFonts w:ascii="Aptos" w:hAnsi="Aptos"/>
                <w:color w:val="1F2937"/>
                <w:sz w:val="18"/>
              </w:rPr>
              <w:t>5.040,00 €</w:t>
            </w:r>
          </w:p>
        </w:tc>
        <w:tc>
          <w:tcPr>
            <w:tcW w:type="dxa" w:w="2340"/>
          </w:tcPr>
          <w:p>
            <w:pPr>
              <w:spacing w:after="0"/>
            </w:pPr>
            <w:r>
              <w:rPr>
                <w:rFonts w:ascii="Aptos" w:hAnsi="Aptos"/>
                <w:color w:val="1F2937"/>
                <w:sz w:val="18"/>
              </w:rPr>
              <w:t>5.040,00 €</w:t>
            </w:r>
          </w:p>
        </w:tc>
        <w:tc>
          <w:tcPr>
            <w:tcW w:type="dxa" w:w="2340"/>
          </w:tcPr>
          <w:p>
            <w:pPr>
              <w:spacing w:after="0"/>
            </w:pPr>
            <w:r>
              <w:rPr>
                <w:rFonts w:ascii="Aptos" w:hAnsi="Aptos"/>
                <w:color w:val="1F2937"/>
                <w:sz w:val="18"/>
              </w:rPr>
              <w:t>PASS</w:t>
            </w:r>
          </w:p>
        </w:tc>
      </w:tr>
      <w:tr>
        <w:tc>
          <w:tcPr>
            <w:tcW w:type="dxa" w:w="2340"/>
          </w:tcPr>
          <w:p>
            <w:pPr>
              <w:spacing w:after="0"/>
            </w:pPr>
            <w:r>
              <w:rPr>
                <w:rFonts w:ascii="Aptos" w:hAnsi="Aptos"/>
                <w:color w:val="1F2937"/>
                <w:sz w:val="18"/>
              </w:rPr>
              <w:t>IVA a favor/compensable</w:t>
            </w:r>
          </w:p>
        </w:tc>
        <w:tc>
          <w:tcPr>
            <w:tcW w:type="dxa" w:w="2340"/>
          </w:tcPr>
          <w:p>
            <w:pPr>
              <w:spacing w:after="0"/>
            </w:pPr>
            <w:r>
              <w:rPr>
                <w:rFonts w:ascii="Aptos" w:hAnsi="Aptos"/>
                <w:color w:val="1F2937"/>
                <w:sz w:val="18"/>
              </w:rPr>
              <w:t>7.745,49 €</w:t>
            </w:r>
          </w:p>
        </w:tc>
        <w:tc>
          <w:tcPr>
            <w:tcW w:type="dxa" w:w="2340"/>
          </w:tcPr>
          <w:p>
            <w:pPr>
              <w:spacing w:after="0"/>
            </w:pPr>
            <w:r>
              <w:rPr>
                <w:rFonts w:ascii="Aptos" w:hAnsi="Aptos"/>
                <w:color w:val="1F2937"/>
                <w:sz w:val="18"/>
              </w:rPr>
              <w:t>7.745,49 €</w:t>
            </w:r>
          </w:p>
        </w:tc>
        <w:tc>
          <w:tcPr>
            <w:tcW w:type="dxa" w:w="2340"/>
          </w:tcPr>
          <w:p>
            <w:pPr>
              <w:spacing w:after="0"/>
            </w:pPr>
            <w:r>
              <w:rPr>
                <w:rFonts w:ascii="Aptos" w:hAnsi="Aptos"/>
                <w:color w:val="1F2937"/>
                <w:sz w:val="18"/>
              </w:rPr>
              <w:t>PASS</w:t>
            </w:r>
          </w:p>
        </w:tc>
      </w:tr>
      <w:tr>
        <w:tc>
          <w:tcPr>
            <w:tcW w:type="dxa" w:w="2340"/>
          </w:tcPr>
          <w:p>
            <w:pPr>
              <w:spacing w:after="0"/>
            </w:pPr>
            <w:r>
              <w:rPr>
                <w:rFonts w:ascii="Aptos" w:hAnsi="Aptos"/>
                <w:color w:val="1F2937"/>
                <w:sz w:val="18"/>
              </w:rPr>
              <w:t>Caja final</w:t>
            </w:r>
          </w:p>
        </w:tc>
        <w:tc>
          <w:tcPr>
            <w:tcW w:type="dxa" w:w="2340"/>
          </w:tcPr>
          <w:p>
            <w:pPr>
              <w:spacing w:after="0"/>
            </w:pPr>
            <w:r>
              <w:rPr>
                <w:rFonts w:ascii="Aptos" w:hAnsi="Aptos"/>
                <w:color w:val="1F2937"/>
                <w:sz w:val="18"/>
              </w:rPr>
              <w:t>saldo de tesorería de una versión anterior, no aplicable a la versión reconciliada</w:t>
            </w:r>
          </w:p>
        </w:tc>
        <w:tc>
          <w:tcPr>
            <w:tcW w:type="dxa" w:w="2340"/>
          </w:tcPr>
          <w:p>
            <w:pPr>
              <w:spacing w:after="0"/>
            </w:pPr>
            <w:r>
              <w:rPr>
                <w:rFonts w:ascii="Aptos" w:hAnsi="Aptos"/>
                <w:color w:val="1F2937"/>
                <w:sz w:val="18"/>
              </w:rPr>
              <w:t>saldo de tesorería de una versión anterior, no aplicable a la versión reconciliada</w:t>
            </w:r>
          </w:p>
        </w:tc>
        <w:tc>
          <w:tcPr>
            <w:tcW w:type="dxa" w:w="2340"/>
          </w:tcPr>
          <w:p>
            <w:pPr>
              <w:spacing w:after="0"/>
            </w:pPr>
            <w:r>
              <w:rPr>
                <w:rFonts w:ascii="Aptos" w:hAnsi="Aptos"/>
                <w:color w:val="1F2937"/>
                <w:sz w:val="18"/>
              </w:rPr>
              <w:t>PASS</w:t>
            </w:r>
          </w:p>
        </w:tc>
      </w:tr>
      <w:tr>
        <w:tc>
          <w:tcPr>
            <w:tcW w:type="dxa" w:w="2340"/>
          </w:tcPr>
          <w:p>
            <w:pPr>
              <w:spacing w:after="0"/>
            </w:pPr>
            <w:r>
              <w:rPr>
                <w:rFonts w:ascii="Aptos" w:hAnsi="Aptos"/>
                <w:color w:val="1F2937"/>
                <w:sz w:val="18"/>
              </w:rPr>
              <w:t>Balance</w:t>
            </w:r>
          </w:p>
        </w:tc>
        <w:tc>
          <w:tcPr>
            <w:tcW w:type="dxa" w:w="2340"/>
          </w:tcPr>
          <w:p>
            <w:pPr>
              <w:spacing w:after="0"/>
            </w:pPr>
            <w:r>
              <w:rPr>
                <w:rFonts w:ascii="Aptos" w:hAnsi="Aptos"/>
                <w:color w:val="1F2937"/>
                <w:sz w:val="18"/>
              </w:rPr>
              <w:t>Pendiente de validación documental; el balance proforma se cuadra matemáticamente</w:t>
            </w:r>
          </w:p>
        </w:tc>
        <w:tc>
          <w:tcPr>
            <w:tcW w:type="dxa" w:w="2340"/>
          </w:tcPr>
          <w:p>
            <w:pPr>
              <w:spacing w:after="0"/>
            </w:pPr>
            <w:r>
              <w:rPr>
                <w:rFonts w:ascii="Aptos" w:hAnsi="Aptos"/>
                <w:color w:val="1F2937"/>
                <w:sz w:val="18"/>
              </w:rPr>
              <w:t>Pendiente de validación documental; el balance proforma se cuadra matemáticamente</w:t>
            </w:r>
          </w:p>
        </w:tc>
        <w:tc>
          <w:tcPr>
            <w:tcW w:type="dxa" w:w="2340"/>
          </w:tcPr>
          <w:p>
            <w:pPr>
              <w:spacing w:after="0"/>
            </w:pPr>
            <w:r>
              <w:rPr>
                <w:rFonts w:ascii="Aptos" w:hAnsi="Aptos"/>
                <w:color w:val="1F2937"/>
                <w:sz w:val="18"/>
              </w:rPr>
              <w:t>PASS documental</w:t>
            </w:r>
          </w:p>
        </w:tc>
      </w:tr>
    </w:tbl>
    <w:p>
      <w:r>
        <w:rPr>
          <w:rFonts w:ascii="Aptos" w:hAnsi="Aptos"/>
          <w:color w:val="1F2937"/>
          <w:sz w:val="21"/>
        </w:rPr>
        <w:t>El Balance permanece como balance proforma con igualdad matemática entre Activo y Patrimonio Neto y Pasivo; control de cierre 0,00 €. La validez documental de financiación pendiente, aportación en especie y obligaciones queda condicionada a formalización, justificación y desembolso efectivo. No se utiliza plug, MAX(0,caja), financiación ficticia ni activo por caja negativa. El gasto histórico previo asciende a 1.058,31 € + 21,42 USD y queda separado del presupuesto F1, con trazabilidad SEV.</w:t>
      </w:r>
    </w:p>
    <w:p>
      <w:r>
        <w:rPr>
          <w:rFonts w:ascii="Aptos" w:hAnsi="Aptos"/>
          <w:color w:val="1F2937"/>
          <w:sz w:val="21"/>
        </w:rPr>
        <w:t>Corrección de fuente: cualquier referencia anterior a una estructura distinta de escenarios se considera obsoleta. La estructura económica única del Excel y de esta memoria es: 165.000 € prudente, 180.000 € central y 195.000 € techo. La necesidad central de financiación a captar es 180.000 €, no un desembolso efectivo.</w:t>
      </w:r>
    </w:p>
    <w:p>
      <w:pPr>
        <w:pStyle w:val="2"/>
      </w:pPr>
      <w:r>
        <w:rPr>
          <w:rFonts w:ascii="Aptos Display" w:hAnsi="Aptos Display"/>
          <w:b/>
          <w:color w:val="174A2E"/>
          <w:sz w:val="21"/>
        </w:rPr>
        <w:t>Trazabilidad, contingencia y estados documentales</w:t>
      </w:r>
    </w:p>
    <w:p>
      <w:r>
        <w:rPr>
          <w:rFonts w:ascii="Aptos" w:hAnsi="Aptos"/>
          <w:color w:val="1F2937"/>
          <w:sz w:val="21"/>
        </w:rPr>
        <w:t>El Excel vincula las partidas principales de Fase 1 con identificadores SEV: SEV-F1-SAAS-DEV-001 para desarrollo SaaS, SEV-F1-SECURITY-001 para seguridad, SEV-F1-TRAZALIA-001 para evidencias, SEV-F1-HR-001 para estructura humana, SEV-F1-IOT-001 para sensórica, SEV-F1-TRT-001 para el ensayo térmico, SEV-F1-LEGAL-001 para legal/administración y SEV-F1-COMMERCIAL-001 para ventas y formación.</w:t>
      </w:r>
    </w:p>
    <w:p>
      <w:r>
        <w:rPr>
          <w:rFonts w:ascii="Aptos" w:hAnsi="Aptos"/>
          <w:color w:val="1F2937"/>
          <w:sz w:val="21"/>
        </w:rPr>
        <w:t>La contingencia del techo de 195.000 € asciende a 30.000 € y se desglosa en retraso del TRT (10.000 €), mayor coste de personal (5.000 €), contingencia legal/permisos (8.000 €) y contingencia técnica IoT (7.000 €). No es gasto comprometido: solo se activa mediante gate, necesidad acreditada y evidencia SEV.</w:t>
      </w:r>
    </w:p>
    <w:p>
      <w:r>
        <w:rPr>
          <w:rFonts w:ascii="Aptos" w:hAnsi="Aptos"/>
          <w:color w:val="1F2937"/>
          <w:sz w:val="21"/>
        </w:rPr>
        <w:t>La sociedad Grupo Castúo 360 S.L. se encuentra en proceso de constitución; el promotor opera actualmente como autónomo y la sociedad absorberá la actividad tras su formalización. La marca CASTÚO-SYSTEM (M4359038) está en proceso de concesión y no se valora como activo hasta su concesión formal. El convenio de suelo con el Ayuntamiento de Membrío está en negociación y la carta de intención no equivale al convenio definitivo. Actualmente existen acuerdos de colaboración, no cinco clientes remunerados; alcanzar al menos cinco clientes remunerados es un objetivo de Gate G1.</w:t>
      </w:r>
    </w:p>
    <w:p>
      <w:r>
        <w:rPr>
          <w:rFonts w:ascii="Aptos" w:hAnsi="Aptos"/>
          <w:color w:val="1F2937"/>
          <w:sz w:val="21"/>
        </w:rPr>
        <w:t>El IVA de inversión de 5.040,00 € se presenta como hipótesis por partidas sujetas. El IVA a favor/compensable de 7.745,49 € no se considera caja disponible ni devolución cobrada. A efectos informativos, la diferencia entre IVA a favor y el IVA de inversión asciende a 2.705,49 €, pero no se incorpora a tesorería ni reduce automáticamente la financiación: cualquier compensación o devolución futura requerirá documentación y periodo fiscal identificados.</w:t>
      </w:r>
    </w:p>
    <w:p>
      <w:r>
        <w:rPr>
          <w:rFonts w:ascii="Aptos" w:hAnsi="Aptos"/>
          <w:color w:val="1F2937"/>
          <w:sz w:val="21"/>
        </w:rPr>
        <w:t>La marca CASTÚO-SYSTEM (M4359038) tiene una tasa de 210,72 € y permanece en proceso de concesión ante la OEPM. No se valora como activo hasta su concesión formal; la partida queda vinculada al SEV-F1-MARK-001.</w:t>
      </w:r>
    </w:p>
    <w:p>
      <w:r>
        <w:rPr>
          <w:rFonts w:ascii="Aptos" w:hAnsi="Aptos"/>
          <w:color w:val="1F2937"/>
          <w:sz w:val="21"/>
        </w:rPr>
      </w:r>
    </w:p>
    <w:p>
      <w:pPr>
        <w:pStyle w:val="2"/>
      </w:pPr>
      <w:r>
        <w:rPr>
          <w:rFonts w:ascii="Aptos Display" w:hAnsi="Aptos Display"/>
          <w:b/>
          <w:color w:val="174A2E"/>
          <w:sz w:val="21"/>
        </w:rPr>
        <w:t>Anexo de control 1 · Matriz maestra Excel–memoria</w:t>
      </w:r>
    </w:p>
    <w:p>
      <w:pPr>
        <w:spacing w:after="100" w:line="240" w:lineRule="auto"/>
      </w:pPr>
      <w:r>
        <w:rPr>
          <w:rFonts w:ascii="Aptos" w:hAnsi="Aptos"/>
          <w:color w:val="1F2937"/>
          <w:sz w:val="21"/>
        </w:rPr>
        <w:t>Documento de control para la convocatoria PIE PLUS 2026. Las cifras se leen junto con el Plan Económico-Financiero oficial y no sustituyen sus fórmulas.</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rFonts w:ascii="Aptos" w:hAnsi="Aptos"/>
                <w:b/>
                <w:color w:val="1F2937"/>
                <w:sz w:val="18"/>
              </w:rPr>
              <w:t>Magnitud</w:t>
            </w:r>
          </w:p>
        </w:tc>
        <w:tc>
          <w:tcPr>
            <w:tcW w:type="dxa" w:w="2340"/>
            <w:vAlign w:val="center"/>
          </w:tcPr>
          <w:p>
            <w:r>
              <w:rPr>
                <w:rFonts w:ascii="Aptos" w:hAnsi="Aptos"/>
                <w:b/>
                <w:color w:val="1F2937"/>
                <w:sz w:val="18"/>
              </w:rPr>
              <w:t>Excel oficial</w:t>
            </w:r>
          </w:p>
        </w:tc>
        <w:tc>
          <w:tcPr>
            <w:tcW w:type="dxa" w:w="2340"/>
            <w:vAlign w:val="center"/>
          </w:tcPr>
          <w:p>
            <w:r>
              <w:rPr>
                <w:rFonts w:ascii="Aptos" w:hAnsi="Aptos"/>
                <w:b/>
                <w:color w:val="1F2937"/>
                <w:sz w:val="18"/>
              </w:rPr>
              <w:t>Memoria</w:t>
            </w:r>
          </w:p>
        </w:tc>
        <w:tc>
          <w:tcPr>
            <w:tcW w:type="dxa" w:w="2340"/>
            <w:vAlign w:val="center"/>
          </w:tcPr>
          <w:p>
            <w:r>
              <w:rPr>
                <w:rFonts w:ascii="Aptos" w:hAnsi="Aptos"/>
                <w:b/>
                <w:color w:val="1F2937"/>
                <w:sz w:val="18"/>
              </w:rPr>
              <w:t>Estado</w:t>
            </w:r>
          </w:p>
        </w:tc>
      </w:tr>
      <w:tr>
        <w:tc>
          <w:tcPr>
            <w:tcW w:type="dxa" w:w="2340"/>
          </w:tcPr>
          <w:p>
            <w:r>
              <w:rPr>
                <w:rFonts w:ascii="Aptos" w:hAnsi="Aptos"/>
                <w:color w:val="1F2937"/>
                <w:sz w:val="18"/>
              </w:rPr>
              <w:t>F1 prudente</w:t>
            </w:r>
          </w:p>
        </w:tc>
        <w:tc>
          <w:tcPr>
            <w:tcW w:type="dxa" w:w="2340"/>
          </w:tcPr>
          <w:p>
            <w:r>
              <w:rPr>
                <w:rFonts w:ascii="Aptos" w:hAnsi="Aptos"/>
                <w:color w:val="1F2937"/>
                <w:sz w:val="18"/>
              </w:rPr>
              <w:t>165.000,00 €</w:t>
            </w:r>
          </w:p>
        </w:tc>
        <w:tc>
          <w:tcPr>
            <w:tcW w:type="dxa" w:w="2340"/>
          </w:tcPr>
          <w:p>
            <w:r>
              <w:rPr>
                <w:rFonts w:ascii="Aptos" w:hAnsi="Aptos"/>
                <w:color w:val="1F2937"/>
                <w:sz w:val="18"/>
              </w:rPr>
              <w:t>165.000,00 €</w:t>
            </w:r>
          </w:p>
        </w:tc>
        <w:tc>
          <w:tcPr>
            <w:tcW w:type="dxa" w:w="2340"/>
          </w:tcPr>
          <w:p>
            <w:r>
              <w:rPr>
                <w:rFonts w:ascii="Aptos" w:hAnsi="Aptos"/>
                <w:color w:val="1F2937"/>
                <w:sz w:val="18"/>
              </w:rPr>
              <w:t>PASS</w:t>
            </w:r>
          </w:p>
        </w:tc>
      </w:tr>
      <w:tr>
        <w:tc>
          <w:tcPr>
            <w:tcW w:type="dxa" w:w="2340"/>
          </w:tcPr>
          <w:p>
            <w:r>
              <w:rPr>
                <w:rFonts w:ascii="Aptos" w:hAnsi="Aptos"/>
                <w:color w:val="1F2937"/>
                <w:sz w:val="18"/>
              </w:rPr>
              <w:t>F1 central</w:t>
            </w:r>
          </w:p>
        </w:tc>
        <w:tc>
          <w:tcPr>
            <w:tcW w:type="dxa" w:w="2340"/>
          </w:tcPr>
          <w:p>
            <w:r>
              <w:rPr>
                <w:rFonts w:ascii="Aptos" w:hAnsi="Aptos"/>
                <w:color w:val="1F2937"/>
                <w:sz w:val="18"/>
              </w:rPr>
              <w:t>180.000,00 €</w:t>
            </w:r>
          </w:p>
        </w:tc>
        <w:tc>
          <w:tcPr>
            <w:tcW w:type="dxa" w:w="2340"/>
          </w:tcPr>
          <w:p>
            <w:r>
              <w:rPr>
                <w:rFonts w:ascii="Aptos" w:hAnsi="Aptos"/>
                <w:color w:val="1F2937"/>
                <w:sz w:val="18"/>
              </w:rPr>
              <w:t>180.000,00 €</w:t>
            </w:r>
          </w:p>
        </w:tc>
        <w:tc>
          <w:tcPr>
            <w:tcW w:type="dxa" w:w="2340"/>
          </w:tcPr>
          <w:p>
            <w:r>
              <w:rPr>
                <w:rFonts w:ascii="Aptos" w:hAnsi="Aptos"/>
                <w:color w:val="1F2937"/>
                <w:sz w:val="18"/>
              </w:rPr>
              <w:t>PASS</w:t>
            </w:r>
          </w:p>
        </w:tc>
      </w:tr>
      <w:tr>
        <w:tc>
          <w:tcPr>
            <w:tcW w:type="dxa" w:w="2340"/>
          </w:tcPr>
          <w:p>
            <w:r>
              <w:rPr>
                <w:rFonts w:ascii="Aptos" w:hAnsi="Aptos"/>
                <w:color w:val="1F2937"/>
                <w:sz w:val="18"/>
              </w:rPr>
              <w:t>F1 techo</w:t>
            </w:r>
          </w:p>
        </w:tc>
        <w:tc>
          <w:tcPr>
            <w:tcW w:type="dxa" w:w="2340"/>
          </w:tcPr>
          <w:p>
            <w:r>
              <w:rPr>
                <w:rFonts w:ascii="Aptos" w:hAnsi="Aptos"/>
                <w:color w:val="1F2937"/>
                <w:sz w:val="18"/>
              </w:rPr>
              <w:t>195.000,00 €</w:t>
            </w:r>
          </w:p>
        </w:tc>
        <w:tc>
          <w:tcPr>
            <w:tcW w:type="dxa" w:w="2340"/>
          </w:tcPr>
          <w:p>
            <w:r>
              <w:rPr>
                <w:rFonts w:ascii="Aptos" w:hAnsi="Aptos"/>
                <w:color w:val="1F2937"/>
                <w:sz w:val="18"/>
              </w:rPr>
              <w:t>195.000,00 €</w:t>
            </w:r>
          </w:p>
        </w:tc>
        <w:tc>
          <w:tcPr>
            <w:tcW w:type="dxa" w:w="2340"/>
          </w:tcPr>
          <w:p>
            <w:r>
              <w:rPr>
                <w:rFonts w:ascii="Aptos" w:hAnsi="Aptos"/>
                <w:color w:val="1F2937"/>
                <w:sz w:val="18"/>
              </w:rPr>
              <w:t>PASS</w:t>
            </w:r>
          </w:p>
        </w:tc>
      </w:tr>
      <w:tr>
        <w:tc>
          <w:tcPr>
            <w:tcW w:type="dxa" w:w="2340"/>
          </w:tcPr>
          <w:p>
            <w:r>
              <w:rPr>
                <w:rFonts w:ascii="Aptos" w:hAnsi="Aptos"/>
                <w:color w:val="1F2937"/>
                <w:sz w:val="18"/>
              </w:rPr>
              <w:t>Personal reconocido Año 1 según calendario oficial</w:t>
            </w:r>
          </w:p>
        </w:tc>
        <w:tc>
          <w:tcPr>
            <w:tcW w:type="dxa" w:w="2340"/>
          </w:tcPr>
          <w:p>
            <w:r>
              <w:rPr>
                <w:rFonts w:ascii="Aptos" w:hAnsi="Aptos"/>
                <w:color w:val="1F2937"/>
                <w:sz w:val="18"/>
              </w:rPr>
              <w:t>52.566,67 €</w:t>
            </w:r>
          </w:p>
        </w:tc>
        <w:tc>
          <w:tcPr>
            <w:tcW w:type="dxa" w:w="2340"/>
          </w:tcPr>
          <w:p>
            <w:r>
              <w:rPr>
                <w:rFonts w:ascii="Aptos" w:hAnsi="Aptos"/>
                <w:color w:val="1F2937"/>
                <w:sz w:val="18"/>
              </w:rPr>
              <w:t>52.566,67 €</w:t>
            </w:r>
          </w:p>
        </w:tc>
        <w:tc>
          <w:tcPr>
            <w:tcW w:type="dxa" w:w="2340"/>
          </w:tcPr>
          <w:p>
            <w:r>
              <w:rPr>
                <w:rFonts w:ascii="Aptos" w:hAnsi="Aptos"/>
                <w:color w:val="1F2937"/>
                <w:sz w:val="18"/>
              </w:rPr>
              <w:t>PASS</w:t>
            </w:r>
          </w:p>
        </w:tc>
      </w:tr>
      <w:tr>
        <w:tc>
          <w:tcPr>
            <w:tcW w:type="dxa" w:w="2340"/>
          </w:tcPr>
          <w:p>
            <w:r>
              <w:rPr>
                <w:rFonts w:ascii="Aptos" w:hAnsi="Aptos"/>
                <w:color w:val="1F2937"/>
                <w:sz w:val="18"/>
              </w:rPr>
              <w:t>Caja inicial</w:t>
            </w:r>
          </w:p>
        </w:tc>
        <w:tc>
          <w:tcPr>
            <w:tcW w:type="dxa" w:w="2340"/>
          </w:tcPr>
          <w:p>
            <w:r>
              <w:rPr>
                <w:rFonts w:ascii="Aptos" w:hAnsi="Aptos"/>
                <w:color w:val="1F2937"/>
                <w:sz w:val="18"/>
              </w:rPr>
              <w:t>0,00 €</w:t>
            </w:r>
          </w:p>
        </w:tc>
        <w:tc>
          <w:tcPr>
            <w:tcW w:type="dxa" w:w="2340"/>
          </w:tcPr>
          <w:p>
            <w:r>
              <w:rPr>
                <w:rFonts w:ascii="Aptos" w:hAnsi="Aptos"/>
                <w:color w:val="1F2937"/>
                <w:sz w:val="18"/>
              </w:rPr>
              <w:t>0,00 €</w:t>
            </w:r>
          </w:p>
        </w:tc>
        <w:tc>
          <w:tcPr>
            <w:tcW w:type="dxa" w:w="2340"/>
          </w:tcPr>
          <w:p>
            <w:r>
              <w:rPr>
                <w:rFonts w:ascii="Aptos" w:hAnsi="Aptos"/>
                <w:color w:val="1F2937"/>
                <w:sz w:val="18"/>
              </w:rPr>
              <w:t>PASS</w:t>
            </w:r>
          </w:p>
        </w:tc>
      </w:tr>
    </w:tbl>
    <w:p>
      <w:pPr>
        <w:spacing w:after="100" w:line="240" w:lineRule="auto"/>
      </w:pPr>
      <w:r>
        <w:rPr>
          <w:rFonts w:ascii="Aptos" w:hAnsi="Aptos"/>
          <w:color w:val="1F2937"/>
          <w:sz w:val="21"/>
        </w:rPr>
        <w:t>Esta matriz establece la regla de fuente única: el Excel determina la magnitud y la memoria explica su perímetro, estado y significado.</w:t>
      </w:r>
    </w:p>
    <w:p>
      <w:r>
        <w:rPr>
          <w:rFonts w:ascii="Aptos" w:hAnsi="Aptos"/>
          <w:color w:val="1F2937"/>
          <w:sz w:val="21"/>
        </w:rPr>
      </w:r>
    </w:p>
    <w:p>
      <w:pPr>
        <w:pStyle w:val="2"/>
      </w:pPr>
      <w:r>
        <w:rPr>
          <w:rFonts w:ascii="Aptos Display" w:hAnsi="Aptos Display"/>
          <w:b/>
          <w:color w:val="174A2E"/>
          <w:sz w:val="21"/>
        </w:rPr>
        <w:t>Anexo de control 2 · Resultados de Año 1</w:t>
      </w:r>
    </w:p>
    <w:p>
      <w:pPr>
        <w:spacing w:after="100" w:line="240" w:lineRule="auto"/>
      </w:pPr>
      <w:r>
        <w:rPr>
          <w:rFonts w:ascii="Aptos" w:hAnsi="Aptos"/>
          <w:color w:val="1F2937"/>
          <w:sz w:val="21"/>
        </w:rPr>
        <w:t>Documento de control para la convocatoria PIE PLUS 2026. Las cifras se leen junto con el Plan Económico-Financiero oficial y no sustituyen sus fórmulas.</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rFonts w:ascii="Aptos" w:hAnsi="Aptos"/>
                <w:b/>
                <w:color w:val="1F2937"/>
                <w:sz w:val="18"/>
              </w:rPr>
              <w:t>Concepto</w:t>
            </w:r>
          </w:p>
        </w:tc>
        <w:tc>
          <w:tcPr>
            <w:tcW w:type="dxa" w:w="2340"/>
            <w:vAlign w:val="center"/>
          </w:tcPr>
          <w:p>
            <w:r>
              <w:rPr>
                <w:rFonts w:ascii="Aptos" w:hAnsi="Aptos"/>
                <w:b/>
                <w:color w:val="1F2937"/>
                <w:sz w:val="18"/>
              </w:rPr>
              <w:t>Importe</w:t>
            </w:r>
          </w:p>
        </w:tc>
        <w:tc>
          <w:tcPr>
            <w:tcW w:type="dxa" w:w="2340"/>
            <w:vAlign w:val="center"/>
          </w:tcPr>
          <w:p>
            <w:r>
              <w:rPr>
                <w:rFonts w:ascii="Aptos" w:hAnsi="Aptos"/>
                <w:b/>
                <w:color w:val="1F2937"/>
                <w:sz w:val="18"/>
              </w:rPr>
              <w:t>Interpretación</w:t>
            </w:r>
          </w:p>
        </w:tc>
        <w:tc>
          <w:tcPr>
            <w:tcW w:type="dxa" w:w="2340"/>
            <w:vAlign w:val="center"/>
          </w:tcPr>
          <w:p>
            <w:r>
              <w:rPr>
                <w:rFonts w:ascii="Aptos" w:hAnsi="Aptos"/>
                <w:b/>
                <w:color w:val="1F2937"/>
                <w:sz w:val="18"/>
              </w:rPr>
              <w:t>Estado</w:t>
            </w:r>
          </w:p>
        </w:tc>
      </w:tr>
      <w:tr>
        <w:tc>
          <w:tcPr>
            <w:tcW w:type="dxa" w:w="2340"/>
          </w:tcPr>
          <w:p>
            <w:r>
              <w:rPr>
                <w:rFonts w:ascii="Aptos" w:hAnsi="Aptos"/>
                <w:color w:val="1F2937"/>
                <w:sz w:val="18"/>
              </w:rPr>
              <w:t>Ingresos</w:t>
            </w:r>
          </w:p>
        </w:tc>
        <w:tc>
          <w:tcPr>
            <w:tcW w:type="dxa" w:w="2340"/>
          </w:tcPr>
          <w:p>
            <w:r>
              <w:rPr>
                <w:rFonts w:ascii="Aptos" w:hAnsi="Aptos"/>
                <w:color w:val="1F2937"/>
                <w:sz w:val="18"/>
              </w:rPr>
              <w:t>39.500,00 €</w:t>
            </w:r>
          </w:p>
        </w:tc>
        <w:tc>
          <w:tcPr>
            <w:tcW w:type="dxa" w:w="2340"/>
          </w:tcPr>
          <w:p>
            <w:r>
              <w:rPr>
                <w:rFonts w:ascii="Aptos" w:hAnsi="Aptos"/>
                <w:color w:val="1F2937"/>
                <w:sz w:val="18"/>
              </w:rPr>
              <w:t>Proyección comercial Año 1</w:t>
            </w:r>
          </w:p>
        </w:tc>
        <w:tc>
          <w:tcPr>
            <w:tcW w:type="dxa" w:w="2340"/>
          </w:tcPr>
          <w:p>
            <w:r>
              <w:rPr>
                <w:rFonts w:ascii="Aptos" w:hAnsi="Aptos"/>
                <w:color w:val="1F2937"/>
                <w:sz w:val="18"/>
              </w:rPr>
              <w:t>Hipótesis</w:t>
            </w:r>
          </w:p>
        </w:tc>
      </w:tr>
      <w:tr>
        <w:tc>
          <w:tcPr>
            <w:tcW w:type="dxa" w:w="2340"/>
          </w:tcPr>
          <w:p>
            <w:r>
              <w:rPr>
                <w:rFonts w:ascii="Aptos" w:hAnsi="Aptos"/>
                <w:color w:val="1F2937"/>
                <w:sz w:val="18"/>
              </w:rPr>
              <w:t>Consumos</w:t>
            </w:r>
          </w:p>
        </w:tc>
        <w:tc>
          <w:tcPr>
            <w:tcW w:type="dxa" w:w="2340"/>
          </w:tcPr>
          <w:p>
            <w:r>
              <w:rPr>
                <w:rFonts w:ascii="Aptos" w:hAnsi="Aptos"/>
                <w:color w:val="1F2937"/>
                <w:sz w:val="18"/>
              </w:rPr>
              <w:t>10.696,00 €</w:t>
            </w:r>
          </w:p>
        </w:tc>
        <w:tc>
          <w:tcPr>
            <w:tcW w:type="dxa" w:w="2340"/>
          </w:tcPr>
          <w:p>
            <w:r>
              <w:rPr>
                <w:rFonts w:ascii="Aptos" w:hAnsi="Aptos"/>
                <w:color w:val="1F2937"/>
                <w:sz w:val="18"/>
              </w:rPr>
              <w:t>Coste asociado a ventas</w:t>
            </w:r>
          </w:p>
        </w:tc>
        <w:tc>
          <w:tcPr>
            <w:tcW w:type="dxa" w:w="2340"/>
          </w:tcPr>
          <w:p>
            <w:r>
              <w:rPr>
                <w:rFonts w:ascii="Aptos" w:hAnsi="Aptos"/>
                <w:color w:val="1F2937"/>
                <w:sz w:val="18"/>
              </w:rPr>
              <w:t>Proyección</w:t>
            </w:r>
          </w:p>
        </w:tc>
      </w:tr>
      <w:tr>
        <w:tc>
          <w:tcPr>
            <w:tcW w:type="dxa" w:w="2340"/>
          </w:tcPr>
          <w:p>
            <w:r>
              <w:rPr>
                <w:rFonts w:ascii="Aptos" w:hAnsi="Aptos"/>
                <w:color w:val="1F2937"/>
                <w:sz w:val="18"/>
              </w:rPr>
              <w:t>Personal P&amp;L</w:t>
            </w:r>
          </w:p>
        </w:tc>
        <w:tc>
          <w:tcPr>
            <w:tcW w:type="dxa" w:w="2340"/>
          </w:tcPr>
          <w:p>
            <w:r>
              <w:rPr>
                <w:rFonts w:ascii="Aptos" w:hAnsi="Aptos"/>
                <w:color w:val="1F2937"/>
                <w:sz w:val="18"/>
              </w:rPr>
              <w:t>52.566,67 €</w:t>
            </w:r>
          </w:p>
        </w:tc>
        <w:tc>
          <w:tcPr>
            <w:tcW w:type="dxa" w:w="2340"/>
          </w:tcPr>
          <w:p>
            <w:r>
              <w:rPr>
                <w:rFonts w:ascii="Aptos" w:hAnsi="Aptos"/>
                <w:color w:val="1F2937"/>
                <w:sz w:val="18"/>
              </w:rPr>
              <w:t>Ejecución según calendario</w:t>
            </w:r>
          </w:p>
        </w:tc>
        <w:tc>
          <w:tcPr>
            <w:tcW w:type="dxa" w:w="2340"/>
          </w:tcPr>
          <w:p>
            <w:r>
              <w:rPr>
                <w:rFonts w:ascii="Aptos" w:hAnsi="Aptos"/>
                <w:color w:val="1F2937"/>
                <w:sz w:val="18"/>
              </w:rPr>
              <w:t>Planificado</w:t>
            </w:r>
          </w:p>
        </w:tc>
      </w:tr>
      <w:tr>
        <w:tc>
          <w:tcPr>
            <w:tcW w:type="dxa" w:w="2340"/>
          </w:tcPr>
          <w:p>
            <w:r>
              <w:rPr>
                <w:rFonts w:ascii="Aptos" w:hAnsi="Aptos"/>
                <w:color w:val="1F2937"/>
                <w:sz w:val="18"/>
              </w:rPr>
              <w:t>Resultado explotación</w:t>
            </w:r>
          </w:p>
        </w:tc>
        <w:tc>
          <w:tcPr>
            <w:tcW w:type="dxa" w:w="2340"/>
          </w:tcPr>
          <w:p>
            <w:r>
              <w:rPr>
                <w:rFonts w:ascii="Aptos" w:hAnsi="Aptos"/>
                <w:color w:val="1F2937"/>
                <w:sz w:val="18"/>
              </w:rPr>
              <w:t>−75.762,67 €</w:t>
            </w:r>
          </w:p>
        </w:tc>
        <w:tc>
          <w:tcPr>
            <w:tcW w:type="dxa" w:w="2340"/>
          </w:tcPr>
          <w:p>
            <w:r>
              <w:rPr>
                <w:rFonts w:ascii="Aptos" w:hAnsi="Aptos"/>
                <w:color w:val="1F2937"/>
                <w:sz w:val="18"/>
              </w:rPr>
              <w:t>Pérdida operativa inicial</w:t>
            </w:r>
          </w:p>
        </w:tc>
        <w:tc>
          <w:tcPr>
            <w:tcW w:type="dxa" w:w="2340"/>
          </w:tcPr>
          <w:p>
            <w:r>
              <w:rPr>
                <w:rFonts w:ascii="Aptos" w:hAnsi="Aptos"/>
                <w:color w:val="1F2937"/>
                <w:sz w:val="18"/>
              </w:rPr>
              <w:t>Derivado</w:t>
            </w:r>
          </w:p>
        </w:tc>
      </w:tr>
      <w:tr>
        <w:tc>
          <w:tcPr>
            <w:tcW w:type="dxa" w:w="2340"/>
          </w:tcPr>
          <w:p>
            <w:r>
              <w:rPr>
                <w:rFonts w:ascii="Aptos" w:hAnsi="Aptos"/>
                <w:color w:val="1F2937"/>
                <w:sz w:val="18"/>
              </w:rPr>
              <w:t>Resultado antes impuestos</w:t>
            </w:r>
          </w:p>
        </w:tc>
        <w:tc>
          <w:tcPr>
            <w:tcW w:type="dxa" w:w="2340"/>
          </w:tcPr>
          <w:p>
            <w:r>
              <w:rPr>
                <w:rFonts w:ascii="Aptos" w:hAnsi="Aptos"/>
                <w:color w:val="1F2937"/>
                <w:sz w:val="18"/>
              </w:rPr>
              <w:t>−82.362,67 €</w:t>
            </w:r>
          </w:p>
        </w:tc>
        <w:tc>
          <w:tcPr>
            <w:tcW w:type="dxa" w:w="2340"/>
          </w:tcPr>
          <w:p>
            <w:r>
              <w:rPr>
                <w:rFonts w:ascii="Aptos" w:hAnsi="Aptos"/>
                <w:color w:val="1F2937"/>
                <w:sz w:val="18"/>
              </w:rPr>
              <w:t>Incluye intereses</w:t>
            </w:r>
          </w:p>
        </w:tc>
        <w:tc>
          <w:tcPr>
            <w:tcW w:type="dxa" w:w="2340"/>
          </w:tcPr>
          <w:p>
            <w:r>
              <w:rPr>
                <w:rFonts w:ascii="Aptos" w:hAnsi="Aptos"/>
                <w:color w:val="1F2937"/>
                <w:sz w:val="18"/>
              </w:rPr>
              <w:t>Derivado</w:t>
            </w:r>
          </w:p>
        </w:tc>
      </w:tr>
    </w:tbl>
    <w:p>
      <w:pPr>
        <w:spacing w:after="100" w:line="240" w:lineRule="auto"/>
      </w:pPr>
      <w:r>
        <w:rPr>
          <w:rFonts w:ascii="Aptos" w:hAnsi="Aptos"/>
          <w:color w:val="1F2937"/>
          <w:sz w:val="21"/>
        </w:rPr>
        <w:t>La pérdida inicial se presenta con transparencia. El plan no declara rentabilidad inmediata: vincula la recuperación a conversión comercial, repetición de pilotos y evolución de las fases digitales.</w:t>
      </w:r>
    </w:p>
    <w:p>
      <w:r>
        <w:rPr>
          <w:rFonts w:ascii="Aptos" w:hAnsi="Aptos"/>
          <w:color w:val="1F2937"/>
          <w:sz w:val="21"/>
        </w:rPr>
      </w:r>
    </w:p>
    <w:p>
      <w:pPr>
        <w:pStyle w:val="2"/>
      </w:pPr>
      <w:r>
        <w:rPr>
          <w:rFonts w:ascii="Aptos Display" w:hAnsi="Aptos Display"/>
          <w:b/>
          <w:color w:val="174A2E"/>
          <w:sz w:val="21"/>
        </w:rPr>
        <w:t>Anexo de control 3 · Caja y financiación</w:t>
      </w:r>
    </w:p>
    <w:p>
      <w:pPr>
        <w:spacing w:after="100" w:line="240" w:lineRule="auto"/>
      </w:pPr>
      <w:r>
        <w:rPr>
          <w:rFonts w:ascii="Aptos" w:hAnsi="Aptos"/>
          <w:color w:val="1F2937"/>
          <w:sz w:val="21"/>
        </w:rPr>
        <w:t>Documento de control para la convocatoria PIE PLUS 2026. Las cifras se leen junto con el Plan Económico-Financiero oficial y no sustituyen sus fórmulas.</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color w:val="1F2937"/>
                <w:sz w:val="18"/>
              </w:rPr>
              <w:t>Flujo</w:t>
            </w:r>
          </w:p>
        </w:tc>
        <w:tc>
          <w:tcPr>
            <w:tcW w:type="dxa" w:w="3120"/>
            <w:vAlign w:val="center"/>
          </w:tcPr>
          <w:p>
            <w:r>
              <w:rPr>
                <w:rFonts w:ascii="Aptos" w:hAnsi="Aptos"/>
                <w:b/>
                <w:color w:val="1F2937"/>
                <w:sz w:val="18"/>
              </w:rPr>
              <w:t>Importe</w:t>
            </w:r>
          </w:p>
        </w:tc>
        <w:tc>
          <w:tcPr>
            <w:tcW w:type="dxa" w:w="3120"/>
            <w:vAlign w:val="center"/>
          </w:tcPr>
          <w:p>
            <w:r>
              <w:rPr>
                <w:rFonts w:ascii="Aptos" w:hAnsi="Aptos"/>
                <w:b/>
                <w:color w:val="1F2937"/>
                <w:sz w:val="18"/>
              </w:rPr>
              <w:t>Tratamiento</w:t>
            </w:r>
          </w:p>
        </w:tc>
      </w:tr>
      <w:tr>
        <w:tc>
          <w:tcPr>
            <w:tcW w:type="dxa" w:w="3120"/>
          </w:tcPr>
          <w:p>
            <w:r>
              <w:rPr>
                <w:rFonts w:ascii="Aptos" w:hAnsi="Aptos"/>
                <w:color w:val="1F2937"/>
                <w:sz w:val="18"/>
              </w:rPr>
              <w:t>Caja propia inicial</w:t>
            </w:r>
          </w:p>
        </w:tc>
        <w:tc>
          <w:tcPr>
            <w:tcW w:type="dxa" w:w="3120"/>
          </w:tcPr>
          <w:p>
            <w:r>
              <w:rPr>
                <w:rFonts w:ascii="Aptos" w:hAnsi="Aptos"/>
                <w:color w:val="1F2937"/>
                <w:sz w:val="18"/>
              </w:rPr>
              <w:t>0,00 €</w:t>
            </w:r>
          </w:p>
        </w:tc>
        <w:tc>
          <w:tcPr>
            <w:tcW w:type="dxa" w:w="3120"/>
          </w:tcPr>
          <w:p>
            <w:r>
              <w:rPr>
                <w:rFonts w:ascii="Aptos" w:hAnsi="Aptos"/>
                <w:color w:val="1F2937"/>
                <w:sz w:val="18"/>
              </w:rPr>
              <w:t>No existe aportación dineraria disponible</w:t>
            </w:r>
          </w:p>
        </w:tc>
      </w:tr>
      <w:tr>
        <w:tc>
          <w:tcPr>
            <w:tcW w:type="dxa" w:w="3120"/>
          </w:tcPr>
          <w:p>
            <w:r>
              <w:rPr>
                <w:rFonts w:ascii="Aptos" w:hAnsi="Aptos"/>
                <w:color w:val="1F2937"/>
                <w:sz w:val="18"/>
              </w:rPr>
              <w:t>Financiación cobrada</w:t>
            </w:r>
          </w:p>
        </w:tc>
        <w:tc>
          <w:tcPr>
            <w:tcW w:type="dxa" w:w="3120"/>
          </w:tcPr>
          <w:p>
            <w:r>
              <w:rPr>
                <w:rFonts w:ascii="Aptos" w:hAnsi="Aptos"/>
                <w:color w:val="1F2937"/>
                <w:sz w:val="18"/>
              </w:rPr>
              <w:t>0,00 €</w:t>
            </w:r>
          </w:p>
        </w:tc>
        <w:tc>
          <w:tcPr>
            <w:tcW w:type="dxa" w:w="3120"/>
          </w:tcPr>
          <w:p>
            <w:r>
              <w:rPr>
                <w:rFonts w:ascii="Aptos" w:hAnsi="Aptos"/>
                <w:color w:val="1F2937"/>
                <w:sz w:val="18"/>
              </w:rPr>
              <w:t>No se reconoce hasta desembolso</w:t>
            </w:r>
          </w:p>
        </w:tc>
      </w:tr>
      <w:tr>
        <w:tc>
          <w:tcPr>
            <w:tcW w:type="dxa" w:w="3120"/>
          </w:tcPr>
          <w:p>
            <w:r>
              <w:rPr>
                <w:rFonts w:ascii="Aptos" w:hAnsi="Aptos"/>
                <w:color w:val="1F2937"/>
                <w:sz w:val="18"/>
              </w:rPr>
              <w:t>Brecha F1 central</w:t>
            </w:r>
          </w:p>
        </w:tc>
        <w:tc>
          <w:tcPr>
            <w:tcW w:type="dxa" w:w="3120"/>
          </w:tcPr>
          <w:p>
            <w:r>
              <w:rPr>
                <w:rFonts w:ascii="Aptos" w:hAnsi="Aptos"/>
                <w:color w:val="1F2937"/>
                <w:sz w:val="18"/>
              </w:rPr>
              <w:t>180.000,00 €</w:t>
            </w:r>
          </w:p>
        </w:tc>
        <w:tc>
          <w:tcPr>
            <w:tcW w:type="dxa" w:w="3120"/>
          </w:tcPr>
          <w:p>
            <w:r>
              <w:rPr>
                <w:rFonts w:ascii="Aptos" w:hAnsi="Aptos"/>
                <w:color w:val="1F2937"/>
                <w:sz w:val="18"/>
              </w:rPr>
              <w:t>Necesidad a captar</w:t>
            </w:r>
          </w:p>
        </w:tc>
      </w:tr>
      <w:tr>
        <w:tc>
          <w:tcPr>
            <w:tcW w:type="dxa" w:w="3120"/>
          </w:tcPr>
          <w:p>
            <w:r>
              <w:rPr>
                <w:rFonts w:ascii="Aptos" w:hAnsi="Aptos"/>
                <w:color w:val="1F2937"/>
                <w:sz w:val="18"/>
              </w:rPr>
              <w:t>Caja final sin financiación</w:t>
            </w:r>
          </w:p>
        </w:tc>
        <w:tc>
          <w:tcPr>
            <w:tcW w:type="dxa" w:w="3120"/>
          </w:tcPr>
          <w:p>
            <w:r>
              <w:rPr>
                <w:rFonts w:ascii="Aptos" w:hAnsi="Aptos"/>
                <w:color w:val="1F2937"/>
                <w:sz w:val="18"/>
              </w:rPr>
              <w:t>saldo de tesorería de una versión anterior, no aplicable a la versión reconciliada</w:t>
            </w:r>
          </w:p>
        </w:tc>
        <w:tc>
          <w:tcPr>
            <w:tcW w:type="dxa" w:w="3120"/>
          </w:tcPr>
          <w:p>
            <w:r>
              <w:rPr>
                <w:rFonts w:ascii="Aptos" w:hAnsi="Aptos"/>
                <w:color w:val="1F2937"/>
                <w:sz w:val="18"/>
              </w:rPr>
              <w:t>Saldo real visible</w:t>
            </w:r>
          </w:p>
        </w:tc>
      </w:tr>
      <w:tr>
        <w:tc>
          <w:tcPr>
            <w:tcW w:type="dxa" w:w="3120"/>
          </w:tcPr>
          <w:p>
            <w:r>
              <w:rPr>
                <w:rFonts w:ascii="Aptos" w:hAnsi="Aptos"/>
                <w:color w:val="1F2937"/>
                <w:sz w:val="18"/>
              </w:rPr>
              <w:t>Balance</w:t>
            </w:r>
          </w:p>
        </w:tc>
        <w:tc>
          <w:tcPr>
            <w:tcW w:type="dxa" w:w="3120"/>
          </w:tcPr>
          <w:p>
            <w:r>
              <w:rPr>
                <w:rFonts w:ascii="Aptos" w:hAnsi="Aptos"/>
                <w:color w:val="1F2937"/>
                <w:sz w:val="18"/>
              </w:rPr>
              <w:t>Pendiente de validación documental; el balance proforma se cuadra matemáticamente</w:t>
            </w:r>
          </w:p>
        </w:tc>
        <w:tc>
          <w:tcPr>
            <w:tcW w:type="dxa" w:w="3120"/>
          </w:tcPr>
          <w:p>
            <w:r>
              <w:rPr>
                <w:rFonts w:ascii="Aptos" w:hAnsi="Aptos"/>
                <w:color w:val="1F2937"/>
                <w:sz w:val="18"/>
              </w:rPr>
              <w:t>Pendiente de completar con datos documentales de financiación, aportaciones y obligaciones</w:t>
            </w:r>
          </w:p>
        </w:tc>
      </w:tr>
    </w:tbl>
    <w:p>
      <w:pPr>
        <w:spacing w:after="100" w:line="240" w:lineRule="auto"/>
      </w:pPr>
      <w:r>
        <w:rPr>
          <w:rFonts w:ascii="Aptos" w:hAnsi="Aptos"/>
          <w:color w:val="1F2937"/>
          <w:sz w:val="21"/>
        </w:rPr>
        <w:t>La tesorería negativa no se oculta con un plug ni con una función de suelo. La ejecución se activa por desembolsos documentados y Gates.</w:t>
      </w:r>
    </w:p>
    <w:p>
      <w:r>
        <w:rPr>
          <w:rFonts w:ascii="Aptos" w:hAnsi="Aptos"/>
          <w:color w:val="1F2937"/>
          <w:sz w:val="21"/>
        </w:rPr>
      </w:r>
    </w:p>
    <w:p>
      <w:pPr>
        <w:pStyle w:val="2"/>
      </w:pPr>
      <w:r>
        <w:rPr>
          <w:rFonts w:ascii="Aptos Display" w:hAnsi="Aptos Display"/>
          <w:b/>
          <w:color w:val="174A2E"/>
          <w:sz w:val="21"/>
        </w:rPr>
        <w:t>Anexo de control 4 · IVA por naturaleza</w:t>
      </w:r>
    </w:p>
    <w:p>
      <w:pPr>
        <w:spacing w:after="100" w:line="240" w:lineRule="auto"/>
      </w:pPr>
      <w:r>
        <w:rPr>
          <w:rFonts w:ascii="Aptos" w:hAnsi="Aptos"/>
          <w:color w:val="1F2937"/>
          <w:sz w:val="21"/>
        </w:rPr>
        <w:t>Documento de control para la convocatoria PIE PLUS 2026. Las cifras se leen junto con el Plan Económico-Financiero oficial y no sustituyen sus fórmulas.</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color w:val="1F2937"/>
                <w:sz w:val="18"/>
              </w:rPr>
              <w:t>Partida</w:t>
            </w:r>
          </w:p>
        </w:tc>
        <w:tc>
          <w:tcPr>
            <w:tcW w:type="dxa" w:w="3120"/>
            <w:vAlign w:val="center"/>
          </w:tcPr>
          <w:p>
            <w:r>
              <w:rPr>
                <w:rFonts w:ascii="Aptos" w:hAnsi="Aptos"/>
                <w:b/>
                <w:color w:val="1F2937"/>
                <w:sz w:val="18"/>
              </w:rPr>
              <w:t>Importe</w:t>
            </w:r>
          </w:p>
        </w:tc>
        <w:tc>
          <w:tcPr>
            <w:tcW w:type="dxa" w:w="3120"/>
            <w:vAlign w:val="center"/>
          </w:tcPr>
          <w:p>
            <w:r>
              <w:rPr>
                <w:rFonts w:ascii="Aptos" w:hAnsi="Aptos"/>
                <w:b/>
                <w:color w:val="1F2937"/>
                <w:sz w:val="18"/>
              </w:rPr>
              <w:t>Tratamiento de caja</w:t>
            </w:r>
          </w:p>
        </w:tc>
      </w:tr>
      <w:tr>
        <w:tc>
          <w:tcPr>
            <w:tcW w:type="dxa" w:w="3120"/>
          </w:tcPr>
          <w:p>
            <w:r>
              <w:rPr>
                <w:rFonts w:ascii="Aptos" w:hAnsi="Aptos"/>
                <w:color w:val="1F2937"/>
                <w:sz w:val="18"/>
              </w:rPr>
              <w:t>IVA de inversión</w:t>
            </w:r>
          </w:p>
        </w:tc>
        <w:tc>
          <w:tcPr>
            <w:tcW w:type="dxa" w:w="3120"/>
          </w:tcPr>
          <w:p>
            <w:r>
              <w:rPr>
                <w:rFonts w:ascii="Aptos" w:hAnsi="Aptos"/>
                <w:color w:val="1F2937"/>
                <w:sz w:val="18"/>
              </w:rPr>
              <w:t>5.040,00 €</w:t>
            </w:r>
          </w:p>
        </w:tc>
        <w:tc>
          <w:tcPr>
            <w:tcW w:type="dxa" w:w="3120"/>
          </w:tcPr>
          <w:p>
            <w:r>
              <w:rPr>
                <w:rFonts w:ascii="Aptos" w:hAnsi="Aptos"/>
                <w:color w:val="1F2937"/>
                <w:sz w:val="18"/>
              </w:rPr>
              <w:t>Hipótesis por partidas; no entrada automática</w:t>
            </w:r>
          </w:p>
        </w:tc>
      </w:tr>
      <w:tr>
        <w:tc>
          <w:tcPr>
            <w:tcW w:type="dxa" w:w="3120"/>
          </w:tcPr>
          <w:p>
            <w:r>
              <w:rPr>
                <w:rFonts w:ascii="Aptos" w:hAnsi="Aptos"/>
                <w:color w:val="1F2937"/>
                <w:sz w:val="18"/>
              </w:rPr>
              <w:t>IVA a favor/compensable</w:t>
            </w:r>
          </w:p>
        </w:tc>
        <w:tc>
          <w:tcPr>
            <w:tcW w:type="dxa" w:w="3120"/>
          </w:tcPr>
          <w:p>
            <w:r>
              <w:rPr>
                <w:rFonts w:ascii="Aptos" w:hAnsi="Aptos"/>
                <w:color w:val="1F2937"/>
                <w:sz w:val="18"/>
              </w:rPr>
              <w:t>7.745,49 €</w:t>
            </w:r>
          </w:p>
        </w:tc>
        <w:tc>
          <w:tcPr>
            <w:tcW w:type="dxa" w:w="3120"/>
          </w:tcPr>
          <w:p>
            <w:r>
              <w:rPr>
                <w:rFonts w:ascii="Aptos" w:hAnsi="Aptos"/>
                <w:color w:val="1F2937"/>
                <w:sz w:val="18"/>
              </w:rPr>
              <w:t>Activo fiscal; no cobro reconocido</w:t>
            </w:r>
          </w:p>
        </w:tc>
      </w:tr>
      <w:tr>
        <w:tc>
          <w:tcPr>
            <w:tcW w:type="dxa" w:w="3120"/>
          </w:tcPr>
          <w:p>
            <w:r>
              <w:rPr>
                <w:rFonts w:ascii="Aptos" w:hAnsi="Aptos"/>
                <w:color w:val="1F2937"/>
                <w:sz w:val="18"/>
              </w:rPr>
              <w:t>IVA pagado</w:t>
            </w:r>
          </w:p>
        </w:tc>
        <w:tc>
          <w:tcPr>
            <w:tcW w:type="dxa" w:w="3120"/>
          </w:tcPr>
          <w:p>
            <w:r>
              <w:rPr>
                <w:rFonts w:ascii="Aptos" w:hAnsi="Aptos"/>
                <w:color w:val="1F2937"/>
                <w:sz w:val="18"/>
              </w:rPr>
              <w:t>Según periodo</w:t>
            </w:r>
          </w:p>
        </w:tc>
        <w:tc>
          <w:tcPr>
            <w:tcW w:type="dxa" w:w="3120"/>
          </w:tcPr>
          <w:p>
            <w:r>
              <w:rPr>
                <w:rFonts w:ascii="Aptos" w:hAnsi="Aptos"/>
                <w:color w:val="1F2937"/>
                <w:sz w:val="18"/>
              </w:rPr>
              <w:t>Solo con salida efectiva</w:t>
            </w:r>
          </w:p>
        </w:tc>
      </w:tr>
      <w:tr>
        <w:tc>
          <w:tcPr>
            <w:tcW w:type="dxa" w:w="3120"/>
          </w:tcPr>
          <w:p>
            <w:r>
              <w:rPr>
                <w:rFonts w:ascii="Aptos" w:hAnsi="Aptos"/>
                <w:color w:val="1F2937"/>
                <w:sz w:val="18"/>
              </w:rPr>
              <w:t>Devolución</w:t>
            </w:r>
          </w:p>
        </w:tc>
        <w:tc>
          <w:tcPr>
            <w:tcW w:type="dxa" w:w="3120"/>
          </w:tcPr>
          <w:p>
            <w:r>
              <w:rPr>
                <w:rFonts w:ascii="Aptos" w:hAnsi="Aptos"/>
                <w:color w:val="1F2937"/>
                <w:sz w:val="18"/>
              </w:rPr>
              <w:t>0,00 €</w:t>
            </w:r>
          </w:p>
        </w:tc>
        <w:tc>
          <w:tcPr>
            <w:tcW w:type="dxa" w:w="3120"/>
          </w:tcPr>
          <w:p>
            <w:r>
              <w:rPr>
                <w:rFonts w:ascii="Aptos" w:hAnsi="Aptos"/>
                <w:color w:val="1F2937"/>
                <w:sz w:val="18"/>
              </w:rPr>
              <w:t>No hipótesis automática</w:t>
            </w:r>
          </w:p>
        </w:tc>
      </w:tr>
    </w:tbl>
    <w:p>
      <w:pPr>
        <w:spacing w:after="100" w:line="240" w:lineRule="auto"/>
      </w:pPr>
      <w:r>
        <w:rPr>
          <w:rFonts w:ascii="Aptos" w:hAnsi="Aptos"/>
          <w:color w:val="1F2937"/>
          <w:sz w:val="21"/>
        </w:rPr>
        <w:t>El IVA a favor se presenta como crédito compensable y no como tesorería. Cualquier devolución o compensación exigirá periodo fiscal y documentación.</w:t>
      </w:r>
    </w:p>
    <w:p>
      <w:r>
        <w:rPr>
          <w:rFonts w:ascii="Aptos" w:hAnsi="Aptos"/>
          <w:color w:val="1F2937"/>
          <w:sz w:val="21"/>
        </w:rPr>
      </w:r>
    </w:p>
    <w:p>
      <w:pPr>
        <w:pStyle w:val="2"/>
      </w:pPr>
      <w:r>
        <w:rPr>
          <w:rFonts w:ascii="Aptos Display" w:hAnsi="Aptos Display"/>
          <w:b/>
          <w:color w:val="174A2E"/>
          <w:sz w:val="21"/>
        </w:rPr>
        <w:t>Anexo de control 5 · Punto de equilibrio</w:t>
      </w:r>
    </w:p>
    <w:p>
      <w:pPr>
        <w:spacing w:after="100" w:line="240" w:lineRule="auto"/>
      </w:pPr>
      <w:r>
        <w:rPr>
          <w:rFonts w:ascii="Aptos" w:hAnsi="Aptos"/>
          <w:color w:val="1F2937"/>
          <w:sz w:val="21"/>
        </w:rPr>
        <w:t>Documento de control para la convocatoria PIE PLUS 2026. Las cifras se leen junto con el Plan Económico-Financiero oficial y no sustituyen sus fórmulas.</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color w:val="1F2937"/>
                <w:sz w:val="18"/>
              </w:rPr>
              <w:t>Umbral</w:t>
            </w:r>
          </w:p>
        </w:tc>
        <w:tc>
          <w:tcPr>
            <w:tcW w:type="dxa" w:w="3120"/>
            <w:vAlign w:val="center"/>
          </w:tcPr>
          <w:p>
            <w:r>
              <w:rPr>
                <w:rFonts w:ascii="Aptos" w:hAnsi="Aptos"/>
                <w:b/>
                <w:color w:val="1F2937"/>
                <w:sz w:val="18"/>
              </w:rPr>
              <w:t>Ventas necesarias</w:t>
            </w:r>
          </w:p>
        </w:tc>
        <w:tc>
          <w:tcPr>
            <w:tcW w:type="dxa" w:w="3120"/>
            <w:vAlign w:val="center"/>
          </w:tcPr>
          <w:p>
            <w:r>
              <w:rPr>
                <w:rFonts w:ascii="Aptos" w:hAnsi="Aptos"/>
                <w:b/>
                <w:color w:val="1F2937"/>
                <w:sz w:val="18"/>
              </w:rPr>
              <w:t>Lectura</w:t>
            </w:r>
          </w:p>
        </w:tc>
      </w:tr>
      <w:tr>
        <w:tc>
          <w:tcPr>
            <w:tcW w:type="dxa" w:w="3120"/>
          </w:tcPr>
          <w:p>
            <w:r>
              <w:rPr>
                <w:rFonts w:ascii="Aptos" w:hAnsi="Aptos"/>
                <w:color w:val="1F2937"/>
                <w:sz w:val="18"/>
              </w:rPr>
              <w:t>Operativo</w:t>
            </w:r>
          </w:p>
        </w:tc>
        <w:tc>
          <w:tcPr>
            <w:tcW w:type="dxa" w:w="3120"/>
          </w:tcPr>
          <w:p>
            <w:r>
              <w:rPr>
                <w:rFonts w:ascii="Aptos" w:hAnsi="Aptos"/>
                <w:color w:val="1F2937"/>
                <w:sz w:val="18"/>
              </w:rPr>
              <w:t>143.396,18 €</w:t>
            </w:r>
          </w:p>
        </w:tc>
        <w:tc>
          <w:tcPr>
            <w:tcW w:type="dxa" w:w="3120"/>
          </w:tcPr>
          <w:p>
            <w:r>
              <w:rPr>
                <w:rFonts w:ascii="Aptos" w:hAnsi="Aptos"/>
                <w:color w:val="1F2937"/>
                <w:sz w:val="18"/>
              </w:rPr>
              <w:t>Cubre gastos antes de intereses</w:t>
            </w:r>
          </w:p>
        </w:tc>
      </w:tr>
      <w:tr>
        <w:tc>
          <w:tcPr>
            <w:tcW w:type="dxa" w:w="3120"/>
          </w:tcPr>
          <w:p>
            <w:r>
              <w:rPr>
                <w:rFonts w:ascii="Aptos" w:hAnsi="Aptos"/>
                <w:color w:val="1F2937"/>
                <w:sz w:val="18"/>
              </w:rPr>
              <w:t>Con intereses</w:t>
            </w:r>
          </w:p>
        </w:tc>
        <w:tc>
          <w:tcPr>
            <w:tcW w:type="dxa" w:w="3120"/>
          </w:tcPr>
          <w:p>
            <w:r>
              <w:rPr>
                <w:rFonts w:ascii="Aptos" w:hAnsi="Aptos"/>
                <w:color w:val="1F2937"/>
                <w:sz w:val="18"/>
              </w:rPr>
              <w:t>152.447,01 €</w:t>
            </w:r>
          </w:p>
        </w:tc>
        <w:tc>
          <w:tcPr>
            <w:tcW w:type="dxa" w:w="3120"/>
          </w:tcPr>
          <w:p>
            <w:r>
              <w:rPr>
                <w:rFonts w:ascii="Aptos" w:hAnsi="Aptos"/>
                <w:color w:val="1F2937"/>
                <w:sz w:val="18"/>
              </w:rPr>
              <w:t>Cubre gastos e intereses</w:t>
            </w:r>
          </w:p>
        </w:tc>
      </w:tr>
      <w:tr>
        <w:tc>
          <w:tcPr>
            <w:tcW w:type="dxa" w:w="3120"/>
          </w:tcPr>
          <w:p>
            <w:r>
              <w:rPr>
                <w:rFonts w:ascii="Aptos" w:hAnsi="Aptos"/>
                <w:color w:val="1F2937"/>
                <w:sz w:val="18"/>
              </w:rPr>
              <w:t>Ingresos Año 1</w:t>
            </w:r>
          </w:p>
        </w:tc>
        <w:tc>
          <w:tcPr>
            <w:tcW w:type="dxa" w:w="3120"/>
          </w:tcPr>
          <w:p>
            <w:r>
              <w:rPr>
                <w:rFonts w:ascii="Aptos" w:hAnsi="Aptos"/>
                <w:color w:val="1F2937"/>
                <w:sz w:val="18"/>
              </w:rPr>
              <w:t>39.500,00 €</w:t>
            </w:r>
          </w:p>
        </w:tc>
        <w:tc>
          <w:tcPr>
            <w:tcW w:type="dxa" w:w="3120"/>
          </w:tcPr>
          <w:p>
            <w:r>
              <w:rPr>
                <w:rFonts w:ascii="Aptos" w:hAnsi="Aptos"/>
                <w:color w:val="1F2937"/>
                <w:sz w:val="18"/>
              </w:rPr>
              <w:t>Inferiores al umbral</w:t>
            </w:r>
          </w:p>
        </w:tc>
      </w:tr>
      <w:tr>
        <w:tc>
          <w:tcPr>
            <w:tcW w:type="dxa" w:w="3120"/>
          </w:tcPr>
          <w:p>
            <w:r>
              <w:rPr>
                <w:rFonts w:ascii="Aptos" w:hAnsi="Aptos"/>
                <w:color w:val="1F2937"/>
                <w:sz w:val="18"/>
              </w:rPr>
              <w:t>Año de recuperación</w:t>
            </w:r>
          </w:p>
        </w:tc>
        <w:tc>
          <w:tcPr>
            <w:tcW w:type="dxa" w:w="3120"/>
          </w:tcPr>
          <w:p>
            <w:r>
              <w:rPr>
                <w:rFonts w:ascii="Aptos" w:hAnsi="Aptos"/>
                <w:color w:val="1F2937"/>
                <w:sz w:val="18"/>
              </w:rPr>
              <w:t>Derivado de proyección</w:t>
            </w:r>
          </w:p>
        </w:tc>
        <w:tc>
          <w:tcPr>
            <w:tcW w:type="dxa" w:w="3120"/>
          </w:tcPr>
          <w:p>
            <w:r>
              <w:rPr>
                <w:rFonts w:ascii="Aptos" w:hAnsi="Aptos"/>
                <w:color w:val="1F2937"/>
                <w:sz w:val="18"/>
              </w:rPr>
              <w:t>No se afirma de forma inmediata</w:t>
            </w:r>
          </w:p>
        </w:tc>
      </w:tr>
    </w:tbl>
    <w:p>
      <w:pPr>
        <w:spacing w:after="100" w:line="240" w:lineRule="auto"/>
      </w:pPr>
      <w:r>
        <w:rPr>
          <w:rFonts w:ascii="Aptos" w:hAnsi="Aptos"/>
          <w:color w:val="1F2937"/>
          <w:sz w:val="21"/>
        </w:rPr>
        <w:t>El punto de equilibrio es una salida de fórmula del Excel. Se evita presentarlo como logro consumado o como compromiso de ventas.</w:t>
      </w:r>
    </w:p>
    <w:p>
      <w:r>
        <w:rPr>
          <w:rFonts w:ascii="Aptos" w:hAnsi="Aptos"/>
          <w:color w:val="1F2937"/>
          <w:sz w:val="21"/>
        </w:rPr>
      </w:r>
    </w:p>
    <w:p>
      <w:pPr>
        <w:pStyle w:val="2"/>
      </w:pPr>
      <w:r>
        <w:rPr>
          <w:rFonts w:ascii="Aptos Display" w:hAnsi="Aptos Display"/>
          <w:b/>
          <w:color w:val="174A2E"/>
          <w:sz w:val="21"/>
        </w:rPr>
        <w:t>Anexo de control 6 · Gates de Fase 1</w:t>
      </w:r>
    </w:p>
    <w:p>
      <w:pPr>
        <w:spacing w:after="100" w:line="240" w:lineRule="auto"/>
      </w:pPr>
      <w:r>
        <w:rPr>
          <w:rFonts w:ascii="Aptos" w:hAnsi="Aptos"/>
          <w:color w:val="1F2937"/>
          <w:sz w:val="21"/>
        </w:rPr>
        <w:t>Documento de control para la convocatoria PIE PLUS 2026. Las cifras se leen junto con el Plan Económico-Financiero oficial y no sustituyen sus fórmulas.</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rFonts w:ascii="Aptos" w:hAnsi="Aptos"/>
                <w:b/>
                <w:color w:val="1F2937"/>
                <w:sz w:val="18"/>
              </w:rPr>
              <w:t>Gate</w:t>
            </w:r>
          </w:p>
        </w:tc>
        <w:tc>
          <w:tcPr>
            <w:tcW w:type="dxa" w:w="2340"/>
            <w:vAlign w:val="center"/>
          </w:tcPr>
          <w:p>
            <w:r>
              <w:rPr>
                <w:rFonts w:ascii="Aptos" w:hAnsi="Aptos"/>
                <w:b/>
                <w:color w:val="1F2937"/>
                <w:sz w:val="18"/>
              </w:rPr>
              <w:t>Criterio</w:t>
            </w:r>
          </w:p>
        </w:tc>
        <w:tc>
          <w:tcPr>
            <w:tcW w:type="dxa" w:w="2340"/>
            <w:vAlign w:val="center"/>
          </w:tcPr>
          <w:p>
            <w:r>
              <w:rPr>
                <w:rFonts w:ascii="Aptos" w:hAnsi="Aptos"/>
                <w:b/>
                <w:color w:val="1F2937"/>
                <w:sz w:val="18"/>
              </w:rPr>
              <w:t>Evidencia</w:t>
            </w:r>
          </w:p>
        </w:tc>
        <w:tc>
          <w:tcPr>
            <w:tcW w:type="dxa" w:w="2340"/>
            <w:vAlign w:val="center"/>
          </w:tcPr>
          <w:p>
            <w:r>
              <w:rPr>
                <w:rFonts w:ascii="Aptos" w:hAnsi="Aptos"/>
                <w:b/>
                <w:color w:val="1F2937"/>
                <w:sz w:val="18"/>
              </w:rPr>
              <w:t>Salida si no se supera</w:t>
            </w:r>
          </w:p>
        </w:tc>
      </w:tr>
      <w:tr>
        <w:tc>
          <w:tcPr>
            <w:tcW w:type="dxa" w:w="2340"/>
          </w:tcPr>
          <w:p>
            <w:r>
              <w:rPr>
                <w:rFonts w:ascii="Aptos" w:hAnsi="Aptos"/>
                <w:color w:val="1F2937"/>
                <w:sz w:val="18"/>
              </w:rPr>
              <w:t>G1</w:t>
            </w:r>
          </w:p>
        </w:tc>
        <w:tc>
          <w:tcPr>
            <w:tcW w:type="dxa" w:w="2340"/>
          </w:tcPr>
          <w:p>
            <w:r>
              <w:rPr>
                <w:rFonts w:ascii="Aptos" w:hAnsi="Aptos"/>
                <w:color w:val="1F2937"/>
                <w:sz w:val="18"/>
              </w:rPr>
              <w:t>SaaS, clientes, datos y TRT</w:t>
            </w:r>
          </w:p>
        </w:tc>
        <w:tc>
          <w:tcPr>
            <w:tcW w:type="dxa" w:w="2340"/>
          </w:tcPr>
          <w:p>
            <w:r>
              <w:rPr>
                <w:rFonts w:ascii="Aptos" w:hAnsi="Aptos"/>
                <w:color w:val="1F2937"/>
                <w:sz w:val="18"/>
              </w:rPr>
              <w:t>SEV + contratos + informes</w:t>
            </w:r>
          </w:p>
        </w:tc>
        <w:tc>
          <w:tcPr>
            <w:tcW w:type="dxa" w:w="2340"/>
          </w:tcPr>
          <w:p>
            <w:r>
              <w:rPr>
                <w:rFonts w:ascii="Aptos" w:hAnsi="Aptos"/>
                <w:color w:val="1F2937"/>
                <w:sz w:val="18"/>
              </w:rPr>
              <w:t>Permanecer en núcleo SaaS</w:t>
            </w:r>
          </w:p>
        </w:tc>
      </w:tr>
      <w:tr>
        <w:tc>
          <w:tcPr>
            <w:tcW w:type="dxa" w:w="2340"/>
          </w:tcPr>
          <w:p>
            <w:r>
              <w:rPr>
                <w:rFonts w:ascii="Aptos" w:hAnsi="Aptos"/>
                <w:color w:val="1F2937"/>
                <w:sz w:val="18"/>
              </w:rPr>
              <w:t>G2</w:t>
            </w:r>
          </w:p>
        </w:tc>
        <w:tc>
          <w:tcPr>
            <w:tcW w:type="dxa" w:w="2340"/>
          </w:tcPr>
          <w:p>
            <w:r>
              <w:rPr>
                <w:rFonts w:ascii="Aptos" w:hAnsi="Aptos"/>
                <w:color w:val="1F2937"/>
                <w:sz w:val="18"/>
              </w:rPr>
              <w:t>Sondeo y coste controlados</w:t>
            </w:r>
          </w:p>
        </w:tc>
        <w:tc>
          <w:tcPr>
            <w:tcW w:type="dxa" w:w="2340"/>
          </w:tcPr>
          <w:p>
            <w:r>
              <w:rPr>
                <w:rFonts w:ascii="Aptos" w:hAnsi="Aptos"/>
                <w:color w:val="1F2937"/>
                <w:sz w:val="18"/>
              </w:rPr>
              <w:t>Informe técnico</w:t>
            </w:r>
          </w:p>
        </w:tc>
        <w:tc>
          <w:tcPr>
            <w:tcW w:type="dxa" w:w="2340"/>
          </w:tcPr>
          <w:p>
            <w:r>
              <w:rPr>
                <w:rFonts w:ascii="Aptos" w:hAnsi="Aptos"/>
                <w:color w:val="1F2937"/>
                <w:sz w:val="18"/>
              </w:rPr>
              <w:t>Replantear F2</w:t>
            </w:r>
          </w:p>
        </w:tc>
      </w:tr>
      <w:tr>
        <w:tc>
          <w:tcPr>
            <w:tcW w:type="dxa" w:w="2340"/>
          </w:tcPr>
          <w:p>
            <w:r>
              <w:rPr>
                <w:rFonts w:ascii="Aptos" w:hAnsi="Aptos"/>
                <w:color w:val="1F2937"/>
                <w:sz w:val="18"/>
              </w:rPr>
              <w:t>G3</w:t>
            </w:r>
          </w:p>
        </w:tc>
        <w:tc>
          <w:tcPr>
            <w:tcW w:type="dxa" w:w="2340"/>
          </w:tcPr>
          <w:p>
            <w:r>
              <w:rPr>
                <w:rFonts w:ascii="Aptos" w:hAnsi="Aptos"/>
                <w:color w:val="1F2937"/>
                <w:sz w:val="18"/>
              </w:rPr>
              <w:t>Primera campaña y producción</w:t>
            </w:r>
          </w:p>
        </w:tc>
        <w:tc>
          <w:tcPr>
            <w:tcW w:type="dxa" w:w="2340"/>
          </w:tcPr>
          <w:p>
            <w:r>
              <w:rPr>
                <w:rFonts w:ascii="Aptos" w:hAnsi="Aptos"/>
                <w:color w:val="1F2937"/>
                <w:sz w:val="18"/>
              </w:rPr>
              <w:t>Datos agronómicos</w:t>
            </w:r>
          </w:p>
        </w:tc>
        <w:tc>
          <w:tcPr>
            <w:tcW w:type="dxa" w:w="2340"/>
          </w:tcPr>
          <w:p>
            <w:r>
              <w:rPr>
                <w:rFonts w:ascii="Aptos" w:hAnsi="Aptos"/>
                <w:color w:val="1F2937"/>
                <w:sz w:val="18"/>
              </w:rPr>
              <w:t>Ajustar cultivo</w:t>
            </w:r>
          </w:p>
        </w:tc>
      </w:tr>
      <w:tr>
        <w:tc>
          <w:tcPr>
            <w:tcW w:type="dxa" w:w="2340"/>
          </w:tcPr>
          <w:p>
            <w:r>
              <w:rPr>
                <w:rFonts w:ascii="Aptos" w:hAnsi="Aptos"/>
                <w:color w:val="1F2937"/>
                <w:sz w:val="18"/>
              </w:rPr>
              <w:t>G4</w:t>
            </w:r>
          </w:p>
        </w:tc>
        <w:tc>
          <w:tcPr>
            <w:tcW w:type="dxa" w:w="2340"/>
          </w:tcPr>
          <w:p>
            <w:r>
              <w:rPr>
                <w:rFonts w:ascii="Aptos" w:hAnsi="Aptos"/>
                <w:color w:val="1F2937"/>
                <w:sz w:val="18"/>
              </w:rPr>
              <w:t>Autoconsumo legalizado</w:t>
            </w:r>
          </w:p>
        </w:tc>
        <w:tc>
          <w:tcPr>
            <w:tcW w:type="dxa" w:w="2340"/>
          </w:tcPr>
          <w:p>
            <w:r>
              <w:rPr>
                <w:rFonts w:ascii="Aptos" w:hAnsi="Aptos"/>
                <w:color w:val="1F2937"/>
                <w:sz w:val="18"/>
              </w:rPr>
              <w:t>Balance verificado</w:t>
            </w:r>
          </w:p>
        </w:tc>
        <w:tc>
          <w:tcPr>
            <w:tcW w:type="dxa" w:w="2340"/>
          </w:tcPr>
          <w:p>
            <w:r>
              <w:rPr>
                <w:rFonts w:ascii="Aptos" w:hAnsi="Aptos"/>
                <w:color w:val="1F2937"/>
                <w:sz w:val="18"/>
              </w:rPr>
              <w:t>Revisar cargas</w:t>
            </w:r>
          </w:p>
        </w:tc>
      </w:tr>
    </w:tbl>
    <w:p>
      <w:pPr>
        <w:spacing w:after="100" w:line="240" w:lineRule="auto"/>
      </w:pPr>
      <w:r>
        <w:rPr>
          <w:rFonts w:ascii="Aptos" w:hAnsi="Aptos"/>
          <w:color w:val="1F2937"/>
          <w:sz w:val="21"/>
        </w:rPr>
        <w:t>Los Gates protegen la inversión y convierten la incertidumbre técnica y comercial en decisiones documentadas.</w:t>
      </w:r>
    </w:p>
    <w:p>
      <w:r>
        <w:rPr>
          <w:rFonts w:ascii="Aptos" w:hAnsi="Aptos"/>
          <w:color w:val="1F2937"/>
          <w:sz w:val="21"/>
        </w:rPr>
      </w:r>
    </w:p>
    <w:p>
      <w:pPr>
        <w:pStyle w:val="2"/>
      </w:pPr>
      <w:r>
        <w:rPr>
          <w:rFonts w:ascii="Aptos Display" w:hAnsi="Aptos Display"/>
          <w:b/>
          <w:color w:val="174A2E"/>
          <w:sz w:val="21"/>
        </w:rPr>
        <w:t>Anexo de control 7 · Embudo comercial</w:t>
      </w:r>
    </w:p>
    <w:p>
      <w:pPr>
        <w:spacing w:after="100" w:line="240" w:lineRule="auto"/>
      </w:pPr>
      <w:r>
        <w:rPr>
          <w:rFonts w:ascii="Aptos" w:hAnsi="Aptos"/>
          <w:color w:val="1F2937"/>
          <w:sz w:val="21"/>
        </w:rPr>
        <w:t>Documento de control para la convocatoria PIE PLUS 2026. Las cifras se leen junto con el Plan Económico-Financiero oficial y no sustituyen sus fórmulas.</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rFonts w:ascii="Aptos" w:hAnsi="Aptos"/>
                <w:b/>
                <w:color w:val="1F2937"/>
                <w:sz w:val="18"/>
              </w:rPr>
              <w:t>Etapa</w:t>
            </w:r>
          </w:p>
        </w:tc>
        <w:tc>
          <w:tcPr>
            <w:tcW w:type="dxa" w:w="2340"/>
            <w:vAlign w:val="center"/>
          </w:tcPr>
          <w:p>
            <w:r>
              <w:rPr>
                <w:rFonts w:ascii="Aptos" w:hAnsi="Aptos"/>
                <w:b/>
                <w:color w:val="1F2937"/>
                <w:sz w:val="18"/>
              </w:rPr>
              <w:t>Objetivo</w:t>
            </w:r>
          </w:p>
        </w:tc>
        <w:tc>
          <w:tcPr>
            <w:tcW w:type="dxa" w:w="2340"/>
            <w:vAlign w:val="center"/>
          </w:tcPr>
          <w:p>
            <w:r>
              <w:rPr>
                <w:rFonts w:ascii="Aptos" w:hAnsi="Aptos"/>
                <w:b/>
                <w:color w:val="1F2937"/>
                <w:sz w:val="18"/>
              </w:rPr>
              <w:t>Evidencia exigible</w:t>
            </w:r>
          </w:p>
        </w:tc>
        <w:tc>
          <w:tcPr>
            <w:tcW w:type="dxa" w:w="2340"/>
            <w:vAlign w:val="center"/>
          </w:tcPr>
          <w:p>
            <w:r>
              <w:rPr>
                <w:rFonts w:ascii="Aptos" w:hAnsi="Aptos"/>
                <w:b/>
                <w:color w:val="1F2937"/>
                <w:sz w:val="18"/>
              </w:rPr>
              <w:t>Estado</w:t>
            </w:r>
          </w:p>
        </w:tc>
      </w:tr>
      <w:tr>
        <w:tc>
          <w:tcPr>
            <w:tcW w:type="dxa" w:w="2340"/>
          </w:tcPr>
          <w:p>
            <w:r>
              <w:rPr>
                <w:rFonts w:ascii="Aptos" w:hAnsi="Aptos"/>
                <w:color w:val="1F2937"/>
                <w:sz w:val="18"/>
              </w:rPr>
              <w:t>Prospección</w:t>
            </w:r>
          </w:p>
        </w:tc>
        <w:tc>
          <w:tcPr>
            <w:tcW w:type="dxa" w:w="2340"/>
          </w:tcPr>
          <w:p>
            <w:r>
              <w:rPr>
                <w:rFonts w:ascii="Aptos" w:hAnsi="Aptos"/>
                <w:color w:val="1F2937"/>
                <w:sz w:val="18"/>
              </w:rPr>
              <w:t>20–30 explotaciones</w:t>
            </w:r>
          </w:p>
        </w:tc>
        <w:tc>
          <w:tcPr>
            <w:tcW w:type="dxa" w:w="2340"/>
          </w:tcPr>
          <w:p>
            <w:r>
              <w:rPr>
                <w:rFonts w:ascii="Aptos" w:hAnsi="Aptos"/>
                <w:color w:val="1F2937"/>
                <w:sz w:val="18"/>
              </w:rPr>
              <w:t>Registro de contactos</w:t>
            </w:r>
          </w:p>
        </w:tc>
        <w:tc>
          <w:tcPr>
            <w:tcW w:type="dxa" w:w="2340"/>
          </w:tcPr>
          <w:p>
            <w:r>
              <w:rPr>
                <w:rFonts w:ascii="Aptos" w:hAnsi="Aptos"/>
                <w:color w:val="1F2937"/>
                <w:sz w:val="18"/>
              </w:rPr>
              <w:t>Objetivo</w:t>
            </w:r>
          </w:p>
        </w:tc>
      </w:tr>
      <w:tr>
        <w:tc>
          <w:tcPr>
            <w:tcW w:type="dxa" w:w="2340"/>
          </w:tcPr>
          <w:p>
            <w:r>
              <w:rPr>
                <w:rFonts w:ascii="Aptos" w:hAnsi="Aptos"/>
                <w:color w:val="1F2937"/>
                <w:sz w:val="18"/>
              </w:rPr>
              <w:t>Cooperativas</w:t>
            </w:r>
          </w:p>
        </w:tc>
        <w:tc>
          <w:tcPr>
            <w:tcW w:type="dxa" w:w="2340"/>
          </w:tcPr>
          <w:p>
            <w:r>
              <w:rPr>
                <w:rFonts w:ascii="Aptos" w:hAnsi="Aptos"/>
                <w:color w:val="1F2937"/>
                <w:sz w:val="18"/>
              </w:rPr>
              <w:t>5–10 interlocutores</w:t>
            </w:r>
          </w:p>
        </w:tc>
        <w:tc>
          <w:tcPr>
            <w:tcW w:type="dxa" w:w="2340"/>
          </w:tcPr>
          <w:p>
            <w:r>
              <w:rPr>
                <w:rFonts w:ascii="Aptos" w:hAnsi="Aptos"/>
                <w:color w:val="1F2937"/>
                <w:sz w:val="18"/>
              </w:rPr>
              <w:t>Actas o correos</w:t>
            </w:r>
          </w:p>
        </w:tc>
        <w:tc>
          <w:tcPr>
            <w:tcW w:type="dxa" w:w="2340"/>
          </w:tcPr>
          <w:p>
            <w:r>
              <w:rPr>
                <w:rFonts w:ascii="Aptos" w:hAnsi="Aptos"/>
                <w:color w:val="1F2937"/>
                <w:sz w:val="18"/>
              </w:rPr>
              <w:t>Objetivo</w:t>
            </w:r>
          </w:p>
        </w:tc>
      </w:tr>
      <w:tr>
        <w:tc>
          <w:tcPr>
            <w:tcW w:type="dxa" w:w="2340"/>
          </w:tcPr>
          <w:p>
            <w:r>
              <w:rPr>
                <w:rFonts w:ascii="Aptos" w:hAnsi="Aptos"/>
                <w:color w:val="1F2937"/>
                <w:sz w:val="18"/>
              </w:rPr>
              <w:t>Pilotos</w:t>
            </w:r>
          </w:p>
        </w:tc>
        <w:tc>
          <w:tcPr>
            <w:tcW w:type="dxa" w:w="2340"/>
          </w:tcPr>
          <w:p>
            <w:r>
              <w:rPr>
                <w:rFonts w:ascii="Aptos" w:hAnsi="Aptos"/>
                <w:color w:val="1F2937"/>
                <w:sz w:val="18"/>
              </w:rPr>
              <w:t>2–4 explotaciones</w:t>
            </w:r>
          </w:p>
        </w:tc>
        <w:tc>
          <w:tcPr>
            <w:tcW w:type="dxa" w:w="2340"/>
          </w:tcPr>
          <w:p>
            <w:r>
              <w:rPr>
                <w:rFonts w:ascii="Aptos" w:hAnsi="Aptos"/>
                <w:color w:val="1F2937"/>
                <w:sz w:val="18"/>
              </w:rPr>
              <w:t>Acuerdo documentado</w:t>
            </w:r>
          </w:p>
        </w:tc>
        <w:tc>
          <w:tcPr>
            <w:tcW w:type="dxa" w:w="2340"/>
          </w:tcPr>
          <w:p>
            <w:r>
              <w:rPr>
                <w:rFonts w:ascii="Aptos" w:hAnsi="Aptos"/>
                <w:color w:val="1F2937"/>
                <w:sz w:val="18"/>
              </w:rPr>
              <w:t>A seleccionar</w:t>
            </w:r>
          </w:p>
        </w:tc>
      </w:tr>
      <w:tr>
        <w:tc>
          <w:tcPr>
            <w:tcW w:type="dxa" w:w="2340"/>
          </w:tcPr>
          <w:p>
            <w:r>
              <w:rPr>
                <w:rFonts w:ascii="Aptos" w:hAnsi="Aptos"/>
                <w:color w:val="1F2937"/>
                <w:sz w:val="18"/>
              </w:rPr>
              <w:t>Conversión</w:t>
            </w:r>
          </w:p>
        </w:tc>
        <w:tc>
          <w:tcPr>
            <w:tcW w:type="dxa" w:w="2340"/>
          </w:tcPr>
          <w:p>
            <w:r>
              <w:rPr>
                <w:rFonts w:ascii="Aptos" w:hAnsi="Aptos"/>
                <w:color w:val="1F2937"/>
                <w:sz w:val="18"/>
              </w:rPr>
              <w:t>≥5 clientes remunerados</w:t>
            </w:r>
          </w:p>
        </w:tc>
        <w:tc>
          <w:tcPr>
            <w:tcW w:type="dxa" w:w="2340"/>
          </w:tcPr>
          <w:p>
            <w:r>
              <w:rPr>
                <w:rFonts w:ascii="Aptos" w:hAnsi="Aptos"/>
                <w:color w:val="1F2937"/>
                <w:sz w:val="18"/>
              </w:rPr>
              <w:t>Contrato/factura/cobro</w:t>
            </w:r>
          </w:p>
        </w:tc>
        <w:tc>
          <w:tcPr>
            <w:tcW w:type="dxa" w:w="2340"/>
          </w:tcPr>
          <w:p>
            <w:r>
              <w:rPr>
                <w:rFonts w:ascii="Aptos" w:hAnsi="Aptos"/>
                <w:color w:val="1F2937"/>
                <w:sz w:val="18"/>
              </w:rPr>
              <w:t>Gate G1</w:t>
            </w:r>
          </w:p>
        </w:tc>
      </w:tr>
    </w:tbl>
    <w:p>
      <w:pPr>
        <w:spacing w:after="100" w:line="240" w:lineRule="auto"/>
      </w:pPr>
      <w:r>
        <w:rPr>
          <w:rFonts w:ascii="Aptos" w:hAnsi="Aptos"/>
          <w:color w:val="1F2937"/>
          <w:sz w:val="21"/>
        </w:rPr>
        <w:t>El texto diferencia colaboración, candidatura, LOI, piloto y cliente remunerado. Ninguna etapa se presenta como conseguida sin documento.</w:t>
      </w:r>
    </w:p>
    <w:p>
      <w:r>
        <w:rPr>
          <w:rFonts w:ascii="Aptos" w:hAnsi="Aptos"/>
          <w:color w:val="1F2937"/>
          <w:sz w:val="21"/>
        </w:rPr>
      </w:r>
    </w:p>
    <w:p>
      <w:pPr>
        <w:pStyle w:val="2"/>
      </w:pPr>
      <w:r>
        <w:rPr>
          <w:rFonts w:ascii="Aptos Display" w:hAnsi="Aptos Display"/>
          <w:b/>
          <w:color w:val="174A2E"/>
          <w:sz w:val="21"/>
        </w:rPr>
        <w:t>Anexo de control 8 · Riesgos prioritarios</w:t>
      </w:r>
    </w:p>
    <w:p>
      <w:pPr>
        <w:spacing w:after="100" w:line="240" w:lineRule="auto"/>
      </w:pPr>
      <w:r>
        <w:rPr>
          <w:rFonts w:ascii="Aptos" w:hAnsi="Aptos"/>
          <w:color w:val="1F2937"/>
          <w:sz w:val="21"/>
        </w:rPr>
        <w:t>Documento de control para la convocatoria PIE PLUS 2026. Las cifras se leen junto con el Plan Económico-Financiero oficial y no sustituyen sus fórmulas.</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rFonts w:ascii="Aptos" w:hAnsi="Aptos"/>
                <w:b/>
                <w:color w:val="1F2937"/>
                <w:sz w:val="18"/>
              </w:rPr>
              <w:t>Riesgo</w:t>
            </w:r>
          </w:p>
        </w:tc>
        <w:tc>
          <w:tcPr>
            <w:tcW w:type="dxa" w:w="2340"/>
            <w:vAlign w:val="center"/>
          </w:tcPr>
          <w:p>
            <w:r>
              <w:rPr>
                <w:rFonts w:ascii="Aptos" w:hAnsi="Aptos"/>
                <w:b/>
                <w:color w:val="1F2937"/>
                <w:sz w:val="18"/>
              </w:rPr>
              <w:t>Impacto</w:t>
            </w:r>
          </w:p>
        </w:tc>
        <w:tc>
          <w:tcPr>
            <w:tcW w:type="dxa" w:w="2340"/>
            <w:vAlign w:val="center"/>
          </w:tcPr>
          <w:p>
            <w:r>
              <w:rPr>
                <w:rFonts w:ascii="Aptos" w:hAnsi="Aptos"/>
                <w:b/>
                <w:color w:val="1F2937"/>
                <w:sz w:val="18"/>
              </w:rPr>
              <w:t>Mitigación</w:t>
            </w:r>
          </w:p>
        </w:tc>
        <w:tc>
          <w:tcPr>
            <w:tcW w:type="dxa" w:w="2340"/>
            <w:vAlign w:val="center"/>
          </w:tcPr>
          <w:p>
            <w:r>
              <w:rPr>
                <w:rFonts w:ascii="Aptos" w:hAnsi="Aptos"/>
                <w:b/>
                <w:color w:val="1F2937"/>
                <w:sz w:val="18"/>
              </w:rPr>
              <w:t>Responsable de control</w:t>
            </w:r>
          </w:p>
        </w:tc>
      </w:tr>
      <w:tr>
        <w:tc>
          <w:tcPr>
            <w:tcW w:type="dxa" w:w="2340"/>
          </w:tcPr>
          <w:p>
            <w:r>
              <w:rPr>
                <w:rFonts w:ascii="Aptos" w:hAnsi="Aptos"/>
                <w:color w:val="1F2937"/>
                <w:sz w:val="18"/>
              </w:rPr>
              <w:t>Tracción insuficiente</w:t>
            </w:r>
          </w:p>
        </w:tc>
        <w:tc>
          <w:tcPr>
            <w:tcW w:type="dxa" w:w="2340"/>
          </w:tcPr>
          <w:p>
            <w:r>
              <w:rPr>
                <w:rFonts w:ascii="Aptos" w:hAnsi="Aptos"/>
                <w:color w:val="1F2937"/>
                <w:sz w:val="18"/>
              </w:rPr>
              <w:t>Alto</w:t>
            </w:r>
          </w:p>
        </w:tc>
        <w:tc>
          <w:tcPr>
            <w:tcW w:type="dxa" w:w="2340"/>
          </w:tcPr>
          <w:p>
            <w:r>
              <w:rPr>
                <w:rFonts w:ascii="Aptos" w:hAnsi="Aptos"/>
                <w:color w:val="1F2937"/>
                <w:sz w:val="18"/>
              </w:rPr>
              <w:t>Pilotos y prescriptores</w:t>
            </w:r>
          </w:p>
        </w:tc>
        <w:tc>
          <w:tcPr>
            <w:tcW w:type="dxa" w:w="2340"/>
          </w:tcPr>
          <w:p>
            <w:r>
              <w:rPr>
                <w:rFonts w:ascii="Aptos" w:hAnsi="Aptos"/>
                <w:color w:val="1F2937"/>
                <w:sz w:val="18"/>
              </w:rPr>
              <w:t>Dirección comercial</w:t>
            </w:r>
          </w:p>
        </w:tc>
      </w:tr>
      <w:tr>
        <w:tc>
          <w:tcPr>
            <w:tcW w:type="dxa" w:w="2340"/>
          </w:tcPr>
          <w:p>
            <w:r>
              <w:rPr>
                <w:rFonts w:ascii="Aptos" w:hAnsi="Aptos"/>
                <w:color w:val="1F2937"/>
                <w:sz w:val="18"/>
              </w:rPr>
              <w:t>Dependencia del promotor</w:t>
            </w:r>
          </w:p>
        </w:tc>
        <w:tc>
          <w:tcPr>
            <w:tcW w:type="dxa" w:w="2340"/>
          </w:tcPr>
          <w:p>
            <w:r>
              <w:rPr>
                <w:rFonts w:ascii="Aptos" w:hAnsi="Aptos"/>
                <w:color w:val="1F2937"/>
                <w:sz w:val="18"/>
              </w:rPr>
              <w:t>Medio-alto</w:t>
            </w:r>
          </w:p>
        </w:tc>
        <w:tc>
          <w:tcPr>
            <w:tcW w:type="dxa" w:w="2340"/>
          </w:tcPr>
          <w:p>
            <w:r>
              <w:rPr>
                <w:rFonts w:ascii="Aptos" w:hAnsi="Aptos"/>
                <w:color w:val="1F2937"/>
                <w:sz w:val="18"/>
              </w:rPr>
              <w:t>Versionado y contratación</w:t>
            </w:r>
          </w:p>
        </w:tc>
        <w:tc>
          <w:tcPr>
            <w:tcW w:type="dxa" w:w="2340"/>
          </w:tcPr>
          <w:p>
            <w:r>
              <w:rPr>
                <w:rFonts w:ascii="Aptos" w:hAnsi="Aptos"/>
                <w:color w:val="1F2937"/>
                <w:sz w:val="18"/>
              </w:rPr>
              <w:t>Dirección técnica</w:t>
            </w:r>
          </w:p>
        </w:tc>
      </w:tr>
      <w:tr>
        <w:tc>
          <w:tcPr>
            <w:tcW w:type="dxa" w:w="2340"/>
          </w:tcPr>
          <w:p>
            <w:r>
              <w:rPr>
                <w:rFonts w:ascii="Aptos" w:hAnsi="Aptos"/>
                <w:color w:val="1F2937"/>
                <w:sz w:val="18"/>
              </w:rPr>
              <w:t>Permisos tardíos</w:t>
            </w:r>
          </w:p>
        </w:tc>
        <w:tc>
          <w:tcPr>
            <w:tcW w:type="dxa" w:w="2340"/>
          </w:tcPr>
          <w:p>
            <w:r>
              <w:rPr>
                <w:rFonts w:ascii="Aptos" w:hAnsi="Aptos"/>
                <w:color w:val="1F2937"/>
                <w:sz w:val="18"/>
              </w:rPr>
              <w:t>Medio</w:t>
            </w:r>
          </w:p>
        </w:tc>
        <w:tc>
          <w:tcPr>
            <w:tcW w:type="dxa" w:w="2340"/>
          </w:tcPr>
          <w:p>
            <w:r>
              <w:rPr>
                <w:rFonts w:ascii="Aptos" w:hAnsi="Aptos"/>
                <w:color w:val="1F2937"/>
                <w:sz w:val="18"/>
              </w:rPr>
              <w:t>Tramitación temprana</w:t>
            </w:r>
          </w:p>
        </w:tc>
        <w:tc>
          <w:tcPr>
            <w:tcW w:type="dxa" w:w="2340"/>
          </w:tcPr>
          <w:p>
            <w:r>
              <w:rPr>
                <w:rFonts w:ascii="Aptos" w:hAnsi="Aptos"/>
                <w:color w:val="1F2937"/>
                <w:sz w:val="18"/>
              </w:rPr>
              <w:t>Comité de seguimiento</w:t>
            </w:r>
          </w:p>
        </w:tc>
      </w:tr>
      <w:tr>
        <w:tc>
          <w:tcPr>
            <w:tcW w:type="dxa" w:w="2340"/>
          </w:tcPr>
          <w:p>
            <w:r>
              <w:rPr>
                <w:rFonts w:ascii="Aptos" w:hAnsi="Aptos"/>
                <w:color w:val="1F2937"/>
                <w:sz w:val="18"/>
              </w:rPr>
              <w:t>Costes técnicos</w:t>
            </w:r>
          </w:p>
        </w:tc>
        <w:tc>
          <w:tcPr>
            <w:tcW w:type="dxa" w:w="2340"/>
          </w:tcPr>
          <w:p>
            <w:r>
              <w:rPr>
                <w:rFonts w:ascii="Aptos" w:hAnsi="Aptos"/>
                <w:color w:val="1F2937"/>
                <w:sz w:val="18"/>
              </w:rPr>
              <w:t>Medio</w:t>
            </w:r>
          </w:p>
        </w:tc>
        <w:tc>
          <w:tcPr>
            <w:tcW w:type="dxa" w:w="2340"/>
          </w:tcPr>
          <w:p>
            <w:r>
              <w:rPr>
                <w:rFonts w:ascii="Aptos" w:hAnsi="Aptos"/>
                <w:color w:val="1F2937"/>
                <w:sz w:val="18"/>
              </w:rPr>
              <w:t>Contingencia y Gates</w:t>
            </w:r>
          </w:p>
        </w:tc>
        <w:tc>
          <w:tcPr>
            <w:tcW w:type="dxa" w:w="2340"/>
          </w:tcPr>
          <w:p>
            <w:r>
              <w:rPr>
                <w:rFonts w:ascii="Aptos" w:hAnsi="Aptos"/>
                <w:color w:val="1F2937"/>
                <w:sz w:val="18"/>
              </w:rPr>
              <w:t>Comité económico</w:t>
            </w:r>
          </w:p>
        </w:tc>
      </w:tr>
    </w:tbl>
    <w:p>
      <w:pPr>
        <w:spacing w:after="100" w:line="240" w:lineRule="auto"/>
      </w:pPr>
      <w:r>
        <w:rPr>
          <w:rFonts w:ascii="Aptos" w:hAnsi="Aptos"/>
          <w:color w:val="1F2937"/>
          <w:sz w:val="21"/>
        </w:rPr>
        <w:t>La gestión de riesgos no elimina la incertidumbre; establece señales de alerta, responsable y salida prudente.</w:t>
      </w:r>
    </w:p>
    <w:p>
      <w:r>
        <w:rPr>
          <w:rFonts w:ascii="Aptos" w:hAnsi="Aptos"/>
          <w:color w:val="1F2937"/>
          <w:sz w:val="21"/>
        </w:rPr>
      </w:r>
    </w:p>
    <w:p>
      <w:pPr>
        <w:pStyle w:val="2"/>
      </w:pPr>
      <w:r>
        <w:rPr>
          <w:rFonts w:ascii="Aptos Display" w:hAnsi="Aptos Display"/>
          <w:b/>
          <w:color w:val="174A2E"/>
          <w:sz w:val="21"/>
        </w:rPr>
        <w:t>Anexo de control 9 · Empleo y calendario</w:t>
      </w:r>
    </w:p>
    <w:p>
      <w:pPr>
        <w:spacing w:after="100" w:line="240" w:lineRule="auto"/>
      </w:pPr>
      <w:r>
        <w:rPr>
          <w:rFonts w:ascii="Aptos" w:hAnsi="Aptos"/>
          <w:color w:val="1F2937"/>
          <w:sz w:val="21"/>
        </w:rPr>
        <w:t>Documento de control para la convocatoria PIE PLUS 2026. Las cifras se leen junto con el Plan Económico-Financiero oficial y no sustituyen sus fórmulas.</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rFonts w:ascii="Aptos" w:hAnsi="Aptos"/>
                <w:b/>
                <w:color w:val="1F2937"/>
                <w:sz w:val="18"/>
              </w:rPr>
              <w:t>Perfil</w:t>
            </w:r>
          </w:p>
        </w:tc>
        <w:tc>
          <w:tcPr>
            <w:tcW w:type="dxa" w:w="2340"/>
            <w:vAlign w:val="center"/>
          </w:tcPr>
          <w:p>
            <w:r>
              <w:rPr>
                <w:rFonts w:ascii="Aptos" w:hAnsi="Aptos"/>
                <w:b/>
                <w:color w:val="1F2937"/>
                <w:sz w:val="18"/>
              </w:rPr>
              <w:t>Coste anual planificado</w:t>
            </w:r>
          </w:p>
        </w:tc>
        <w:tc>
          <w:tcPr>
            <w:tcW w:type="dxa" w:w="2340"/>
            <w:vAlign w:val="center"/>
          </w:tcPr>
          <w:p>
            <w:r>
              <w:rPr>
                <w:rFonts w:ascii="Aptos" w:hAnsi="Aptos"/>
                <w:b/>
                <w:color w:val="1F2937"/>
                <w:sz w:val="18"/>
              </w:rPr>
              <w:t>Fase</w:t>
            </w:r>
          </w:p>
        </w:tc>
        <w:tc>
          <w:tcPr>
            <w:tcW w:type="dxa" w:w="2340"/>
            <w:vAlign w:val="center"/>
          </w:tcPr>
          <w:p>
            <w:r>
              <w:rPr>
                <w:rFonts w:ascii="Aptos" w:hAnsi="Aptos"/>
                <w:b/>
                <w:color w:val="1F2937"/>
                <w:sz w:val="18"/>
              </w:rPr>
              <w:t>Estado</w:t>
            </w:r>
          </w:p>
        </w:tc>
      </w:tr>
      <w:tr>
        <w:tc>
          <w:tcPr>
            <w:tcW w:type="dxa" w:w="2340"/>
          </w:tcPr>
          <w:p>
            <w:r>
              <w:rPr>
                <w:rFonts w:ascii="Aptos" w:hAnsi="Aptos"/>
                <w:color w:val="1F2937"/>
                <w:sz w:val="18"/>
              </w:rPr>
              <w:t>Promotor</w:t>
            </w:r>
          </w:p>
        </w:tc>
        <w:tc>
          <w:tcPr>
            <w:tcW w:type="dxa" w:w="2340"/>
          </w:tcPr>
          <w:p>
            <w:r>
              <w:rPr>
                <w:rFonts w:ascii="Aptos" w:hAnsi="Aptos"/>
                <w:color w:val="1F2937"/>
                <w:sz w:val="18"/>
              </w:rPr>
              <w:t>34.800,00 €</w:t>
            </w:r>
          </w:p>
        </w:tc>
        <w:tc>
          <w:tcPr>
            <w:tcW w:type="dxa" w:w="2340"/>
          </w:tcPr>
          <w:p>
            <w:r>
              <w:rPr>
                <w:rFonts w:ascii="Aptos" w:hAnsi="Aptos"/>
                <w:color w:val="1F2937"/>
                <w:sz w:val="18"/>
              </w:rPr>
              <w:t>F1</w:t>
            </w:r>
          </w:p>
        </w:tc>
        <w:tc>
          <w:tcPr>
            <w:tcW w:type="dxa" w:w="2340"/>
          </w:tcPr>
          <w:p>
            <w:r>
              <w:rPr>
                <w:rFonts w:ascii="Aptos" w:hAnsi="Aptos"/>
                <w:color w:val="1F2937"/>
                <w:sz w:val="18"/>
              </w:rPr>
              <w:t>Planificado</w:t>
            </w:r>
          </w:p>
        </w:tc>
      </w:tr>
      <w:tr>
        <w:tc>
          <w:tcPr>
            <w:tcW w:type="dxa" w:w="2340"/>
          </w:tcPr>
          <w:p>
            <w:r>
              <w:rPr>
                <w:rFonts w:ascii="Aptos" w:hAnsi="Aptos"/>
                <w:color w:val="1F2937"/>
                <w:sz w:val="18"/>
              </w:rPr>
              <w:t>Software</w:t>
            </w:r>
          </w:p>
        </w:tc>
        <w:tc>
          <w:tcPr>
            <w:tcW w:type="dxa" w:w="2340"/>
          </w:tcPr>
          <w:p>
            <w:r>
              <w:rPr>
                <w:rFonts w:ascii="Aptos" w:hAnsi="Aptos"/>
                <w:color w:val="1F2937"/>
                <w:sz w:val="18"/>
              </w:rPr>
              <w:t>15.166,67 €</w:t>
            </w:r>
          </w:p>
        </w:tc>
        <w:tc>
          <w:tcPr>
            <w:tcW w:type="dxa" w:w="2340"/>
          </w:tcPr>
          <w:p>
            <w:r>
              <w:rPr>
                <w:rFonts w:ascii="Aptos" w:hAnsi="Aptos"/>
                <w:color w:val="1F2937"/>
                <w:sz w:val="18"/>
              </w:rPr>
              <w:t>F1</w:t>
            </w:r>
          </w:p>
        </w:tc>
        <w:tc>
          <w:tcPr>
            <w:tcW w:type="dxa" w:w="2340"/>
          </w:tcPr>
          <w:p>
            <w:r>
              <w:rPr>
                <w:rFonts w:ascii="Aptos" w:hAnsi="Aptos"/>
                <w:color w:val="1F2937"/>
                <w:sz w:val="18"/>
              </w:rPr>
              <w:t>Planificado</w:t>
            </w:r>
          </w:p>
        </w:tc>
      </w:tr>
      <w:tr>
        <w:tc>
          <w:tcPr>
            <w:tcW w:type="dxa" w:w="2340"/>
          </w:tcPr>
          <w:p>
            <w:r>
              <w:rPr>
                <w:rFonts w:ascii="Aptos" w:hAnsi="Aptos"/>
                <w:color w:val="1F2937"/>
                <w:sz w:val="18"/>
              </w:rPr>
              <w:t>Campo/comercial</w:t>
            </w:r>
          </w:p>
        </w:tc>
        <w:tc>
          <w:tcPr>
            <w:tcW w:type="dxa" w:w="2340"/>
          </w:tcPr>
          <w:p>
            <w:r>
              <w:rPr>
                <w:rFonts w:ascii="Aptos" w:hAnsi="Aptos"/>
                <w:color w:val="1F2937"/>
                <w:sz w:val="18"/>
              </w:rPr>
              <w:t>2.600,00 €</w:t>
            </w:r>
          </w:p>
        </w:tc>
        <w:tc>
          <w:tcPr>
            <w:tcW w:type="dxa" w:w="2340"/>
          </w:tcPr>
          <w:p>
            <w:r>
              <w:rPr>
                <w:rFonts w:ascii="Aptos" w:hAnsi="Aptos"/>
                <w:color w:val="1F2937"/>
                <w:sz w:val="18"/>
              </w:rPr>
              <w:t>F1</w:t>
            </w:r>
          </w:p>
        </w:tc>
        <w:tc>
          <w:tcPr>
            <w:tcW w:type="dxa" w:w="2340"/>
          </w:tcPr>
          <w:p>
            <w:r>
              <w:rPr>
                <w:rFonts w:ascii="Aptos" w:hAnsi="Aptos"/>
                <w:color w:val="1F2937"/>
                <w:sz w:val="18"/>
              </w:rPr>
              <w:t>Condicionado</w:t>
            </w:r>
          </w:p>
        </w:tc>
      </w:tr>
      <w:tr>
        <w:tc>
          <w:tcPr>
            <w:tcW w:type="dxa" w:w="2340"/>
          </w:tcPr>
          <w:p>
            <w:r>
              <w:rPr>
                <w:rFonts w:ascii="Aptos" w:hAnsi="Aptos"/>
                <w:color w:val="1F2937"/>
                <w:sz w:val="18"/>
              </w:rPr>
              <w:t>Total reconocido Año 1</w:t>
            </w:r>
          </w:p>
        </w:tc>
        <w:tc>
          <w:tcPr>
            <w:tcW w:type="dxa" w:w="2340"/>
          </w:tcPr>
          <w:p>
            <w:r>
              <w:rPr>
                <w:rFonts w:ascii="Aptos" w:hAnsi="Aptos"/>
                <w:color w:val="1F2937"/>
                <w:sz w:val="18"/>
              </w:rPr>
              <w:t>52.566,67 €</w:t>
            </w:r>
          </w:p>
        </w:tc>
        <w:tc>
          <w:tcPr>
            <w:tcW w:type="dxa" w:w="2340"/>
          </w:tcPr>
          <w:p>
            <w:r>
              <w:rPr>
                <w:rFonts w:ascii="Aptos" w:hAnsi="Aptos"/>
                <w:color w:val="1F2937"/>
                <w:sz w:val="18"/>
              </w:rPr>
              <w:t>F1</w:t>
            </w:r>
          </w:p>
        </w:tc>
        <w:tc>
          <w:tcPr>
            <w:tcW w:type="dxa" w:w="2340"/>
          </w:tcPr>
          <w:p>
            <w:r>
              <w:rPr>
                <w:rFonts w:ascii="Aptos" w:hAnsi="Aptos"/>
                <w:color w:val="1F2937"/>
                <w:sz w:val="18"/>
              </w:rPr>
              <w:t>Derivado</w:t>
            </w:r>
          </w:p>
        </w:tc>
      </w:tr>
      <w:tr>
        <w:tc>
          <w:tcPr>
            <w:tcW w:type="dxa" w:w="2340"/>
          </w:tcPr>
          <w:p>
            <w:r>
              <w:rPr>
                <w:rFonts w:ascii="Aptos" w:hAnsi="Aptos"/>
                <w:color w:val="1F2937"/>
                <w:sz w:val="18"/>
              </w:rPr>
              <w:t>Personal reconocido P&amp;L</w:t>
            </w:r>
          </w:p>
        </w:tc>
        <w:tc>
          <w:tcPr>
            <w:tcW w:type="dxa" w:w="2340"/>
          </w:tcPr>
          <w:p>
            <w:r>
              <w:rPr>
                <w:rFonts w:ascii="Aptos" w:hAnsi="Aptos"/>
                <w:color w:val="1F2937"/>
                <w:sz w:val="18"/>
              </w:rPr>
              <w:t>52.566,67 €</w:t>
            </w:r>
          </w:p>
        </w:tc>
        <w:tc>
          <w:tcPr>
            <w:tcW w:type="dxa" w:w="2340"/>
          </w:tcPr>
          <w:p>
            <w:r>
              <w:rPr>
                <w:rFonts w:ascii="Aptos" w:hAnsi="Aptos"/>
                <w:color w:val="1F2937"/>
                <w:sz w:val="18"/>
              </w:rPr>
              <w:t>Año 1</w:t>
            </w:r>
          </w:p>
        </w:tc>
        <w:tc>
          <w:tcPr>
            <w:tcW w:type="dxa" w:w="2340"/>
          </w:tcPr>
          <w:p>
            <w:r>
              <w:rPr>
                <w:rFonts w:ascii="Aptos" w:hAnsi="Aptos"/>
                <w:color w:val="1F2937"/>
                <w:sz w:val="18"/>
              </w:rPr>
              <w:t>Calendario</w:t>
            </w:r>
          </w:p>
        </w:tc>
      </w:tr>
    </w:tbl>
    <w:p>
      <w:pPr>
        <w:spacing w:after="100" w:line="240" w:lineRule="auto"/>
      </w:pPr>
      <w:r>
        <w:rPr>
          <w:rFonts w:ascii="Aptos" w:hAnsi="Aptos"/>
          <w:color w:val="1F2937"/>
          <w:sz w:val="21"/>
        </w:rPr>
        <w:t>La plantilla anualizada y el coste reconocido en P&amp;L no se confunden. La contratación depende de financiación y de la activación real del calendario.</w:t>
      </w:r>
    </w:p>
    <w:p>
      <w:r>
        <w:rPr>
          <w:rFonts w:ascii="Aptos" w:hAnsi="Aptos"/>
          <w:color w:val="1F2937"/>
          <w:sz w:val="21"/>
        </w:rPr>
      </w:r>
    </w:p>
    <w:p>
      <w:pPr>
        <w:pStyle w:val="2"/>
      </w:pPr>
      <w:r>
        <w:rPr>
          <w:rFonts w:ascii="Aptos Display" w:hAnsi="Aptos Display"/>
          <w:b/>
          <w:color w:val="174A2E"/>
          <w:sz w:val="21"/>
        </w:rPr>
        <w:t>Anexo de control 10 · Impacto territorial</w:t>
      </w:r>
    </w:p>
    <w:p>
      <w:pPr>
        <w:spacing w:after="100" w:line="240" w:lineRule="auto"/>
      </w:pPr>
      <w:r>
        <w:rPr>
          <w:rFonts w:ascii="Aptos" w:hAnsi="Aptos"/>
          <w:color w:val="1F2937"/>
          <w:sz w:val="21"/>
        </w:rPr>
        <w:t>Documento de control para la convocatoria PIE PLUS 2026. Las cifras se leen junto con el Plan Económico-Financiero oficial y no sustituyen sus fórmulas.</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rFonts w:ascii="Aptos" w:hAnsi="Aptos"/>
                <w:b/>
                <w:color w:val="1F2937"/>
                <w:sz w:val="18"/>
              </w:rPr>
              <w:t>Indicador</w:t>
            </w:r>
          </w:p>
        </w:tc>
        <w:tc>
          <w:tcPr>
            <w:tcW w:type="dxa" w:w="2340"/>
            <w:vAlign w:val="center"/>
          </w:tcPr>
          <w:p>
            <w:r>
              <w:rPr>
                <w:rFonts w:ascii="Aptos" w:hAnsi="Aptos"/>
                <w:b/>
                <w:color w:val="1F2937"/>
                <w:sz w:val="18"/>
              </w:rPr>
              <w:t>Meta declarada</w:t>
            </w:r>
          </w:p>
        </w:tc>
        <w:tc>
          <w:tcPr>
            <w:tcW w:type="dxa" w:w="2340"/>
            <w:vAlign w:val="center"/>
          </w:tcPr>
          <w:p>
            <w:r>
              <w:rPr>
                <w:rFonts w:ascii="Aptos" w:hAnsi="Aptos"/>
                <w:b/>
                <w:color w:val="1F2937"/>
                <w:sz w:val="18"/>
              </w:rPr>
              <w:t>Línea base</w:t>
            </w:r>
          </w:p>
        </w:tc>
        <w:tc>
          <w:tcPr>
            <w:tcW w:type="dxa" w:w="2340"/>
            <w:vAlign w:val="center"/>
          </w:tcPr>
          <w:p>
            <w:r>
              <w:rPr>
                <w:rFonts w:ascii="Aptos" w:hAnsi="Aptos"/>
                <w:b/>
                <w:color w:val="1F2937"/>
                <w:sz w:val="18"/>
              </w:rPr>
              <w:t>Verificación</w:t>
            </w:r>
          </w:p>
        </w:tc>
      </w:tr>
      <w:tr>
        <w:tc>
          <w:tcPr>
            <w:tcW w:type="dxa" w:w="2340"/>
          </w:tcPr>
          <w:p>
            <w:r>
              <w:rPr>
                <w:rFonts w:ascii="Aptos" w:hAnsi="Aptos"/>
                <w:color w:val="1F2937"/>
                <w:sz w:val="18"/>
              </w:rPr>
              <w:t>Empleo directo</w:t>
            </w:r>
          </w:p>
        </w:tc>
        <w:tc>
          <w:tcPr>
            <w:tcW w:type="dxa" w:w="2340"/>
          </w:tcPr>
          <w:p>
            <w:r>
              <w:rPr>
                <w:rFonts w:ascii="Aptos" w:hAnsi="Aptos"/>
                <w:color w:val="1F2937"/>
                <w:sz w:val="18"/>
              </w:rPr>
              <w:t>6–10 fases posteriores</w:t>
            </w:r>
          </w:p>
        </w:tc>
        <w:tc>
          <w:tcPr>
            <w:tcW w:type="dxa" w:w="2340"/>
          </w:tcPr>
          <w:p>
            <w:r>
              <w:rPr>
                <w:rFonts w:ascii="Aptos" w:hAnsi="Aptos"/>
                <w:color w:val="1F2937"/>
                <w:sz w:val="18"/>
              </w:rPr>
              <w:t>0</w:t>
            </w:r>
          </w:p>
        </w:tc>
        <w:tc>
          <w:tcPr>
            <w:tcW w:type="dxa" w:w="2340"/>
          </w:tcPr>
          <w:p>
            <w:r>
              <w:rPr>
                <w:rFonts w:ascii="Aptos" w:hAnsi="Aptos"/>
                <w:color w:val="1F2937"/>
                <w:sz w:val="18"/>
              </w:rPr>
              <w:t>Altas y contratos</w:t>
            </w:r>
          </w:p>
        </w:tc>
      </w:tr>
      <w:tr>
        <w:tc>
          <w:tcPr>
            <w:tcW w:type="dxa" w:w="2340"/>
          </w:tcPr>
          <w:p>
            <w:r>
              <w:rPr>
                <w:rFonts w:ascii="Aptos" w:hAnsi="Aptos"/>
                <w:color w:val="1F2937"/>
                <w:sz w:val="18"/>
              </w:rPr>
              <w:t>Empleo indirecto</w:t>
            </w:r>
          </w:p>
        </w:tc>
        <w:tc>
          <w:tcPr>
            <w:tcW w:type="dxa" w:w="2340"/>
          </w:tcPr>
          <w:p>
            <w:r>
              <w:rPr>
                <w:rFonts w:ascii="Aptos" w:hAnsi="Aptos"/>
                <w:color w:val="1F2937"/>
                <w:sz w:val="18"/>
              </w:rPr>
              <w:t>3–5 condicionado</w:t>
            </w:r>
          </w:p>
        </w:tc>
        <w:tc>
          <w:tcPr>
            <w:tcW w:type="dxa" w:w="2340"/>
          </w:tcPr>
          <w:p>
            <w:r>
              <w:rPr>
                <w:rFonts w:ascii="Aptos" w:hAnsi="Aptos"/>
                <w:color w:val="1F2937"/>
                <w:sz w:val="18"/>
              </w:rPr>
              <w:t>0</w:t>
            </w:r>
          </w:p>
        </w:tc>
        <w:tc>
          <w:tcPr>
            <w:tcW w:type="dxa" w:w="2340"/>
          </w:tcPr>
          <w:p>
            <w:r>
              <w:rPr>
                <w:rFonts w:ascii="Aptos" w:hAnsi="Aptos"/>
                <w:color w:val="1F2937"/>
                <w:sz w:val="18"/>
              </w:rPr>
              <w:t>Contratos/estimación documentada</w:t>
            </w:r>
          </w:p>
        </w:tc>
      </w:tr>
      <w:tr>
        <w:tc>
          <w:tcPr>
            <w:tcW w:type="dxa" w:w="2340"/>
          </w:tcPr>
          <w:p>
            <w:r>
              <w:rPr>
                <w:rFonts w:ascii="Aptos" w:hAnsi="Aptos"/>
                <w:color w:val="1F2937"/>
                <w:sz w:val="18"/>
              </w:rPr>
              <w:t>Agua</w:t>
            </w:r>
          </w:p>
        </w:tc>
        <w:tc>
          <w:tcPr>
            <w:tcW w:type="dxa" w:w="2340"/>
          </w:tcPr>
          <w:p>
            <w:r>
              <w:rPr>
                <w:rFonts w:ascii="Aptos" w:hAnsi="Aptos"/>
                <w:color w:val="1F2937"/>
                <w:sz w:val="18"/>
              </w:rPr>
              <w:t>Objetivo de reducción</w:t>
            </w:r>
          </w:p>
        </w:tc>
        <w:tc>
          <w:tcPr>
            <w:tcW w:type="dxa" w:w="2340"/>
          </w:tcPr>
          <w:p>
            <w:r>
              <w:rPr>
                <w:rFonts w:ascii="Aptos" w:hAnsi="Aptos"/>
                <w:color w:val="1F2937"/>
                <w:sz w:val="18"/>
              </w:rPr>
              <w:t>A medir F1</w:t>
            </w:r>
          </w:p>
        </w:tc>
        <w:tc>
          <w:tcPr>
            <w:tcW w:type="dxa" w:w="2340"/>
          </w:tcPr>
          <w:p>
            <w:r>
              <w:rPr>
                <w:rFonts w:ascii="Aptos" w:hAnsi="Aptos"/>
                <w:color w:val="1F2937"/>
                <w:sz w:val="18"/>
              </w:rPr>
              <w:t>Sensores y línea base</w:t>
            </w:r>
          </w:p>
        </w:tc>
      </w:tr>
      <w:tr>
        <w:tc>
          <w:tcPr>
            <w:tcW w:type="dxa" w:w="2340"/>
          </w:tcPr>
          <w:p>
            <w:r>
              <w:rPr>
                <w:rFonts w:ascii="Aptos" w:hAnsi="Aptos"/>
                <w:color w:val="1F2937"/>
                <w:sz w:val="18"/>
              </w:rPr>
              <w:t>Energía</w:t>
            </w:r>
          </w:p>
        </w:tc>
        <w:tc>
          <w:tcPr>
            <w:tcW w:type="dxa" w:w="2340"/>
          </w:tcPr>
          <w:p>
            <w:r>
              <w:rPr>
                <w:rFonts w:ascii="Aptos" w:hAnsi="Aptos"/>
                <w:color w:val="1F2937"/>
                <w:sz w:val="18"/>
              </w:rPr>
              <w:t>Balance objetivo</w:t>
            </w:r>
          </w:p>
        </w:tc>
        <w:tc>
          <w:tcPr>
            <w:tcW w:type="dxa" w:w="2340"/>
          </w:tcPr>
          <w:p>
            <w:r>
              <w:rPr>
                <w:rFonts w:ascii="Aptos" w:hAnsi="Aptos"/>
                <w:color w:val="1F2937"/>
                <w:sz w:val="18"/>
              </w:rPr>
              <w:t>A medir F1</w:t>
            </w:r>
          </w:p>
        </w:tc>
        <w:tc>
          <w:tcPr>
            <w:tcW w:type="dxa" w:w="2340"/>
          </w:tcPr>
          <w:p>
            <w:r>
              <w:rPr>
                <w:rFonts w:ascii="Aptos" w:hAnsi="Aptos"/>
                <w:color w:val="1F2937"/>
                <w:sz w:val="18"/>
              </w:rPr>
              <w:t>Contadores y SEV</w:t>
            </w:r>
          </w:p>
        </w:tc>
      </w:tr>
      <w:tr>
        <w:tc>
          <w:tcPr>
            <w:tcW w:type="dxa" w:w="2340"/>
          </w:tcPr>
          <w:p>
            <w:r>
              <w:rPr>
                <w:rFonts w:ascii="Aptos" w:hAnsi="Aptos"/>
                <w:color w:val="1F2937"/>
                <w:sz w:val="18"/>
              </w:rPr>
              <w:t>Población</w:t>
            </w:r>
          </w:p>
        </w:tc>
        <w:tc>
          <w:tcPr>
            <w:tcW w:type="dxa" w:w="2340"/>
          </w:tcPr>
          <w:p>
            <w:r>
              <w:rPr>
                <w:rFonts w:ascii="Aptos" w:hAnsi="Aptos"/>
                <w:color w:val="1F2937"/>
                <w:sz w:val="18"/>
              </w:rPr>
              <w:t>Mejorar tendencia</w:t>
            </w:r>
          </w:p>
        </w:tc>
        <w:tc>
          <w:tcPr>
            <w:tcW w:type="dxa" w:w="2340"/>
          </w:tcPr>
          <w:p>
            <w:r>
              <w:rPr>
                <w:rFonts w:ascii="Aptos" w:hAnsi="Aptos"/>
                <w:color w:val="1F2937"/>
                <w:sz w:val="18"/>
              </w:rPr>
              <w:t>Padrón</w:t>
            </w:r>
          </w:p>
        </w:tc>
        <w:tc>
          <w:tcPr>
            <w:tcW w:type="dxa" w:w="2340"/>
          </w:tcPr>
          <w:p>
            <w:r>
              <w:rPr>
                <w:rFonts w:ascii="Aptos" w:hAnsi="Aptos"/>
                <w:color w:val="1F2937"/>
                <w:sz w:val="18"/>
              </w:rPr>
              <w:t>Seguimiento plurianual</w:t>
            </w:r>
          </w:p>
        </w:tc>
      </w:tr>
    </w:tbl>
    <w:p>
      <w:pPr>
        <w:spacing w:after="100" w:line="240" w:lineRule="auto"/>
      </w:pPr>
      <w:r>
        <w:rPr>
          <w:rFonts w:ascii="Aptos" w:hAnsi="Aptos"/>
          <w:color w:val="1F2937"/>
          <w:sz w:val="21"/>
        </w:rPr>
        <w:t>Los impactos ambientales y sociales se declaran como metas a validar, no como resultados ya medidos.</w:t>
      </w:r>
    </w:p>
    <w:p>
      <w:r>
        <w:rPr>
          <w:rFonts w:ascii="Aptos" w:hAnsi="Aptos"/>
          <w:color w:val="1F2937"/>
          <w:sz w:val="21"/>
        </w:rPr>
      </w:r>
    </w:p>
    <w:p>
      <w:pPr>
        <w:pStyle w:val="2"/>
      </w:pPr>
      <w:r>
        <w:rPr>
          <w:rFonts w:ascii="Aptos Display" w:hAnsi="Aptos Display"/>
          <w:b/>
          <w:color w:val="174A2E"/>
          <w:sz w:val="21"/>
        </w:rPr>
        <w:t>Anexo de control 11 · Estado de evidencia</w:t>
      </w:r>
    </w:p>
    <w:p>
      <w:pPr>
        <w:spacing w:after="100" w:line="240" w:lineRule="auto"/>
      </w:pPr>
      <w:r>
        <w:rPr>
          <w:rFonts w:ascii="Aptos" w:hAnsi="Aptos"/>
          <w:color w:val="1F2937"/>
          <w:sz w:val="21"/>
        </w:rPr>
        <w:t>Documento de control para la convocatoria PIE PLUS 2026. Las cifras se leen junto con el Plan Económico-Financiero oficial y no sustituyen sus fórmulas.</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color w:val="1F2937"/>
                <w:sz w:val="18"/>
              </w:rPr>
              <w:t>Elemento</w:t>
            </w:r>
          </w:p>
        </w:tc>
        <w:tc>
          <w:tcPr>
            <w:tcW w:type="dxa" w:w="3120"/>
            <w:vAlign w:val="center"/>
          </w:tcPr>
          <w:p>
            <w:r>
              <w:rPr>
                <w:rFonts w:ascii="Aptos" w:hAnsi="Aptos"/>
                <w:b/>
                <w:color w:val="1F2937"/>
                <w:sz w:val="18"/>
              </w:rPr>
              <w:t>Estado correcto</w:t>
            </w:r>
          </w:p>
        </w:tc>
        <w:tc>
          <w:tcPr>
            <w:tcW w:type="dxa" w:w="3120"/>
            <w:vAlign w:val="center"/>
          </w:tcPr>
          <w:p>
            <w:r>
              <w:rPr>
                <w:rFonts w:ascii="Aptos" w:hAnsi="Aptos"/>
                <w:b/>
                <w:color w:val="1F2937"/>
                <w:sz w:val="18"/>
              </w:rPr>
              <w:t>No debe afirmarse como</w:t>
            </w:r>
          </w:p>
        </w:tc>
      </w:tr>
      <w:tr>
        <w:tc>
          <w:tcPr>
            <w:tcW w:type="dxa" w:w="3120"/>
          </w:tcPr>
          <w:p>
            <w:r>
              <w:rPr>
                <w:rFonts w:ascii="Aptos" w:hAnsi="Aptos"/>
                <w:color w:val="1F2937"/>
                <w:sz w:val="18"/>
              </w:rPr>
              <w:t>Marca M4359038</w:t>
            </w:r>
          </w:p>
        </w:tc>
        <w:tc>
          <w:tcPr>
            <w:tcW w:type="dxa" w:w="3120"/>
          </w:tcPr>
          <w:p>
            <w:r>
              <w:rPr>
                <w:rFonts w:ascii="Aptos" w:hAnsi="Aptos"/>
                <w:color w:val="1F2937"/>
                <w:sz w:val="18"/>
              </w:rPr>
              <w:t>En proceso</w:t>
            </w:r>
          </w:p>
        </w:tc>
        <w:tc>
          <w:tcPr>
            <w:tcW w:type="dxa" w:w="3120"/>
          </w:tcPr>
          <w:p>
            <w:r>
              <w:rPr>
                <w:rFonts w:ascii="Aptos" w:hAnsi="Aptos"/>
                <w:color w:val="1F2937"/>
                <w:sz w:val="18"/>
              </w:rPr>
              <w:t>Marca concedida</w:t>
            </w:r>
          </w:p>
        </w:tc>
      </w:tr>
      <w:tr>
        <w:tc>
          <w:tcPr>
            <w:tcW w:type="dxa" w:w="3120"/>
          </w:tcPr>
          <w:p>
            <w:r>
              <w:rPr>
                <w:rFonts w:ascii="Aptos" w:hAnsi="Aptos"/>
                <w:color w:val="1F2937"/>
                <w:sz w:val="18"/>
              </w:rPr>
              <w:t>Ayudas 18.000 € + ≈2.700 €</w:t>
            </w:r>
          </w:p>
        </w:tc>
        <w:tc>
          <w:tcPr>
            <w:tcW w:type="dxa" w:w="3120"/>
          </w:tcPr>
          <w:p>
            <w:r>
              <w:rPr>
                <w:rFonts w:ascii="Aptos" w:hAnsi="Aptos"/>
                <w:color w:val="1F2937"/>
                <w:sz w:val="18"/>
              </w:rPr>
              <w:t>En trámite</w:t>
            </w:r>
          </w:p>
        </w:tc>
        <w:tc>
          <w:tcPr>
            <w:tcW w:type="dxa" w:w="3120"/>
          </w:tcPr>
          <w:p>
            <w:r>
              <w:rPr>
                <w:rFonts w:ascii="Aptos" w:hAnsi="Aptos"/>
                <w:color w:val="1F2937"/>
                <w:sz w:val="18"/>
              </w:rPr>
              <w:t>Caja disponible</w:t>
            </w:r>
          </w:p>
        </w:tc>
      </w:tr>
      <w:tr>
        <w:tc>
          <w:tcPr>
            <w:tcW w:type="dxa" w:w="3120"/>
          </w:tcPr>
          <w:p>
            <w:r>
              <w:rPr>
                <w:rFonts w:ascii="Aptos" w:hAnsi="Aptos"/>
                <w:color w:val="1F2937"/>
                <w:sz w:val="18"/>
              </w:rPr>
              <w:t>Cuatrecasas</w:t>
            </w:r>
          </w:p>
        </w:tc>
        <w:tc>
          <w:tcPr>
            <w:tcW w:type="dxa" w:w="3120"/>
          </w:tcPr>
          <w:p>
            <w:r>
              <w:rPr>
                <w:rFonts w:ascii="Aptos" w:hAnsi="Aptos"/>
                <w:color w:val="1F2937"/>
                <w:sz w:val="18"/>
              </w:rPr>
              <w:t>Selección en curso</w:t>
            </w:r>
          </w:p>
        </w:tc>
        <w:tc>
          <w:tcPr>
            <w:tcW w:type="dxa" w:w="3120"/>
          </w:tcPr>
          <w:p>
            <w:r>
              <w:rPr>
                <w:rFonts w:ascii="Aptos" w:hAnsi="Aptos"/>
                <w:color w:val="1F2937"/>
                <w:sz w:val="18"/>
              </w:rPr>
              <w:t>Admisión confirmada</w:t>
            </w:r>
          </w:p>
        </w:tc>
      </w:tr>
      <w:tr>
        <w:tc>
          <w:tcPr>
            <w:tcW w:type="dxa" w:w="3120"/>
          </w:tcPr>
          <w:p>
            <w:r>
              <w:rPr>
                <w:rFonts w:ascii="Aptos" w:hAnsi="Aptos"/>
                <w:color w:val="1F2937"/>
                <w:sz w:val="18"/>
              </w:rPr>
              <w:t>Suelo municipal</w:t>
            </w:r>
          </w:p>
        </w:tc>
        <w:tc>
          <w:tcPr>
            <w:tcW w:type="dxa" w:w="3120"/>
          </w:tcPr>
          <w:p>
            <w:r>
              <w:rPr>
                <w:rFonts w:ascii="Aptos" w:hAnsi="Aptos"/>
                <w:color w:val="1F2937"/>
                <w:sz w:val="18"/>
              </w:rPr>
              <w:t>Negociación</w:t>
            </w:r>
          </w:p>
        </w:tc>
        <w:tc>
          <w:tcPr>
            <w:tcW w:type="dxa" w:w="3120"/>
          </w:tcPr>
          <w:p>
            <w:r>
              <w:rPr>
                <w:rFonts w:ascii="Aptos" w:hAnsi="Aptos"/>
                <w:color w:val="1F2937"/>
                <w:sz w:val="18"/>
              </w:rPr>
              <w:t>Convenio firmado</w:t>
            </w:r>
          </w:p>
        </w:tc>
      </w:tr>
      <w:tr>
        <w:tc>
          <w:tcPr>
            <w:tcW w:type="dxa" w:w="3120"/>
          </w:tcPr>
          <w:p>
            <w:r>
              <w:rPr>
                <w:rFonts w:ascii="Aptos" w:hAnsi="Aptos"/>
                <w:color w:val="1F2937"/>
                <w:sz w:val="18"/>
              </w:rPr>
              <w:t>Ganaderos</w:t>
            </w:r>
          </w:p>
        </w:tc>
        <w:tc>
          <w:tcPr>
            <w:tcW w:type="dxa" w:w="3120"/>
          </w:tcPr>
          <w:p>
            <w:r>
              <w:rPr>
                <w:rFonts w:ascii="Aptos" w:hAnsi="Aptos"/>
                <w:color w:val="1F2937"/>
                <w:sz w:val="18"/>
              </w:rPr>
              <w:t>Colaboración a documentar</w:t>
            </w:r>
          </w:p>
        </w:tc>
        <w:tc>
          <w:tcPr>
            <w:tcW w:type="dxa" w:w="3120"/>
          </w:tcPr>
          <w:p>
            <w:r>
              <w:rPr>
                <w:rFonts w:ascii="Aptos" w:hAnsi="Aptos"/>
                <w:color w:val="1F2937"/>
                <w:sz w:val="18"/>
              </w:rPr>
              <w:t>Clientes de pago</w:t>
            </w:r>
          </w:p>
        </w:tc>
      </w:tr>
    </w:tbl>
    <w:p>
      <w:pPr>
        <w:spacing w:after="100" w:line="240" w:lineRule="auto"/>
      </w:pPr>
      <w:r>
        <w:rPr>
          <w:rFonts w:ascii="Aptos" w:hAnsi="Aptos"/>
          <w:color w:val="1F2937"/>
          <w:sz w:val="21"/>
        </w:rPr>
        <w:t>La disciplina documental mejora la credibilidad de la candidatura y permite al jurado distinguir potencial de evidencia.</w:t>
      </w:r>
    </w:p>
    <w:p>
      <w:r>
        <w:rPr>
          <w:rFonts w:ascii="Aptos" w:hAnsi="Aptos"/>
          <w:color w:val="1F2937"/>
          <w:sz w:val="21"/>
        </w:rPr>
      </w:r>
    </w:p>
    <w:p>
      <w:pPr>
        <w:pStyle w:val="2"/>
      </w:pPr>
      <w:r>
        <w:rPr>
          <w:rFonts w:ascii="Aptos Display" w:hAnsi="Aptos Display"/>
          <w:b/>
          <w:color w:val="174A2E"/>
          <w:sz w:val="21"/>
        </w:rPr>
        <w:t>Anexo de control 12 · Defensa ante el jurado</w:t>
      </w:r>
    </w:p>
    <w:p>
      <w:pPr>
        <w:spacing w:after="100" w:line="240" w:lineRule="auto"/>
      </w:pPr>
      <w:r>
        <w:rPr>
          <w:rFonts w:ascii="Aptos" w:hAnsi="Aptos"/>
          <w:color w:val="1F2937"/>
          <w:sz w:val="21"/>
        </w:rPr>
        <w:t>Documento de control para la convocatoria PIE PLUS 2026. Las cifras se leen junto con el Plan Económico-Financiero oficial y no sustituyen sus fórmulas.</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color w:val="1F2937"/>
                <w:sz w:val="18"/>
              </w:rPr>
              <w:t>Pregunta</w:t>
            </w:r>
          </w:p>
        </w:tc>
        <w:tc>
          <w:tcPr>
            <w:tcW w:type="dxa" w:w="3120"/>
            <w:vAlign w:val="center"/>
          </w:tcPr>
          <w:p>
            <w:r>
              <w:rPr>
                <w:rFonts w:ascii="Aptos" w:hAnsi="Aptos"/>
                <w:b/>
                <w:color w:val="1F2937"/>
                <w:sz w:val="18"/>
              </w:rPr>
              <w:t>Respuesta documentada</w:t>
            </w:r>
          </w:p>
        </w:tc>
        <w:tc>
          <w:tcPr>
            <w:tcW w:type="dxa" w:w="3120"/>
            <w:vAlign w:val="center"/>
          </w:tcPr>
          <w:p>
            <w:r>
              <w:rPr>
                <w:rFonts w:ascii="Aptos" w:hAnsi="Aptos"/>
                <w:b/>
                <w:color w:val="1F2937"/>
                <w:sz w:val="18"/>
              </w:rPr>
              <w:t>Prueba</w:t>
            </w:r>
          </w:p>
        </w:tc>
      </w:tr>
      <w:tr>
        <w:tc>
          <w:tcPr>
            <w:tcW w:type="dxa" w:w="3120"/>
          </w:tcPr>
          <w:p>
            <w:r>
              <w:rPr>
                <w:rFonts w:ascii="Aptos" w:hAnsi="Aptos"/>
                <w:color w:val="1F2937"/>
                <w:sz w:val="18"/>
              </w:rPr>
              <w:t>¿Qué se financia?</w:t>
            </w:r>
          </w:p>
        </w:tc>
        <w:tc>
          <w:tcPr>
            <w:tcW w:type="dxa" w:w="3120"/>
          </w:tcPr>
          <w:p>
            <w:r>
              <w:rPr>
                <w:rFonts w:ascii="Aptos" w:hAnsi="Aptos"/>
                <w:color w:val="1F2937"/>
                <w:sz w:val="18"/>
              </w:rPr>
              <w:t>Fase 1 digital y validación</w:t>
            </w:r>
          </w:p>
        </w:tc>
        <w:tc>
          <w:tcPr>
            <w:tcW w:type="dxa" w:w="3120"/>
          </w:tcPr>
          <w:p>
            <w:r>
              <w:rPr>
                <w:rFonts w:ascii="Aptos" w:hAnsi="Aptos"/>
                <w:color w:val="1F2937"/>
                <w:sz w:val="18"/>
              </w:rPr>
              <w:t>Excel + Gates</w:t>
            </w:r>
          </w:p>
        </w:tc>
      </w:tr>
      <w:tr>
        <w:tc>
          <w:tcPr>
            <w:tcW w:type="dxa" w:w="3120"/>
          </w:tcPr>
          <w:p>
            <w:r>
              <w:rPr>
                <w:rFonts w:ascii="Aptos" w:hAnsi="Aptos"/>
                <w:color w:val="1F2937"/>
                <w:sz w:val="18"/>
              </w:rPr>
              <w:t>¿Por qué Membrío?</w:t>
            </w:r>
          </w:p>
        </w:tc>
        <w:tc>
          <w:tcPr>
            <w:tcW w:type="dxa" w:w="3120"/>
          </w:tcPr>
          <w:p>
            <w:r>
              <w:rPr>
                <w:rFonts w:ascii="Aptos" w:hAnsi="Aptos"/>
                <w:color w:val="1F2937"/>
                <w:sz w:val="18"/>
              </w:rPr>
              <w:t>Caso rural representativo</w:t>
            </w:r>
          </w:p>
        </w:tc>
        <w:tc>
          <w:tcPr>
            <w:tcW w:type="dxa" w:w="3120"/>
          </w:tcPr>
          <w:p>
            <w:r>
              <w:rPr>
                <w:rFonts w:ascii="Aptos" w:hAnsi="Aptos"/>
                <w:color w:val="1F2937"/>
                <w:sz w:val="18"/>
              </w:rPr>
              <w:t>Impacto territorial</w:t>
            </w:r>
          </w:p>
        </w:tc>
      </w:tr>
      <w:tr>
        <w:tc>
          <w:tcPr>
            <w:tcW w:type="dxa" w:w="3120"/>
          </w:tcPr>
          <w:p>
            <w:r>
              <w:rPr>
                <w:rFonts w:ascii="Aptos" w:hAnsi="Aptos"/>
                <w:color w:val="1F2937"/>
                <w:sz w:val="18"/>
              </w:rPr>
              <w:t>¿Qué está probado?</w:t>
            </w:r>
          </w:p>
        </w:tc>
        <w:tc>
          <w:tcPr>
            <w:tcW w:type="dxa" w:w="3120"/>
          </w:tcPr>
          <w:p>
            <w:r>
              <w:rPr>
                <w:rFonts w:ascii="Aptos" w:hAnsi="Aptos"/>
                <w:color w:val="1F2937"/>
                <w:sz w:val="18"/>
              </w:rPr>
              <w:t>Núcleo técnico y evidencias disponibles</w:t>
            </w:r>
          </w:p>
        </w:tc>
        <w:tc>
          <w:tcPr>
            <w:tcW w:type="dxa" w:w="3120"/>
          </w:tcPr>
          <w:p>
            <w:r>
              <w:rPr>
                <w:rFonts w:ascii="Aptos" w:hAnsi="Aptos"/>
                <w:color w:val="1F2937"/>
                <w:sz w:val="18"/>
              </w:rPr>
              <w:t>Repositorio/SEV</w:t>
            </w:r>
          </w:p>
        </w:tc>
      </w:tr>
      <w:tr>
        <w:tc>
          <w:tcPr>
            <w:tcW w:type="dxa" w:w="3120"/>
          </w:tcPr>
          <w:p>
            <w:r>
              <w:rPr>
                <w:rFonts w:ascii="Aptos" w:hAnsi="Aptos"/>
                <w:color w:val="1F2937"/>
                <w:sz w:val="18"/>
              </w:rPr>
              <w:t>¿Qué falta?</w:t>
            </w:r>
          </w:p>
        </w:tc>
        <w:tc>
          <w:tcPr>
            <w:tcW w:type="dxa" w:w="3120"/>
          </w:tcPr>
          <w:p>
            <w:r>
              <w:rPr>
                <w:rFonts w:ascii="Aptos" w:hAnsi="Aptos"/>
                <w:color w:val="1F2937"/>
                <w:sz w:val="18"/>
              </w:rPr>
              <w:t>Tracción, datos físicos y formalización</w:t>
            </w:r>
          </w:p>
        </w:tc>
        <w:tc>
          <w:tcPr>
            <w:tcW w:type="dxa" w:w="3120"/>
          </w:tcPr>
          <w:p>
            <w:r>
              <w:rPr>
                <w:rFonts w:ascii="Aptos" w:hAnsi="Aptos"/>
                <w:color w:val="1F2937"/>
                <w:sz w:val="18"/>
              </w:rPr>
              <w:t>Checklist G1</w:t>
            </w:r>
          </w:p>
        </w:tc>
      </w:tr>
      <w:tr>
        <w:tc>
          <w:tcPr>
            <w:tcW w:type="dxa" w:w="3120"/>
          </w:tcPr>
          <w:p>
            <w:r>
              <w:rPr>
                <w:rFonts w:ascii="Aptos" w:hAnsi="Aptos"/>
                <w:color w:val="1F2937"/>
                <w:sz w:val="18"/>
              </w:rPr>
              <w:t>¿Cómo se protege el dinero?</w:t>
            </w:r>
          </w:p>
        </w:tc>
        <w:tc>
          <w:tcPr>
            <w:tcW w:type="dxa" w:w="3120"/>
          </w:tcPr>
          <w:p>
            <w:r>
              <w:rPr>
                <w:rFonts w:ascii="Aptos" w:hAnsi="Aptos"/>
                <w:color w:val="1F2937"/>
                <w:sz w:val="18"/>
              </w:rPr>
              <w:t>Desembolso por hitos</w:t>
            </w:r>
          </w:p>
        </w:tc>
        <w:tc>
          <w:tcPr>
            <w:tcW w:type="dxa" w:w="3120"/>
          </w:tcPr>
          <w:p>
            <w:r>
              <w:rPr>
                <w:rFonts w:ascii="Aptos" w:hAnsi="Aptos"/>
                <w:color w:val="1F2937"/>
                <w:sz w:val="18"/>
              </w:rPr>
              <w:t>Gobernanza</w:t>
            </w:r>
          </w:p>
        </w:tc>
      </w:tr>
    </w:tbl>
    <w:p>
      <w:pPr>
        <w:spacing w:after="100" w:line="240" w:lineRule="auto"/>
      </w:pPr>
      <w:r>
        <w:rPr>
          <w:rFonts w:ascii="Aptos" w:hAnsi="Aptos"/>
          <w:color w:val="1F2937"/>
          <w:sz w:val="21"/>
        </w:rPr>
        <w:t>La defensa debe comenzar por el problema territorial, mostrar el núcleo ya desarrollado y explicar que el crecimiento físico queda condicionado a evidencia.</w:t>
      </w:r>
    </w:p>
    <w:p>
      <w:r>
        <w:rPr>
          <w:rFonts w:ascii="Aptos" w:hAnsi="Aptos"/>
          <w:color w:val="1F2937"/>
          <w:sz w:val="21"/>
        </w:rPr>
      </w:r>
    </w:p>
    <w:p>
      <w:pPr>
        <w:pStyle w:val="2"/>
      </w:pPr>
      <w:r>
        <w:rPr>
          <w:rFonts w:ascii="Aptos Display" w:hAnsi="Aptos Display"/>
          <w:b/>
          <w:color w:val="174A2E"/>
          <w:sz w:val="21"/>
        </w:rPr>
        <w:t>Anexo de control 13 · Lista de entrega</w:t>
      </w:r>
    </w:p>
    <w:p>
      <w:pPr>
        <w:spacing w:after="100" w:line="240" w:lineRule="auto"/>
      </w:pPr>
      <w:r>
        <w:rPr>
          <w:rFonts w:ascii="Aptos" w:hAnsi="Aptos"/>
          <w:color w:val="1F2937"/>
          <w:sz w:val="21"/>
        </w:rPr>
        <w:t>Documento de control para la convocatoria PIE PLUS 2026. Las cifras se leen junto con el Plan Económico-Financiero oficial y no sustituyen sus fórmulas.</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color w:val="1F2937"/>
                <w:sz w:val="18"/>
              </w:rPr>
              <w:t>Elemento</w:t>
            </w:r>
          </w:p>
        </w:tc>
        <w:tc>
          <w:tcPr>
            <w:tcW w:type="dxa" w:w="3120"/>
            <w:vAlign w:val="center"/>
          </w:tcPr>
          <w:p>
            <w:r>
              <w:rPr>
                <w:rFonts w:ascii="Aptos" w:hAnsi="Aptos"/>
                <w:b/>
                <w:color w:val="1F2937"/>
                <w:sz w:val="18"/>
              </w:rPr>
              <w:t>Versión válida</w:t>
            </w:r>
          </w:p>
        </w:tc>
        <w:tc>
          <w:tcPr>
            <w:tcW w:type="dxa" w:w="3120"/>
            <w:vAlign w:val="center"/>
          </w:tcPr>
          <w:p>
            <w:r>
              <w:rPr>
                <w:rFonts w:ascii="Aptos" w:hAnsi="Aptos"/>
                <w:b/>
                <w:color w:val="1F2937"/>
                <w:sz w:val="18"/>
              </w:rPr>
              <w:t>Control</w:t>
            </w:r>
          </w:p>
        </w:tc>
      </w:tr>
      <w:tr>
        <w:tc>
          <w:tcPr>
            <w:tcW w:type="dxa" w:w="3120"/>
          </w:tcPr>
          <w:p>
            <w:r>
              <w:rPr>
                <w:rFonts w:ascii="Aptos" w:hAnsi="Aptos"/>
                <w:color w:val="1F2937"/>
                <w:sz w:val="18"/>
              </w:rPr>
              <w:t>Memoria</w:t>
            </w:r>
          </w:p>
        </w:tc>
        <w:tc>
          <w:tcPr>
            <w:tcW w:type="dxa" w:w="3120"/>
          </w:tcPr>
          <w:p>
            <w:r>
              <w:rPr>
                <w:rFonts w:ascii="Aptos" w:hAnsi="Aptos"/>
                <w:color w:val="1F2937"/>
                <w:sz w:val="18"/>
              </w:rPr>
              <w:t>65 páginas más portada</w:t>
            </w:r>
          </w:p>
        </w:tc>
        <w:tc>
          <w:tcPr>
            <w:tcW w:type="dxa" w:w="3120"/>
          </w:tcPr>
          <w:p>
            <w:r>
              <w:rPr>
                <w:rFonts w:ascii="Aptos" w:hAnsi="Aptos"/>
                <w:color w:val="1F2937"/>
                <w:sz w:val="18"/>
              </w:rPr>
              <w:t>Número de páginas</w:t>
            </w:r>
          </w:p>
        </w:tc>
      </w:tr>
      <w:tr>
        <w:tc>
          <w:tcPr>
            <w:tcW w:type="dxa" w:w="3120"/>
          </w:tcPr>
          <w:p>
            <w:r>
              <w:rPr>
                <w:rFonts w:ascii="Aptos" w:hAnsi="Aptos"/>
                <w:color w:val="1F2937"/>
                <w:sz w:val="18"/>
              </w:rPr>
              <w:t>Excel</w:t>
            </w:r>
          </w:p>
        </w:tc>
        <w:tc>
          <w:tcPr>
            <w:tcW w:type="dxa" w:w="3120"/>
          </w:tcPr>
          <w:p>
            <w:r>
              <w:rPr>
                <w:rFonts w:ascii="Aptos" w:hAnsi="Aptos"/>
                <w:color w:val="1F2937"/>
                <w:sz w:val="18"/>
              </w:rPr>
              <w:t>Oficial reconciliado</w:t>
            </w:r>
          </w:p>
        </w:tc>
        <w:tc>
          <w:tcPr>
            <w:tcW w:type="dxa" w:w="3120"/>
          </w:tcPr>
          <w:p>
            <w:r>
              <w:rPr>
                <w:rFonts w:ascii="Aptos" w:hAnsi="Aptos"/>
                <w:color w:val="1F2937"/>
                <w:sz w:val="18"/>
              </w:rPr>
              <w:t>12 hojas y fórmulas</w:t>
            </w:r>
          </w:p>
        </w:tc>
      </w:tr>
      <w:tr>
        <w:tc>
          <w:tcPr>
            <w:tcW w:type="dxa" w:w="3120"/>
          </w:tcPr>
          <w:p>
            <w:r>
              <w:rPr>
                <w:rFonts w:ascii="Aptos" w:hAnsi="Aptos"/>
                <w:color w:val="1F2937"/>
                <w:sz w:val="18"/>
              </w:rPr>
              <w:t>Cifras</w:t>
            </w:r>
          </w:p>
        </w:tc>
        <w:tc>
          <w:tcPr>
            <w:tcW w:type="dxa" w:w="3120"/>
          </w:tcPr>
          <w:p>
            <w:r>
              <w:rPr>
                <w:rFonts w:ascii="Aptos" w:hAnsi="Aptos"/>
                <w:color w:val="1F2937"/>
                <w:sz w:val="18"/>
              </w:rPr>
              <w:t>Matriz única</w:t>
            </w:r>
          </w:p>
        </w:tc>
        <w:tc>
          <w:tcPr>
            <w:tcW w:type="dxa" w:w="3120"/>
          </w:tcPr>
          <w:p>
            <w:r>
              <w:rPr>
                <w:rFonts w:ascii="Aptos" w:hAnsi="Aptos"/>
                <w:color w:val="1F2937"/>
                <w:sz w:val="18"/>
              </w:rPr>
              <w:t>PASS</w:t>
            </w:r>
          </w:p>
        </w:tc>
      </w:tr>
      <w:tr>
        <w:tc>
          <w:tcPr>
            <w:tcW w:type="dxa" w:w="3120"/>
          </w:tcPr>
          <w:p>
            <w:r>
              <w:rPr>
                <w:rFonts w:ascii="Aptos" w:hAnsi="Aptos"/>
                <w:color w:val="1F2937"/>
                <w:sz w:val="18"/>
              </w:rPr>
              <w:t>Financiación</w:t>
            </w:r>
          </w:p>
        </w:tc>
        <w:tc>
          <w:tcPr>
            <w:tcW w:type="dxa" w:w="3120"/>
          </w:tcPr>
          <w:p>
            <w:r>
              <w:rPr>
                <w:rFonts w:ascii="Aptos" w:hAnsi="Aptos"/>
                <w:color w:val="1F2937"/>
                <w:sz w:val="18"/>
              </w:rPr>
              <w:t>0,00 € cobrada</w:t>
            </w:r>
          </w:p>
        </w:tc>
        <w:tc>
          <w:tcPr>
            <w:tcW w:type="dxa" w:w="3120"/>
          </w:tcPr>
          <w:p>
            <w:r>
              <w:rPr>
                <w:rFonts w:ascii="Aptos" w:hAnsi="Aptos"/>
                <w:color w:val="1F2937"/>
                <w:sz w:val="18"/>
              </w:rPr>
              <w:t>Sin financiación ficticia</w:t>
            </w:r>
          </w:p>
        </w:tc>
      </w:tr>
      <w:tr>
        <w:tc>
          <w:tcPr>
            <w:tcW w:type="dxa" w:w="3120"/>
          </w:tcPr>
          <w:p>
            <w:r>
              <w:rPr>
                <w:rFonts w:ascii="Aptos" w:hAnsi="Aptos"/>
                <w:color w:val="1F2937"/>
                <w:sz w:val="18"/>
              </w:rPr>
              <w:t>Balance</w:t>
            </w:r>
          </w:p>
        </w:tc>
        <w:tc>
          <w:tcPr>
            <w:tcW w:type="dxa" w:w="3120"/>
          </w:tcPr>
          <w:p>
            <w:r>
              <w:rPr>
                <w:rFonts w:ascii="Aptos" w:hAnsi="Aptos"/>
                <w:color w:val="1F2937"/>
                <w:sz w:val="18"/>
              </w:rPr>
              <w:t>Pendiente de validación documental; el balance proforma se cuadra matemáticamente</w:t>
            </w:r>
          </w:p>
        </w:tc>
        <w:tc>
          <w:tcPr>
            <w:tcW w:type="dxa" w:w="3120"/>
          </w:tcPr>
          <w:p>
            <w:r>
              <w:rPr>
                <w:rFonts w:ascii="Aptos" w:hAnsi="Aptos"/>
                <w:color w:val="1F2937"/>
                <w:sz w:val="18"/>
              </w:rPr>
              <w:t>Sin plug</w:t>
            </w:r>
          </w:p>
        </w:tc>
      </w:tr>
      <w:tr>
        <w:tc>
          <w:tcPr>
            <w:tcW w:type="dxa" w:w="3120"/>
          </w:tcPr>
          <w:p>
            <w:r>
              <w:rPr>
                <w:rFonts w:ascii="Aptos" w:hAnsi="Aptos"/>
                <w:color w:val="1F2937"/>
                <w:sz w:val="18"/>
              </w:rPr>
              <w:t>Evidencias</w:t>
            </w:r>
          </w:p>
        </w:tc>
        <w:tc>
          <w:tcPr>
            <w:tcW w:type="dxa" w:w="3120"/>
          </w:tcPr>
          <w:p>
            <w:r>
              <w:rPr>
                <w:rFonts w:ascii="Aptos" w:hAnsi="Aptos"/>
                <w:color w:val="1F2937"/>
                <w:sz w:val="18"/>
              </w:rPr>
              <w:t>Estados honestos</w:t>
            </w:r>
          </w:p>
        </w:tc>
        <w:tc>
          <w:tcPr>
            <w:tcW w:type="dxa" w:w="3120"/>
          </w:tcPr>
          <w:p>
            <w:r>
              <w:rPr>
                <w:rFonts w:ascii="Aptos" w:hAnsi="Aptos"/>
                <w:color w:val="1F2937"/>
                <w:sz w:val="18"/>
              </w:rPr>
              <w:t>No sobreafirmar</w:t>
            </w:r>
          </w:p>
        </w:tc>
      </w:tr>
    </w:tbl>
    <w:p>
      <w:pPr>
        <w:spacing w:after="100" w:line="240" w:lineRule="auto"/>
      </w:pPr>
      <w:r>
        <w:rPr>
          <w:rFonts w:ascii="Aptos" w:hAnsi="Aptos"/>
          <w:color w:val="1F2937"/>
          <w:sz w:val="21"/>
        </w:rPr>
        <w:t>Esta lista final debe utilizarse antes del envío. La memoria y el Excel se entregan juntos y no deben mezclarse con versiones anteriores.</w:t>
      </w:r>
    </w:p>
    <w:p>
      <w:r>
        <w:rPr>
          <w:rFonts w:ascii="Aptos" w:hAnsi="Aptos"/>
          <w:color w:val="1F2937"/>
          <w:sz w:val="21"/>
        </w:rPr>
      </w:r>
    </w:p>
    <w:p>
      <w:pPr>
        <w:pStyle w:val="2"/>
      </w:pPr>
      <w:r>
        <w:rPr>
          <w:rFonts w:ascii="Aptos Display" w:hAnsi="Aptos Display"/>
          <w:b/>
          <w:color w:val="174A2E"/>
          <w:sz w:val="21"/>
        </w:rPr>
        <w:t>CORRIGENDUM FINAL Y CRITERIOS DE LECTURA DEL MODELO</w:t>
      </w:r>
    </w:p>
    <w:p>
      <w:r>
        <w:rPr>
          <w:rFonts w:ascii="Aptos" w:hAnsi="Aptos"/>
          <w:b/>
          <w:color w:val="1F2937"/>
          <w:sz w:val="21"/>
        </w:rPr>
        <w:t xml:space="preserve">Objeto. </w:t>
      </w:r>
      <w:r>
        <w:rPr>
          <w:rFonts w:ascii="Aptos" w:hAnsi="Aptos"/>
          <w:color w:val="1F2937"/>
          <w:sz w:val="21"/>
        </w:rPr>
        <w:t>Este bloque deja trazadas las correcciones aplicadas tras la revisión de observaciones y fija la lectura correcta del Excel oficial. La memoria y el libro deben leerse conjuntamente: las cifras de inversión futura son visión condicionada y no forman parte de la Fase 1 financiable.</w:t>
      </w:r>
    </w:p>
    <w:p>
      <w:pPr/>
      <w:r>
        <w:rPr>
          <w:rFonts w:ascii="Aptos" w:hAnsi="Aptos"/>
          <w:b/>
          <w:color w:val="1F2937"/>
          <w:sz w:val="21"/>
        </w:rPr>
        <w:t xml:space="preserve">Secuenciación operativa: </w:t>
      </w:r>
      <w:r>
        <w:rPr>
          <w:rFonts w:ascii="Aptos" w:hAnsi="Aptos"/>
          <w:color w:val="1F2937"/>
          <w:sz w:val="21"/>
        </w:rPr>
        <w:t>La Fase 1 financiera y operativa se limita al SaaS, IoT/edge, evidencias, validación comercial y ensayos instrumentados. Geotermia, invernadero, agrovoltaica, BESS y datos soberanos quedan fuera del arranque y solo se activan tras sus Gates.</w:t>
      </w:r>
    </w:p>
    <w:p>
      <w:pPr/>
      <w:r>
        <w:rPr>
          <w:rFonts w:ascii="Aptos" w:hAnsi="Aptos"/>
          <w:b/>
          <w:color w:val="1F2937"/>
          <w:sz w:val="21"/>
        </w:rPr>
        <w:t xml:space="preserve">Suelo y pilotos: </w:t>
      </w:r>
      <w:r>
        <w:rPr>
          <w:rFonts w:ascii="Aptos" w:hAnsi="Aptos"/>
          <w:color w:val="1F2937"/>
          <w:sz w:val="21"/>
        </w:rPr>
        <w:t>La cesión de suelo municipal permanece declarada como convenio en negociación hasta su firma. El Gate G1: 20–30 prospectos → 5–10 interlocutores cooperativos → 2–4 pilotos iniciales → ≥5 clientes o pilotos remunerados; la cartera objetivo de ≥25 clientes es la meta de escalado posterior.</w:t>
      </w:r>
    </w:p>
    <w:p>
      <w:pPr/>
      <w:r>
        <w:rPr>
          <w:rFonts w:ascii="Aptos" w:hAnsi="Aptos"/>
          <w:b/>
          <w:color w:val="1F2937"/>
          <w:sz w:val="21"/>
        </w:rPr>
        <w:t xml:space="preserve">Comercialización y CAC: </w:t>
      </w:r>
      <w:r>
        <w:rPr>
          <w:rFonts w:ascii="Aptos" w:hAnsi="Aptos"/>
          <w:color w:val="1F2937"/>
          <w:sz w:val="21"/>
        </w:rPr>
        <w:t>La captación se apoya en cooperativas, comunidades de regantes, GAL y oficinas comarcales. El presupuesto comercial incluye marketing, movilidad y comisiones de prescripción; estas últimas se registran como coste variable y no se ocultan dentro del margen bruto.</w:t>
      </w:r>
    </w:p>
    <w:p>
      <w:pPr/>
      <w:r>
        <w:rPr>
          <w:rFonts w:ascii="Aptos" w:hAnsi="Aptos"/>
          <w:b/>
          <w:color w:val="1F2937"/>
          <w:sz w:val="21"/>
        </w:rPr>
        <w:t xml:space="preserve">Financiación y liquidez: </w:t>
      </w:r>
      <w:r>
        <w:rPr>
          <w:rFonts w:ascii="Aptos" w:hAnsi="Aptos"/>
          <w:color w:val="1F2937"/>
          <w:sz w:val="21"/>
        </w:rPr>
        <w:t>La caja propia inicial es 0 €. Los 180.000 € son necesidad de financiación central pendiente de captación. En el Excel se presentan como escenario de financiación para poder cerrar el modelo y someterlo a prueba; no constituyen dinero cobrado ni aportación propia.</w:t>
      </w:r>
    </w:p>
    <w:p>
      <w:pPr/>
      <w:r>
        <w:rPr>
          <w:rFonts w:ascii="Aptos" w:hAnsi="Aptos"/>
          <w:b/>
          <w:color w:val="1F2937"/>
          <w:sz w:val="21"/>
        </w:rPr>
        <w:t xml:space="preserve">Personal y promotor: </w:t>
      </w:r>
      <w:r>
        <w:rPr>
          <w:rFonts w:ascii="Aptos" w:hAnsi="Aptos"/>
          <w:color w:val="1F2937"/>
          <w:sz w:val="21"/>
        </w:rPr>
        <w:t>Se incorpora una retribución de promotor de 30.000 € brutos anuales y una cuota RETA presupuestada de 4.800 € anuales, junto con un técnico de software y apoyo parcial de campo/comercial.</w:t>
      </w:r>
    </w:p>
    <w:p>
      <w:pPr/>
      <w:r>
        <w:rPr>
          <w:rFonts w:ascii="Aptos" w:hAnsi="Aptos"/>
          <w:b/>
          <w:color w:val="1F2937"/>
          <w:sz w:val="21"/>
        </w:rPr>
        <w:t xml:space="preserve">Margen y CAPEX futuro: </w:t>
      </w:r>
      <w:r>
        <w:rPr>
          <w:rFonts w:ascii="Aptos" w:hAnsi="Aptos"/>
          <w:color w:val="1F2937"/>
          <w:sz w:val="21"/>
        </w:rPr>
        <w:t>El escenario del Excel incorpora costes directos de cloud, pasarela, sensórica, mantenimiento y prescripción. El margen bruto objetivo se sitúa aproximadamente en el 72,9 %. Los CAPEX futuros de 5,14 / 6,26 / 7,46 M€ permanecen fuera de la cuenta de resultados de la Fase 1 y se activarán con financiación, amortización y carga financiera propias cuando se aprueben.</w:t>
      </w:r>
    </w:p>
    <w:p>
      <w:pPr/>
      <w:r>
        <w:rPr>
          <w:rFonts w:ascii="Aptos" w:hAnsi="Aptos"/>
          <w:b/>
          <w:color w:val="1F2937"/>
          <w:sz w:val="21"/>
        </w:rPr>
        <w:t xml:space="preserve">Balance e impresión: </w:t>
      </w:r>
      <w:r>
        <w:rPr>
          <w:rFonts w:ascii="Aptos" w:hAnsi="Aptos"/>
          <w:color w:val="1F2937"/>
          <w:sz w:val="21"/>
        </w:rPr>
        <w:t>El Balance del Excel queda formulado con igualdad Activo = Patrimonio Neto y Pasivo en el escenario financiero. Cada hoja mantiene su tabla en una única página de impresión, con área de impresión explícita y ajuste a una página de ancho y alto.</w:t>
      </w:r>
    </w:p>
    <w:p>
      <w:r>
        <w:rPr>
          <w:rFonts w:ascii="Aptos" w:hAnsi="Aptos"/>
          <w:color w:val="1F2937"/>
          <w:sz w:val="21"/>
        </w:rPr>
        <w:t>Versión corregida: 21 de agosto de 2026. Las hipótesis sujetas a firma, concesión o desembolso conservan expresamente ese estado y no se presentan como hechos consumados.</w:t>
      </w:r>
    </w:p>
    <w:p>
      <w:r>
        <w:rPr>
          <w:rFonts w:ascii="Aptos" w:hAnsi="Aptos"/>
          <w:color w:val="1F2937"/>
          <w:sz w:val="21"/>
        </w:rPr>
      </w:r>
    </w:p>
    <w:p>
      <w:pPr>
        <w:pStyle w:val="2"/>
      </w:pPr>
      <w:r>
        <w:rPr>
          <w:rFonts w:ascii="Aptos Display" w:hAnsi="Aptos Display"/>
          <w:b/>
          <w:color w:val="174A2E"/>
          <w:sz w:val="21"/>
        </w:rPr>
        <w:t>VERSIÓN RECONCILIADA — ALCANCE Y EVIDENCIA</w:t>
      </w:r>
    </w:p>
    <w:p>
      <w:r>
        <w:rPr>
          <w:rFonts w:ascii="Aptos" w:hAnsi="Aptos"/>
          <w:b/>
          <w:color w:val="1F2937"/>
          <w:sz w:val="21"/>
        </w:rPr>
        <w:t xml:space="preserve">Base financiera única. </w:t>
      </w:r>
      <w:r>
        <w:rPr>
          <w:rFonts w:ascii="Aptos" w:hAnsi="Aptos"/>
          <w:color w:val="1F2937"/>
          <w:sz w:val="21"/>
        </w:rPr>
        <w:t>El Excel oficial y esta memoria utilizan el escenario base prudente del Año 1: ingresos de 39.500 € sin IVA, costes directos de 27,1 %, margen bruto aproximado de 72,9 %, personal escalonado de 52.566,67 € y caja propia inicial de 0 €. La Fase 1 mantiene la envolvente de 165.000 € prudente, 180.000 € central y 195.000 € techo; los 180.000 € centrales son necesidad de financiación a captar y no caja cobrada.</w:t>
      </w:r>
    </w:p>
    <w:p>
      <w:r>
        <w:rPr>
          <w:rFonts w:ascii="Aptos" w:hAnsi="Aptos"/>
          <w:b/>
          <w:color w:val="1F2937"/>
          <w:sz w:val="21"/>
        </w:rPr>
        <w:t xml:space="preserve">Caja y balance. </w:t>
      </w:r>
      <w:r>
        <w:rPr>
          <w:rFonts w:ascii="Aptos" w:hAnsi="Aptos"/>
          <w:color w:val="1F2937"/>
          <w:sz w:val="21"/>
        </w:rPr>
        <w:t>La situación documental mantiene financiación cobrada = 0 € y caja propia inicial = 0 €. El Excel oficial se presenta, de forma separada y rotulada, como escenario proforma condicionado a concesión y desembolso de 180.000 €; no representa dinero cobrado en la situación actual. El balance proforma puede cerrar matemáticamente con control de diferencia 0,00 €, pero las partidas documentales o condicionadas no se presentan como aportación propia, ayuda concedida, deuda desembolsada o activo disponible.</w:t>
      </w:r>
    </w:p>
    <w:p>
      <w:r>
        <w:rPr>
          <w:rFonts w:ascii="Aptos" w:hAnsi="Aptos"/>
          <w:b/>
          <w:color w:val="1F2937"/>
          <w:sz w:val="21"/>
        </w:rPr>
        <w:t xml:space="preserve">LOI institucional. </w:t>
      </w:r>
      <w:r>
        <w:rPr>
          <w:rFonts w:ascii="Aptos" w:hAnsi="Aptos"/>
          <w:color w:val="1F2937"/>
          <w:sz w:val="21"/>
        </w:rPr>
        <w:t>La disponibilidad de suelo y la implantación territorial se encuentran en proceso de negociación con el Ayuntamiento de Membrío y la Mancomunidad Sierra de San Pedro. No se declara convenio firmado, cesión perfeccionada ni disponibilidad jurídica garantizada. La formalización se mantiene como requisito del Gate G1.</w:t>
      </w:r>
    </w:p>
    <w:p>
      <w:r>
        <w:rPr>
          <w:rFonts w:ascii="Aptos" w:hAnsi="Aptos"/>
          <w:b/>
          <w:color w:val="1F2937"/>
          <w:sz w:val="21"/>
        </w:rPr>
        <w:t xml:space="preserve">Tracción comercial. </w:t>
      </w:r>
      <w:r>
        <w:rPr>
          <w:rFonts w:ascii="Aptos" w:hAnsi="Aptos"/>
          <w:color w:val="1F2937"/>
          <w:sz w:val="21"/>
        </w:rPr>
        <w:t>Las colaboraciones ganaderas y contactos institucionales se distinguen de clientes de pago. El Gate G1 mantiene como objetivo ≥5 clientes o pilotos remunerados; la cartera objetivo de ≥25 clientes corresponde al escalado posterior; no se presentan como conseguidos mientras no exista contrato, factura o compromiso documental verificable.</w:t>
      </w:r>
    </w:p>
    <w:p>
      <w:r>
        <w:rPr>
          <w:rFonts w:ascii="Aptos" w:hAnsi="Aptos"/>
          <w:b/>
          <w:color w:val="1F2937"/>
          <w:sz w:val="21"/>
        </w:rPr>
        <w:t xml:space="preserve">Evolución técnica pública. </w:t>
      </w:r>
      <w:r>
        <w:rPr>
          <w:rFonts w:ascii="Aptos" w:hAnsi="Aptos"/>
          <w:color w:val="1F2937"/>
          <w:sz w:val="21"/>
        </w:rPr>
        <w:t>La actividad pública de Traky12 en GitHub se incorpora como evidencia de desarrollo y documentación, no como prueba de clientes, ventas, facturación, certificación o validación externa. El snapshot público consultado el 21/08/2026 recoge, entre otros, Cast-o, castuo-agro-edge, castuo-offline-field-operations, castuo-e3-001 y el perfil público Traky12, con descripciones y actualizaciones visibles en sus repositorios.</w:t>
      </w:r>
    </w:p>
    <w:p>
      <w:r>
        <w:rPr>
          <w:rFonts w:ascii="Aptos" w:hAnsi="Aptos"/>
          <w:b/>
          <w:color w:val="1F2937"/>
          <w:sz w:val="21"/>
        </w:rPr>
        <w:t xml:space="preserve">Limitación de evidencia. </w:t>
      </w:r>
      <w:r>
        <w:rPr>
          <w:rFonts w:ascii="Aptos" w:hAnsi="Aptos"/>
          <w:color w:val="1F2937"/>
          <w:sz w:val="21"/>
        </w:rPr>
        <w:t>Los repositorios privados, las candidaturas a incubadoras, los contactos, las cartas de interés y las negociaciones institucionales solo se describen con el estado que puede acreditarse. Toda capacidad futura se mantiene condicionada a pruebas, contratos, permisos, financiación y Gates.</w:t>
      </w:r>
    </w:p>
    <w:p>
      <w:pPr>
        <w:pStyle w:val="4"/>
      </w:pPr>
      <w:r>
        <w:rPr>
          <w:rFonts w:ascii="Aptos Display" w:hAnsi="Aptos Display"/>
          <w:b/>
          <w:color w:val="174A2E"/>
          <w:sz w:val="21"/>
        </w:rPr>
        <w:t>Evidencia pública GitHub consultada</w:t>
      </w:r>
    </w:p>
    <w:p>
      <w:r>
        <w:rPr>
          <w:rFonts w:ascii="Aptos" w:hAnsi="Aptos"/>
          <w:b/>
          <w:color w:val="1F2937"/>
          <w:sz w:val="21"/>
        </w:rPr>
        <w:t xml:space="preserve">Cast-o: </w:t>
      </w:r>
      <w:r>
        <w:rPr>
          <w:rFonts w:ascii="Aptos" w:hAnsi="Aptos"/>
          <w:color w:val="1F2937"/>
          <w:sz w:val="21"/>
        </w:rPr>
        <w:t>https://github.com/Traky12/Cast-o</w:t>
      </w:r>
    </w:p>
    <w:p>
      <w:r>
        <w:rPr>
          <w:rFonts w:ascii="Aptos" w:hAnsi="Aptos"/>
          <w:b/>
          <w:color w:val="1F2937"/>
          <w:sz w:val="21"/>
        </w:rPr>
        <w:t xml:space="preserve">castuo-agro-edge: </w:t>
      </w:r>
      <w:r>
        <w:rPr>
          <w:rFonts w:ascii="Aptos" w:hAnsi="Aptos"/>
          <w:color w:val="1F2937"/>
          <w:sz w:val="21"/>
        </w:rPr>
        <w:t>https://github.com/Traky12/castuo-agro-edge</w:t>
      </w:r>
    </w:p>
    <w:p>
      <w:r>
        <w:rPr>
          <w:rFonts w:ascii="Aptos" w:hAnsi="Aptos"/>
          <w:b/>
          <w:color w:val="1F2937"/>
          <w:sz w:val="21"/>
        </w:rPr>
        <w:t xml:space="preserve">castuo-offline-field-operations: </w:t>
      </w:r>
      <w:r>
        <w:rPr>
          <w:rFonts w:ascii="Aptos" w:hAnsi="Aptos"/>
          <w:color w:val="1F2937"/>
          <w:sz w:val="21"/>
        </w:rPr>
        <w:t>https://github.com/Traky12/castuo-offline-field-operations</w:t>
      </w:r>
    </w:p>
    <w:p>
      <w:r>
        <w:rPr>
          <w:rFonts w:ascii="Aptos" w:hAnsi="Aptos"/>
          <w:b/>
          <w:color w:val="1F2937"/>
          <w:sz w:val="21"/>
        </w:rPr>
        <w:t xml:space="preserve">castuo-e3-001: </w:t>
      </w:r>
      <w:r>
        <w:rPr>
          <w:rFonts w:ascii="Aptos" w:hAnsi="Aptos"/>
          <w:color w:val="1F2937"/>
          <w:sz w:val="21"/>
        </w:rPr>
        <w:t>https://github.com/Traky12/castuo-e3-001</w:t>
      </w:r>
    </w:p>
    <w:p>
      <w:r>
        <w:rPr>
          <w:rFonts w:ascii="Aptos" w:hAnsi="Aptos"/>
          <w:b/>
          <w:color w:val="1F2937"/>
          <w:sz w:val="21"/>
        </w:rPr>
        <w:t xml:space="preserve">Traky12: </w:t>
      </w:r>
      <w:r>
        <w:rPr>
          <w:rFonts w:ascii="Aptos" w:hAnsi="Aptos"/>
          <w:color w:val="1F2937"/>
          <w:sz w:val="21"/>
        </w:rPr>
        <w:t>https://github.com/Traky12/Traky12</w:t>
      </w:r>
    </w:p>
    <w:p>
      <w:r>
        <w:rPr>
          <w:rFonts w:ascii="Aptos" w:hAnsi="Aptos"/>
          <w:color w:val="1F2937"/>
          <w:sz w:val="21"/>
        </w:rPr>
      </w:r>
    </w:p>
    <w:p>
      <w:pPr>
        <w:pStyle w:val="2"/>
      </w:pPr>
      <w:r>
        <w:rPr>
          <w:rFonts w:ascii="Aptos Display" w:hAnsi="Aptos Display"/>
          <w:b/>
          <w:color w:val="174A2E"/>
          <w:sz w:val="21"/>
        </w:rPr>
        <w:t>MATRIZ FINAL DE RECOMENDACIONES APLICADAS</w:t>
      </w:r>
    </w:p>
    <w:p>
      <w:r>
        <w:rPr>
          <w:rFonts w:ascii="Aptos" w:hAnsi="Aptos"/>
          <w:color w:val="1F2937"/>
          <w:sz w:val="21"/>
        </w:rPr>
        <w:t>La siguiente matriz identifica qué se ha corregido en el documento y qué evidencia externa debe aportarse para que una recomendación pueda considerarse materialmente cumplida. Ninguna negociación, solicitud, LOI, piloto o financiación se presenta como hecho consumado sin soporte documental.</w:t>
      </w:r>
    </w:p>
    <w:p>
      <w:r>
        <w:rPr>
          <w:rFonts w:ascii="Aptos" w:hAnsi="Aptos"/>
          <w:b/>
          <w:color w:val="1F2937"/>
          <w:sz w:val="21"/>
        </w:rPr>
        <w:t xml:space="preserve">Secuenciación F1 — Aplicada. </w:t>
      </w:r>
      <w:r>
        <w:rPr>
          <w:rFonts w:ascii="Aptos" w:hAnsi="Aptos"/>
          <w:color w:val="1F2937"/>
          <w:sz w:val="21"/>
        </w:rPr>
        <w:t>F1 limitada a SaaS, IoT/edge, evidencia, pilotos y ensayos; Plano C bloqueado por Gates.</w:t>
      </w:r>
    </w:p>
    <w:p>
      <w:r>
        <w:rPr>
          <w:rFonts w:ascii="Aptos" w:hAnsi="Aptos"/>
          <w:b/>
          <w:color w:val="1F2937"/>
          <w:sz w:val="21"/>
        </w:rPr>
        <w:t xml:space="preserve">Suelo y LOI — Aplicada como estado documental. </w:t>
      </w:r>
      <w:r>
        <w:rPr>
          <w:rFonts w:ascii="Aptos" w:hAnsi="Aptos"/>
          <w:color w:val="1F2937"/>
          <w:sz w:val="21"/>
        </w:rPr>
        <w:t>Negociación con Ayuntamiento de Membrío y Mancomunidad Sierra de San Pedro; convenio pendiente de firma y Gate G1.</w:t>
      </w:r>
    </w:p>
    <w:p>
      <w:r>
        <w:rPr>
          <w:rFonts w:ascii="Aptos" w:hAnsi="Aptos"/>
          <w:b/>
          <w:color w:val="1F2937"/>
          <w:sz w:val="21"/>
        </w:rPr>
        <w:t xml:space="preserve">25 clientes / 5 pilotos — Aplicada como objetivo verificable. </w:t>
      </w:r>
      <w:r>
        <w:rPr>
          <w:rFonts w:ascii="Aptos" w:hAnsi="Aptos"/>
          <w:color w:val="1F2937"/>
          <w:sz w:val="21"/>
        </w:rPr>
        <w:t>Embudo, LOI y pilotos remunerados definidos; falta incorporar contratos/facturas cuando existan.</w:t>
      </w:r>
    </w:p>
    <w:p>
      <w:r>
        <w:rPr>
          <w:rFonts w:ascii="Aptos" w:hAnsi="Aptos"/>
          <w:b/>
          <w:color w:val="1F2937"/>
          <w:sz w:val="21"/>
        </w:rPr>
        <w:t xml:space="preserve">SIEX, xFarm y Agroptima — Aplicada. </w:t>
      </w:r>
      <w:r>
        <w:rPr>
          <w:rFonts w:ascii="Aptos" w:hAnsi="Aptos"/>
          <w:color w:val="1F2937"/>
          <w:sz w:val="21"/>
        </w:rPr>
        <w:t>Diferenciación por acompañamiento presencial, integración agroenergética y control de datos; sin descalificar soluciones competidoras.</w:t>
      </w:r>
    </w:p>
    <w:p>
      <w:r>
        <w:rPr>
          <w:rFonts w:ascii="Aptos" w:hAnsi="Aptos"/>
          <w:b/>
          <w:color w:val="1F2937"/>
          <w:sz w:val="21"/>
        </w:rPr>
        <w:t xml:space="preserve">CAC y prescripción — Aplicada. </w:t>
      </w:r>
      <w:r>
        <w:rPr>
          <w:rFonts w:ascii="Aptos" w:hAnsi="Aptos"/>
          <w:color w:val="1F2937"/>
          <w:sz w:val="21"/>
        </w:rPr>
        <w:t>Marketing 4.000 €, comisiones 1.600 €, movilidad 1.200 €; fórmula CAC = costes comerciales / clientes activados.</w:t>
      </w:r>
    </w:p>
    <w:p>
      <w:r>
        <w:rPr>
          <w:rFonts w:ascii="Aptos" w:hAnsi="Aptos"/>
          <w:b/>
          <w:color w:val="1F2937"/>
          <w:sz w:val="21"/>
        </w:rPr>
        <w:t xml:space="preserve">FoodLab, Degreen Plus y Con Valores — Aplicada como estado. </w:t>
      </w:r>
      <w:r>
        <w:rPr>
          <w:rFonts w:ascii="Aptos" w:hAnsi="Aptos"/>
          <w:color w:val="1F2937"/>
          <w:sz w:val="21"/>
        </w:rPr>
        <w:t>Se describen como candidatura/tramitación únicamente cuando no existe resolución o aceptación documental.</w:t>
      </w:r>
    </w:p>
    <w:p>
      <w:r>
        <w:rPr>
          <w:rFonts w:ascii="Aptos" w:hAnsi="Aptos"/>
          <w:b/>
          <w:color w:val="1F2937"/>
          <w:sz w:val="21"/>
        </w:rPr>
        <w:t xml:space="preserve">Balance — Aplicada. </w:t>
      </w:r>
      <w:r>
        <w:rPr>
          <w:rFonts w:ascii="Aptos" w:hAnsi="Aptos"/>
          <w:color w:val="1F2937"/>
          <w:sz w:val="21"/>
        </w:rPr>
        <w:t>Balance proforma oficial cerrado con control 0,00 €; financiación condicionada separada de caja propia.</w:t>
      </w:r>
    </w:p>
    <w:p>
      <w:r>
        <w:rPr>
          <w:rFonts w:ascii="Aptos" w:hAnsi="Aptos"/>
          <w:b/>
          <w:color w:val="1F2937"/>
          <w:sz w:val="21"/>
        </w:rPr>
        <w:t xml:space="preserve">Liquidez — Aplicada. </w:t>
      </w:r>
      <w:r>
        <w:rPr>
          <w:rFonts w:ascii="Aptos" w:hAnsi="Aptos"/>
          <w:color w:val="1F2937"/>
          <w:sz w:val="21"/>
        </w:rPr>
        <w:t>Caja real 0 €; póliza/préstamo de emprendimiento planteado como mecanismo sujeto a concesión y desembolso.</w:t>
      </w:r>
    </w:p>
    <w:p>
      <w:r>
        <w:rPr>
          <w:rFonts w:ascii="Aptos" w:hAnsi="Aptos"/>
          <w:b/>
          <w:color w:val="1F2937"/>
          <w:sz w:val="21"/>
        </w:rPr>
        <w:t xml:space="preserve">CAPEX futuro — Aplicada como control condicionado. </w:t>
      </w:r>
      <w:r>
        <w:rPr>
          <w:rFonts w:ascii="Aptos" w:hAnsi="Aptos"/>
          <w:color w:val="1F2937"/>
          <w:sz w:val="21"/>
        </w:rPr>
        <w:t>CAPEX de Plano C incorporado en el Excel como referencia bloqueada a 0 hasta Gate; activación futura exige amortización, financiación y carga financiera.</w:t>
      </w:r>
    </w:p>
    <w:p>
      <w:r>
        <w:rPr>
          <w:rFonts w:ascii="Aptos" w:hAnsi="Aptos"/>
          <w:b/>
          <w:color w:val="1F2937"/>
          <w:sz w:val="21"/>
        </w:rPr>
        <w:t xml:space="preserve">Margen bruto — Aplicada. </w:t>
      </w:r>
      <w:r>
        <w:rPr>
          <w:rFonts w:ascii="Aptos" w:hAnsi="Aptos"/>
          <w:color w:val="1F2937"/>
          <w:sz w:val="21"/>
        </w:rPr>
        <w:t>27,1 % de costes directos; 72,9 % de margen; incluye cloud, pasarela, sensórica y mantenimiento.</w:t>
      </w:r>
    </w:p>
    <w:p>
      <w:r>
        <w:rPr>
          <w:rFonts w:ascii="Aptos" w:hAnsi="Aptos"/>
          <w:b/>
          <w:color w:val="1F2937"/>
          <w:sz w:val="21"/>
        </w:rPr>
        <w:t xml:space="preserve">Promotor y RETA — Aplicada. </w:t>
      </w:r>
      <w:r>
        <w:rPr>
          <w:rFonts w:ascii="Aptos" w:hAnsi="Aptos"/>
          <w:color w:val="1F2937"/>
          <w:sz w:val="21"/>
        </w:rPr>
        <w:t>30.000 € brutos y RETA presupuestado, sin doble contabilización.</w:t>
      </w:r>
    </w:p>
    <w:p>
      <w:r>
        <w:rPr>
          <w:rFonts w:ascii="Aptos" w:hAnsi="Aptos"/>
          <w:b/>
          <w:color w:val="1F2937"/>
          <w:sz w:val="21"/>
        </w:rPr>
        <w:t xml:space="preserve">Persona clave y empleo — Aplicada como plan. </w:t>
      </w:r>
      <w:r>
        <w:rPr>
          <w:rFonts w:ascii="Aptos" w:hAnsi="Aptos"/>
          <w:color w:val="1F2937"/>
          <w:sz w:val="21"/>
        </w:rPr>
        <w:t>Software se activa antes del campo; documentación, CI/CD y arquitectura modular; empleo local 6–10 FTE condicionado a fases.</w:t>
      </w:r>
    </w:p>
    <w:p>
      <w:r>
        <w:rPr>
          <w:rFonts w:ascii="Aptos" w:hAnsi="Aptos"/>
          <w:b/>
          <w:color w:val="1F2937"/>
          <w:sz w:val="21"/>
        </w:rPr>
        <w:t xml:space="preserve">GitHub / Traky12 — Aplicada con alcance probatorio. </w:t>
      </w:r>
      <w:r>
        <w:rPr>
          <w:rFonts w:ascii="Aptos" w:hAnsi="Aptos"/>
          <w:color w:val="1F2937"/>
          <w:sz w:val="21"/>
        </w:rPr>
        <w:t>Repositorios públicos enlazados como evidencia de desarrollo; no equivalen a clientes, ventas, certificaciones ni validación externa.</w:t>
      </w:r>
    </w:p>
    <w:p>
      <w:r>
        <w:rPr>
          <w:rFonts w:ascii="Aptos" w:hAnsi="Aptos"/>
          <w:b/>
          <w:color w:val="1F2937"/>
          <w:sz w:val="21"/>
        </w:rPr>
        <w:t xml:space="preserve">Maquetación — Aplicada. </w:t>
      </w:r>
      <w:r>
        <w:rPr>
          <w:rFonts w:ascii="Aptos" w:hAnsi="Aptos"/>
          <w:color w:val="1F2937"/>
          <w:sz w:val="21"/>
        </w:rPr>
        <w:t>Tipografía Aptos, color corporativo verde, logo oficial, tablas ajustadas y áreas de impresión controladas.</w:t>
      </w:r>
    </w:p>
    <w:p>
      <w:pPr>
        <w:pStyle w:val="4"/>
      </w:pPr>
      <w:r>
        <w:rPr>
          <w:rFonts w:ascii="Aptos Display" w:hAnsi="Aptos Display"/>
          <w:b/>
          <w:color w:val="174A2E"/>
          <w:sz w:val="21"/>
        </w:rPr>
        <w:t>Comparativa competitiva resumida</w:t>
      </w:r>
    </w:p>
    <w:p>
      <w:r>
        <w:rPr>
          <w:rFonts w:ascii="Aptos" w:hAnsi="Aptos"/>
          <w:color w:val="1F2937"/>
          <w:sz w:val="21"/>
        </w:rPr>
        <w:t>CASTÚO-SYSTEM™ no se presenta como sustituto universal. SIEX aporta cumplimiento administrativo; xFarm y Agroptima ofrecen herramientas agtech consolidadas. La propuesta de CASTÚO-SYSTEM™ se diferencia por combinar acompañamiento presencial comarcal, integración agroenergética, propiedad operativa de las telemetrías, arquitectura offline/edge y evidencia verificable. La disposición a pagar de 250–350 €/mes se mantiene como hipótesis comercial a validar mediante pilotos remunerados.</w:t>
      </w:r>
    </w:p>
    <w:p>
      <w:pPr>
        <w:pStyle w:val="4"/>
      </w:pPr>
      <w:r>
        <w:rPr>
          <w:rFonts w:ascii="Aptos Display" w:hAnsi="Aptos Display"/>
          <w:b/>
          <w:color w:val="174A2E"/>
          <w:sz w:val="21"/>
        </w:rPr>
        <w:t>Control de estilo y color</w:t>
      </w:r>
    </w:p>
    <w:p>
      <w:r>
        <w:rPr>
          <w:rFonts w:ascii="Aptos" w:hAnsi="Aptos"/>
          <w:color w:val="1F2937"/>
          <w:sz w:val="21"/>
        </w:rPr>
        <w:t>La versión final utiliza una jerarquía tipográfica homogénea: Aptos para cuerpo, Aptos Display para títulos, verde corporativo oscuro para encabezados y gris grafito para notas. El logotipo oficial se mantiene en portada. El Excel utiliza la misma lógica cromática, con encabezados verdes, notas en verde claro y controles de cierre visibles.</w:t>
      </w:r>
    </w:p>
    <w:p>
      <w:r>
        <w:br w:type="page"/>
      </w:r>
    </w:p>
    <w:p>
      <w:pPr>
        <w:pStyle w:val="2"/>
      </w:pPr>
      <w:r>
        <w:t>ANEXO DE DEFENSA ESCRITA Y ORAL · V5.6</w:t>
      </w:r>
    </w:p>
    <w:p>
      <w:r>
        <w:t>Este anexo convierte las recomendaciones del informe técnico en mensajes defendibles. Su función es ayudar a responder con precisión, diferenciando hechos, hipótesis, objetivos y evidencias pendientes.</w:t>
      </w:r>
    </w:p>
    <w:p>
      <w:r>
        <w:rPr>
          <w:b/>
        </w:rPr>
        <w:t xml:space="preserve">1. ¿Qué se está solicitando? </w:t>
      </w:r>
      <w:r>
        <w:t>Se solicita apoyo para una Fase 1 acotada de consolidación SaaS, edge/offline, trazabilidad, pilotos y validación territorial. No se presenta la infraestructura física completa como gasto inmediato.</w:t>
      </w:r>
    </w:p>
    <w:p>
      <w:r>
        <w:rPr>
          <w:b/>
        </w:rPr>
        <w:t xml:space="preserve">2. ¿Por qué no se ejecuta todo a la vez? </w:t>
      </w:r>
      <w:r>
        <w:t>Porque un único promotor no debe dispersar recursos entre software, IoT, terracota, energía y obra. La secuencia propuesta protege la caja, prioriza aprendizaje y exige Gates antes de cada ampliación.</w:t>
      </w:r>
    </w:p>
    <w:p>
      <w:r>
        <w:rPr>
          <w:b/>
        </w:rPr>
        <w:t xml:space="preserve">3. ¿Qué es real y qué está pendiente? </w:t>
      </w:r>
      <w:r>
        <w:t>Es real la actividad técnica documentada en repositorios públicos y la existencia del plan financiero. Están pendientes de evidencia externa los contratos, pilotos remunerados, financiación, ayudas, convenio de suelo, permisos y certificaciones.</w:t>
      </w:r>
    </w:p>
    <w:p>
      <w:r>
        <w:rPr>
          <w:b/>
        </w:rPr>
        <w:t xml:space="preserve">4. ¿Cómo se llega al territorio? </w:t>
      </w:r>
      <w:r>
        <w:t>A través de cooperativas, comunidades de regantes, asociaciones ganaderas, GAL y oficinas comarcales, combinando demostración pedagógica, prescripción y acompañamiento presencial. Las LOI y los pilotos se consideran objetivos hasta que exista documento firmado.</w:t>
      </w:r>
    </w:p>
    <w:p>
      <w:r>
        <w:rPr>
          <w:b/>
        </w:rPr>
        <w:t xml:space="preserve">5. ¿Cómo se justifica el precio? </w:t>
      </w:r>
      <w:r>
        <w:t>La cuota de 250–350 €/mes es una hipótesis de disposición a pagar que se validará con pilotos. El valor propuesto combina cuaderno digital, continuidad offline, telemetría bajo control operativo del usuario, acompañamiento y optimización agroenergética.</w:t>
      </w:r>
    </w:p>
    <w:p>
      <w:r>
        <w:rPr>
          <w:b/>
        </w:rPr>
        <w:t xml:space="preserve">6. ¿Cómo se gestiona la liquidez? </w:t>
      </w:r>
      <w:r>
        <w:t>La caja propia inicial es 0 €. La financiación central de 180.000 € está pendiente. El Excel ofrece un escenario proforma condicionado a concesión y desembolso; no se presenta como dinero cobrado.</w:t>
      </w:r>
    </w:p>
    <w:p>
      <w:r>
        <w:rPr>
          <w:b/>
        </w:rPr>
        <w:t xml:space="preserve">7. ¿Qué ocurre si no llega la financiación? </w:t>
      </w:r>
      <w:r>
        <w:t>Se mantiene el núcleo digital mínimo, se priorizan pilotos y se bloquea el CAPEX físico. No se comprometen geotermia, invernadero, agrovoltaica ni BESS sin financiación, permisos y validación.</w:t>
      </w:r>
    </w:p>
    <w:p>
      <w:r>
        <w:rPr>
          <w:b/>
        </w:rPr>
        <w:t xml:space="preserve">8. ¿Cómo se reduce la dependencia del fundador? </w:t>
      </w:r>
      <w:r>
        <w:t>Se prioriza la contratación de software, se exige documentación, pruebas CI/CD, arquitectura modular, control de accesos y transferencia operativa. El empleo local crece solo con la validación de cada fase.</w:t>
      </w:r>
    </w:p>
    <w:p>
      <w:pPr>
        <w:pStyle w:val="4"/>
      </w:pPr>
      <w:r>
        <w:t>Mensajes de cierre para el tribunal</w:t>
      </w:r>
    </w:p>
    <w:p>
      <w:r>
        <w:t>CASTÚO-SYSTEM™ no pide que se valore como cierta una visión completa antes de probarla. Pide apoyo para medir, documentar y convertir un núcleo tecnológico en actividad empresarial verificable. La propuesta es prudente en la ejecución, ambiciosa en la visión y estricta en la evidencia.</w:t>
      </w:r>
    </w:p>
    <w:p>
      <w:r>
        <w:t>La regla de defensa es sencilla: no confundir repositorio con cliente, plan con ingreso, negociación con convenio, solicitud con ayuda concedida ni financiación prevista con caja disponible.</w:t>
      </w:r>
    </w:p>
    <w:p>
      <w:r>
        <w:br w:type="page"/>
      </w:r>
    </w:p>
    <w:p>
      <w:pPr>
        <w:pStyle w:val="2"/>
      </w:pPr>
      <w:r>
        <w:t>MATRIZ DE RECOMENDACIONES Y EVIDENCIA V5.6</w:t>
      </w:r>
    </w:p>
    <w:p>
      <w:r>
        <w:t>La versión 5.6 incorpora las recomendaciones aplicables al plan y al Excel. Las recomendaciones que requieren actuación de terceros quedan formuladas como requisitos de cumplimiento, no como hechos inventados.</w:t>
      </w:r>
    </w:p>
    <w:p>
      <w:r>
        <w:rPr>
          <w:b/>
        </w:rPr>
        <w:t xml:space="preserve">Secuenciación — </w:t>
      </w:r>
      <w:r>
        <w:t>Fase 1 limitada a núcleo digital, edge, evidencia y pilotos; Plano C condicionado a Gates.</w:t>
      </w:r>
    </w:p>
    <w:p>
      <w:r>
        <w:rPr>
          <w:b/>
        </w:rPr>
        <w:t xml:space="preserve">Instituciones — </w:t>
      </w:r>
      <w:r>
        <w:t>Negociación con Ayuntamiento de Membrío y Mancomunidad Sierra de San Pedro; no se afirma convenio firmado.</w:t>
      </w:r>
    </w:p>
    <w:p>
      <w:r>
        <w:rPr>
          <w:b/>
        </w:rPr>
        <w:t xml:space="preserve">Mercado y CAC — </w:t>
      </w:r>
      <w:r>
        <w:t>Prescripción comarcal, marketing, comisiones y movilidad con CAC definido como coste comercial dividido por clientes activados.</w:t>
      </w:r>
    </w:p>
    <w:p>
      <w:r>
        <w:rPr>
          <w:b/>
        </w:rPr>
        <w:t xml:space="preserve">Finanzas — </w:t>
      </w:r>
      <w:r>
        <w:t>Excel oficial con ventas 39.500 €, costes directos 27,1 %, margen 72,9 %, personal reconocido Año 1 de 52.566,67 € y balance proforma matemáticamente cuadrado.</w:t>
      </w:r>
    </w:p>
    <w:p>
      <w:r>
        <w:rPr>
          <w:b/>
        </w:rPr>
        <w:t xml:space="preserve">CAPEX — </w:t>
      </w:r>
      <w:r>
        <w:t>Plano C visible en el Excel con activación 0; al activarse deberán incorporarse amortización, financiación y carga financiera.</w:t>
      </w:r>
    </w:p>
    <w:p>
      <w:r>
        <w:rPr>
          <w:b/>
        </w:rPr>
        <w:t xml:space="preserve">GitHub — </w:t>
      </w:r>
      <w:r>
        <w:t>El perfil Traky12 documenta progreso técnico público y límites de evidencia; una PR protegida queda abierta para revisión.</w:t>
      </w:r>
    </w:p>
    <w:p>
      <w:r>
        <w:rPr>
          <w:b/>
        </w:rPr>
        <w:t xml:space="preserve">Identidad — </w:t>
      </w:r>
      <w:r>
        <w:t>Portada con referencia visual de Diputación de Cáceres, segunda página con logotipo oficial CASTÚO-SYSTEM™, tipografía y color homogéneos.</w:t>
      </w:r>
      <w:r>
        <w:rPr>
          <w:rFonts w:ascii="Aptos" w:hAnsi="Aptos"/>
          <w:color w:val="1F2937"/>
          <w:sz w:val="20"/>
        </w:rPr>
        <w:t xml:space="preserve"> La financiación solicitada convierte un activo tecnológico ya desarrollado en evidencia empresarial verificable: primero valida territorio, usuarios y resultados; después escala con prudencia, empleo y retorno potencial.</w:t>
      </w:r>
    </w:p>
    <w:p>
      <w:r>
        <w:br w:type="page"/>
      </w:r>
    </w:p>
    <w:p>
      <w:pPr>
        <w:pStyle w:val="2"/>
      </w:pPr>
      <w:r>
        <w:t>EVIDENCIA EXTERNA · TRANSFERENCIA TECNOLÓGICA, VALIDACIÓN Y EXPOSICIÓN INSTITUCIONAL</w:t>
      </w:r>
    </w:p>
    <w:p>
      <w:pPr>
        <w:spacing w:after="120"/>
      </w:pPr>
      <w:r>
        <w:t>Este bloque complementa el repositorio técnico y el Sistema de Evidencias Verificables (SEV). Las fuentes externas acreditan participación, tutorización, validación o difusión según cada caso; no sustituyen contratos, resultados financieros, clientes remunerados ni la verificación independiente de los Gates.</w:t>
      </w:r>
    </w:p>
    <w:p>
      <w:r>
        <w:rPr>
          <w:rFonts w:ascii="Aptos Display" w:hAnsi="Aptos Display"/>
          <w:b/>
          <w:color w:val="174A2E"/>
          <w:sz w:val="24"/>
        </w:rPr>
        <w:t>Evidencia externa de progreso</w:t>
      </w:r>
    </w:p>
    <w:p>
      <w:pPr>
        <w:spacing w:after="20"/>
        <w:ind w:left="360"/>
      </w:pPr>
      <w:r>
        <w:rPr>
          <w:rFonts w:ascii="Aptos" w:hAnsi="Aptos"/>
          <w:b/>
          <w:sz w:val="18"/>
        </w:rPr>
        <w:t xml:space="preserve">FOODLAB–CTAEX: </w:t>
      </w:r>
      <w:r>
        <w:t>participación en un programa de transferencia, acompañamiento técnico y contexto de validación agroalimentaria.</w:t>
      </w:r>
    </w:p>
    <w:p>
      <w:pPr>
        <w:spacing w:after="20"/>
        <w:ind w:left="360"/>
      </w:pPr>
      <w:r>
        <w:rPr>
          <w:rFonts w:ascii="Aptos" w:hAnsi="Aptos"/>
          <w:b/>
          <w:sz w:val="18"/>
        </w:rPr>
        <w:t xml:space="preserve">Extremadura Empresarial: </w:t>
      </w:r>
      <w:r>
        <w:t>difusión institucional del proyecto y referencia externa a su evolución a prototipo validado.</w:t>
      </w:r>
    </w:p>
    <w:p>
      <w:pPr>
        <w:spacing w:after="20"/>
        <w:ind w:left="360"/>
      </w:pPr>
      <w:r>
        <w:rPr>
          <w:rFonts w:ascii="Aptos" w:hAnsi="Aptos"/>
          <w:b/>
          <w:sz w:val="18"/>
        </w:rPr>
        <w:t xml:space="preserve">Junta de Extremadura: </w:t>
      </w:r>
      <w:r>
        <w:t>reconocimiento institucional regional de Castúo System dentro de los proyectos de FOODLAB.</w:t>
      </w:r>
    </w:p>
    <w:p>
      <w:pPr>
        <w:spacing w:after="20"/>
        <w:ind w:left="360"/>
      </w:pPr>
      <w:r>
        <w:rPr>
          <w:rFonts w:ascii="Aptos" w:hAnsi="Aptos"/>
          <w:b/>
          <w:sz w:val="18"/>
        </w:rPr>
        <w:t xml:space="preserve">GitHub / SEV: </w:t>
      </w:r>
      <w:r>
        <w:t>evidencia pública de ingeniería, evolución técnica y gobernanza de evidencias.</w:t>
      </w:r>
    </w:p>
    <w:p>
      <w:pPr>
        <w:spacing w:after="20"/>
        <w:ind w:left="360"/>
      </w:pPr>
      <w:r>
        <w:rPr>
          <w:rFonts w:ascii="Aptos" w:hAnsi="Aptos"/>
          <w:b/>
          <w:sz w:val="18"/>
        </w:rPr>
        <w:t xml:space="preserve">Clientes remunerados: </w:t>
      </w:r>
      <w:r>
        <w:t>validación comercial pendiente de contratos, facturas o cobros verificables.</w:t>
      </w:r>
    </w:p>
    <w:p>
      <w:pPr>
        <w:spacing w:before="100"/>
      </w:pPr>
      <w:r>
        <w:t>Lectura correcta: la evidencia externa demuestra actividad, transferencia tecnológica, validación externa o exposición pública según la fuente. No demuestra por sí sola inversión, financiación desembolsada, clientes, facturación, recurrencia, certificación ni superación de Gates pendientes.</w:t>
      </w:r>
    </w:p>
    <w:p>
      <w:pPr>
        <w:pStyle w:val="4"/>
      </w:pPr>
      <w:r>
        <w:t>1. Validación técnica mediante FOODLAB–CTAEX</w:t>
      </w:r>
    </w:p>
    <w:p>
      <w:r>
        <w:t>CTAEX presenta FOODLAB como un hub para crear, validar y escalar productos agroalimentarios, con infraestructuras, metodologías, mentorización y red empresarial. La memoria usa esta fuente como evidencia de transferencia y contexto de validación; no la convierte en prueba de ventas o contratos de CASTÚO-SYSTEM™.</w:t>
      </w:r>
    </w:p>
    <w:p>
      <w:pPr>
        <w:spacing w:after="80"/>
        <w:ind w:left="360"/>
      </w:pPr>
      <w:r>
        <w:t xml:space="preserve">CTAEX / FOODLAB: </w:t>
      </w:r>
      <w:hyperlink r:id="rId12">
        <w:r>
          <w:rPr>
            <w:color w:val="0563C1"/>
            <w:u w:val="single"/>
          </w:rPr>
          <w:t>abrir fuente</w:t>
        </w:r>
      </w:hyperlink>
    </w:p>
    <w:p>
      <w:pPr>
        <w:pStyle w:val="4"/>
      </w:pPr>
      <w:r>
        <w:t>2. Difusión institucional regional</w:t>
      </w:r>
    </w:p>
    <w:p>
      <w:r>
        <w:t>Extremadura Empresarial identifica a Castúo System como proyecto participante de la primera edición de FoodLab y describe su sistema de gestión, monitorización y trazabilidad agrícola. También recoge su evolución a prototipo validado preparado para continuar su escalado y optimización. Se cita como difusión institucional externa y referencia de prototipo, no como validación financiera o comercial.</w:t>
      </w:r>
    </w:p>
    <w:p>
      <w:pPr>
        <w:spacing w:after="80"/>
        <w:ind w:left="360"/>
      </w:pPr>
      <w:r>
        <w:t xml:space="preserve">Extremadura Empresarial: </w:t>
      </w:r>
      <w:hyperlink r:id="rId13">
        <w:r>
          <w:rPr>
            <w:color w:val="0563C1"/>
            <w:u w:val="single"/>
          </w:rPr>
          <w:t>abrir fuente</w:t>
        </w:r>
      </w:hyperlink>
    </w:p>
    <w:p>
      <w:pPr>
        <w:pStyle w:val="4"/>
      </w:pPr>
      <w:r>
        <w:t>3. Reconocimiento institucional de la Junta de Extremadura</w:t>
      </w:r>
    </w:p>
    <w:p>
      <w:r>
        <w:t>La Junta de Extremadura describe los resultados de FoodLab y menciona a Castúo System entre los proyectos participantes, caracterizándolo como sistema inteligente de trazabilidad y gestión para cultivos sostenibles en espacios controlados. La fuente se utiliza para reconocimiento regional y transferencia, no para afirmar financiación o clientes.</w:t>
      </w:r>
    </w:p>
    <w:p>
      <w:pPr>
        <w:spacing w:after="80"/>
        <w:ind w:left="360"/>
      </w:pPr>
      <w:r>
        <w:t xml:space="preserve">Junta de Extremadura: </w:t>
      </w:r>
      <w:hyperlink r:id="rId14">
        <w:r>
          <w:rPr>
            <w:color w:val="0563C1"/>
            <w:u w:val="single"/>
          </w:rPr>
          <w:t>abrir fuente</w:t>
        </w:r>
      </w:hyperlink>
    </w:p>
    <w:p>
      <w:pPr>
        <w:pStyle w:val="4"/>
      </w:pPr>
      <w:r>
        <w:t>4. South Summit Madrid 2026</w:t>
      </w:r>
    </w:p>
    <w:p>
      <w:r>
        <w:t>La participación o presentación concreta en South Summit solo se incorporará como evidencia específica cuando exista una referencia institucional o audiovisual directa. No se utiliza un enlace genérico como si fuera el vídeo del pitch.</w:t>
      </w:r>
    </w:p>
    <w:p>
      <w:pPr>
        <w:spacing w:after="80"/>
        <w:ind w:left="360"/>
      </w:pPr>
      <w:r>
        <w:t xml:space="preserve">South Summit / representación extremeña: </w:t>
      </w:r>
      <w:hyperlink r:id="rId15">
        <w:r>
          <w:rPr>
            <w:color w:val="0563C1"/>
            <w:u w:val="single"/>
          </w:rPr>
          <w:t>abrir fuente</w:t>
        </w:r>
      </w:hyperlink>
    </w:p>
    <w:p>
      <w:pPr>
        <w:pStyle w:val="4"/>
      </w:pPr>
      <w:r>
        <w:t>5. GitHub / Traky12</w:t>
      </w:r>
    </w:p>
    <w:p>
      <w:r>
        <w:t>Los repositorios públicos se presentan como evidencia de actividad de desarrollo y documentación técnica. No acreditan por sí mismos clientes, ventas, facturación, certificaciones ni validación independiente.</w:t>
      </w:r>
    </w:p>
    <w:p>
      <w:pPr>
        <w:spacing w:after="80"/>
        <w:ind w:left="360"/>
      </w:pPr>
      <w:r>
        <w:t xml:space="preserve">GitHub / Traky12: </w:t>
      </w:r>
      <w:hyperlink r:id="rId16">
        <w:r>
          <w:rPr>
            <w:color w:val="0563C1"/>
            <w:u w:val="single"/>
          </w:rPr>
          <w:t>abrir fuente</w:t>
        </w:r>
      </w:hyperlink>
    </w:p>
    <w:p>
      <w:r>
        <w:br w:type="page"/>
      </w:r>
    </w:p>
    <w:p>
      <w:pPr>
        <w:pStyle w:val="2"/>
      </w:pPr>
      <w:r>
        <w:t>ANEXO H · DOSSIER DE EVIDENCIA EXTERNA</w:t>
      </w:r>
    </w:p>
    <w:p>
      <w:r>
        <w:t>Índice de fuentes y función probatoria. La columna de límite evita confundir reconocimiento, transferencia o exposición con tracción comercial.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color="B8C7BC"/>
              <w:left w:val="single" w:sz="4" w:color="B8C7BC"/>
              <w:bottom w:val="single" w:sz="4" w:color="B8C7BC"/>
              <w:right w:val="single" w:sz="4" w:color="B8C7BC"/>
              <w:insideH w:val="single" w:sz="4" w:color="B8C7BC"/>
              <w:insideV w:val="single" w:sz="4" w:color="B8C7BC"/>
            </w:tcBorders>
            <w:vAlign w:val="center"/>
            <w:shd w:fill="174A2E"/>
          </w:tcPr>
          <w:p>
            <w:pPr>
              <w:spacing w:after="0"/>
            </w:pPr>
            <w:r/>
            <w:r>
              <w:rPr>
                <w:rFonts w:ascii="Aptos" w:hAnsi="Aptos"/>
                <w:b/>
                <w:color w:val="FFFFFF"/>
                <w:sz w:val="16"/>
              </w:rPr>
              <w:t>Evidencia</w:t>
            </w:r>
          </w:p>
        </w:tc>
        <w:tc>
          <w:tcPr>
            <w:tcW w:type="dxa" w:w="1872"/>
            <w:tcBorders>
              <w:top w:val="single" w:sz="4" w:color="B8C7BC"/>
              <w:left w:val="single" w:sz="4" w:color="B8C7BC"/>
              <w:bottom w:val="single" w:sz="4" w:color="B8C7BC"/>
              <w:right w:val="single" w:sz="4" w:color="B8C7BC"/>
              <w:insideH w:val="single" w:sz="4" w:color="B8C7BC"/>
              <w:insideV w:val="single" w:sz="4" w:color="B8C7BC"/>
            </w:tcBorders>
            <w:vAlign w:val="center"/>
            <w:shd w:fill="174A2E"/>
          </w:tcPr>
          <w:p>
            <w:pPr>
              <w:spacing w:after="0"/>
            </w:pPr>
            <w:r/>
            <w:r>
              <w:rPr>
                <w:rFonts w:ascii="Aptos" w:hAnsi="Aptos"/>
                <w:b/>
                <w:color w:val="FFFFFF"/>
                <w:sz w:val="16"/>
              </w:rPr>
              <w:t>Fecha</w:t>
            </w:r>
          </w:p>
        </w:tc>
        <w:tc>
          <w:tcPr>
            <w:tcW w:type="dxa" w:w="1872"/>
            <w:tcBorders>
              <w:top w:val="single" w:sz="4" w:color="B8C7BC"/>
              <w:left w:val="single" w:sz="4" w:color="B8C7BC"/>
              <w:bottom w:val="single" w:sz="4" w:color="B8C7BC"/>
              <w:right w:val="single" w:sz="4" w:color="B8C7BC"/>
              <w:insideH w:val="single" w:sz="4" w:color="B8C7BC"/>
              <w:insideV w:val="single" w:sz="4" w:color="B8C7BC"/>
            </w:tcBorders>
            <w:vAlign w:val="center"/>
            <w:shd w:fill="174A2E"/>
          </w:tcPr>
          <w:p>
            <w:pPr>
              <w:spacing w:after="0"/>
            </w:pPr>
            <w:r/>
            <w:r>
              <w:rPr>
                <w:rFonts w:ascii="Aptos" w:hAnsi="Aptos"/>
                <w:b/>
                <w:color w:val="FFFFFF"/>
                <w:sz w:val="16"/>
              </w:rPr>
              <w:t>Entidad</w:t>
            </w:r>
          </w:p>
        </w:tc>
        <w:tc>
          <w:tcPr>
            <w:tcW w:type="dxa" w:w="1872"/>
            <w:tcBorders>
              <w:top w:val="single" w:sz="4" w:color="B8C7BC"/>
              <w:left w:val="single" w:sz="4" w:color="B8C7BC"/>
              <w:bottom w:val="single" w:sz="4" w:color="B8C7BC"/>
              <w:right w:val="single" w:sz="4" w:color="B8C7BC"/>
              <w:insideH w:val="single" w:sz="4" w:color="B8C7BC"/>
              <w:insideV w:val="single" w:sz="4" w:color="B8C7BC"/>
            </w:tcBorders>
            <w:vAlign w:val="center"/>
            <w:shd w:fill="174A2E"/>
          </w:tcPr>
          <w:p>
            <w:pPr>
              <w:spacing w:after="0"/>
            </w:pPr>
            <w:r/>
            <w:r>
              <w:rPr>
                <w:rFonts w:ascii="Aptos" w:hAnsi="Aptos"/>
                <w:b/>
                <w:color w:val="FFFFFF"/>
                <w:sz w:val="16"/>
              </w:rPr>
              <w:t>Qué demuestra</w:t>
            </w:r>
          </w:p>
        </w:tc>
        <w:tc>
          <w:tcPr>
            <w:tcW w:type="dxa" w:w="1872"/>
            <w:tcBorders>
              <w:top w:val="single" w:sz="4" w:color="B8C7BC"/>
              <w:left w:val="single" w:sz="4" w:color="B8C7BC"/>
              <w:bottom w:val="single" w:sz="4" w:color="B8C7BC"/>
              <w:right w:val="single" w:sz="4" w:color="B8C7BC"/>
              <w:insideH w:val="single" w:sz="4" w:color="B8C7BC"/>
              <w:insideV w:val="single" w:sz="4" w:color="B8C7BC"/>
            </w:tcBorders>
            <w:vAlign w:val="center"/>
            <w:shd w:fill="174A2E"/>
          </w:tcPr>
          <w:p>
            <w:pPr>
              <w:spacing w:after="0"/>
            </w:pPr>
            <w:r/>
            <w:r>
              <w:rPr>
                <w:rFonts w:ascii="Aptos" w:hAnsi="Aptos"/>
                <w:b/>
                <w:color w:val="FFFFFF"/>
                <w:sz w:val="16"/>
              </w:rPr>
              <w:t>Límite / enlace</w:t>
            </w:r>
          </w:p>
        </w:tc>
      </w:tr>
      <w:tr>
        <w:tc>
          <w:tcPr>
            <w:tcW w:type="dxa" w:w="1872"/>
            <w:vAlign w:val="center"/>
            <w:shd w:fill="F4F7F5"/>
          </w:tcPr>
          <w:p>
            <w:pPr>
              <w:spacing w:after="0"/>
            </w:pPr>
            <w:r/>
            <w:r>
              <w:rPr>
                <w:rFonts w:ascii="Aptos" w:hAnsi="Aptos"/>
                <w:b w:val="0"/>
                <w:color w:val="1F2937"/>
                <w:sz w:val="15"/>
              </w:rPr>
              <w:t>FOODLAB</w:t>
            </w:r>
          </w:p>
        </w:tc>
        <w:tc>
          <w:tcPr>
            <w:tcW w:type="dxa" w:w="1872"/>
            <w:vAlign w:val="center"/>
            <w:shd w:fill="F4F7F5"/>
          </w:tcPr>
          <w:p>
            <w:pPr>
              <w:spacing w:after="0"/>
            </w:pPr>
            <w:r/>
            <w:r>
              <w:rPr>
                <w:rFonts w:ascii="Aptos" w:hAnsi="Aptos"/>
                <w:b w:val="0"/>
                <w:color w:val="1F2937"/>
                <w:sz w:val="15"/>
              </w:rPr>
              <w:t>2025–2026</w:t>
            </w:r>
          </w:p>
        </w:tc>
        <w:tc>
          <w:tcPr>
            <w:tcW w:type="dxa" w:w="1872"/>
            <w:vAlign w:val="center"/>
            <w:shd w:fill="F4F7F5"/>
          </w:tcPr>
          <w:p>
            <w:pPr>
              <w:spacing w:after="0"/>
            </w:pPr>
            <w:r/>
            <w:r>
              <w:rPr>
                <w:rFonts w:ascii="Aptos" w:hAnsi="Aptos"/>
                <w:b w:val="0"/>
                <w:color w:val="1F2937"/>
                <w:sz w:val="15"/>
              </w:rPr>
              <w:t>CTAEX</w:t>
            </w:r>
          </w:p>
        </w:tc>
        <w:tc>
          <w:tcPr>
            <w:tcW w:type="dxa" w:w="1872"/>
            <w:vAlign w:val="center"/>
            <w:shd w:fill="F4F7F5"/>
          </w:tcPr>
          <w:p>
            <w:pPr>
              <w:spacing w:after="0"/>
            </w:pPr>
            <w:r/>
            <w:r>
              <w:rPr>
                <w:rFonts w:ascii="Aptos" w:hAnsi="Aptos"/>
                <w:b w:val="0"/>
                <w:color w:val="1F2937"/>
                <w:sz w:val="15"/>
              </w:rPr>
              <w:t>Transferencia, infraestructuras y contexto de validación técnica</w:t>
            </w:r>
          </w:p>
        </w:tc>
        <w:tc>
          <w:tcPr>
            <w:tcW w:type="dxa" w:w="1872"/>
            <w:vAlign w:val="center"/>
            <w:shd w:fill="F4F7F5"/>
          </w:tcPr>
          <w:p>
            <w:pPr>
              <w:spacing w:after="0"/>
            </w:pPr>
            <w:hyperlink r:id="rId12">
              <w:r>
                <w:rPr>
                  <w:color w:val="0563C1"/>
                  <w:u w:val="single"/>
                </w:rPr>
                <w:t>fuente verificable</w:t>
              </w:r>
            </w:hyperlink>
          </w:p>
        </w:tc>
      </w:tr>
      <w:tr>
        <w:tc>
          <w:tcPr>
            <w:tcW w:type="dxa" w:w="1872"/>
            <w:vAlign w:val="center"/>
            <w:shd w:fill="FFFFFF"/>
          </w:tcPr>
          <w:p>
            <w:pPr>
              <w:spacing w:after="0"/>
            </w:pPr>
            <w:r/>
            <w:r>
              <w:rPr>
                <w:rFonts w:ascii="Aptos" w:hAnsi="Aptos"/>
                <w:b w:val="0"/>
                <w:color w:val="1F2937"/>
                <w:sz w:val="15"/>
              </w:rPr>
              <w:t>Publicación Castúo System</w:t>
            </w:r>
          </w:p>
        </w:tc>
        <w:tc>
          <w:tcPr>
            <w:tcW w:type="dxa" w:w="1872"/>
            <w:vAlign w:val="center"/>
            <w:shd w:fill="FFFFFF"/>
          </w:tcPr>
          <w:p>
            <w:pPr>
              <w:spacing w:after="0"/>
            </w:pPr>
            <w:r/>
            <w:r>
              <w:rPr>
                <w:rFonts w:ascii="Aptos" w:hAnsi="Aptos"/>
                <w:b w:val="0"/>
                <w:color w:val="1F2937"/>
                <w:sz w:val="15"/>
              </w:rPr>
              <w:t>19/08/2026</w:t>
            </w:r>
          </w:p>
        </w:tc>
        <w:tc>
          <w:tcPr>
            <w:tcW w:type="dxa" w:w="1872"/>
            <w:vAlign w:val="center"/>
            <w:shd w:fill="FFFFFF"/>
          </w:tcPr>
          <w:p>
            <w:pPr>
              <w:spacing w:after="0"/>
            </w:pPr>
            <w:r/>
            <w:r>
              <w:rPr>
                <w:rFonts w:ascii="Aptos" w:hAnsi="Aptos"/>
                <w:b w:val="0"/>
                <w:color w:val="1F2937"/>
                <w:sz w:val="15"/>
              </w:rPr>
              <w:t>Extremadura Empresarial</w:t>
            </w:r>
          </w:p>
        </w:tc>
        <w:tc>
          <w:tcPr>
            <w:tcW w:type="dxa" w:w="1872"/>
            <w:vAlign w:val="center"/>
            <w:shd w:fill="FFFFFF"/>
          </w:tcPr>
          <w:p>
            <w:pPr>
              <w:spacing w:after="0"/>
            </w:pPr>
            <w:r/>
            <w:r>
              <w:rPr>
                <w:rFonts w:ascii="Aptos" w:hAnsi="Aptos"/>
                <w:b w:val="0"/>
                <w:color w:val="1F2937"/>
                <w:sz w:val="15"/>
              </w:rPr>
              <w:t>Difusión institucional y referencia a prototipo validado</w:t>
            </w:r>
          </w:p>
        </w:tc>
        <w:tc>
          <w:tcPr>
            <w:tcW w:type="dxa" w:w="1872"/>
            <w:vAlign w:val="center"/>
            <w:shd w:fill="FFFFFF"/>
          </w:tcPr>
          <w:p>
            <w:pPr>
              <w:spacing w:after="0"/>
            </w:pPr>
            <w:hyperlink r:id="rId13">
              <w:r>
                <w:rPr>
                  <w:color w:val="0563C1"/>
                  <w:u w:val="single"/>
                </w:rPr>
                <w:t>fuente verificable</w:t>
              </w:r>
            </w:hyperlink>
          </w:p>
        </w:tc>
      </w:tr>
      <w:tr>
        <w:tc>
          <w:tcPr>
            <w:tcW w:type="dxa" w:w="1872"/>
            <w:vAlign w:val="center"/>
            <w:shd w:fill="F4F7F5"/>
          </w:tcPr>
          <w:p>
            <w:pPr>
              <w:spacing w:after="0"/>
            </w:pPr>
            <w:r/>
            <w:r>
              <w:rPr>
                <w:rFonts w:ascii="Aptos" w:hAnsi="Aptos"/>
                <w:b w:val="0"/>
                <w:color w:val="1F2937"/>
                <w:sz w:val="15"/>
              </w:rPr>
              <w:t>Resultados FOODLAB</w:t>
            </w:r>
          </w:p>
        </w:tc>
        <w:tc>
          <w:tcPr>
            <w:tcW w:type="dxa" w:w="1872"/>
            <w:vAlign w:val="center"/>
            <w:shd w:fill="F4F7F5"/>
          </w:tcPr>
          <w:p>
            <w:pPr>
              <w:spacing w:after="0"/>
            </w:pPr>
            <w:r/>
            <w:r>
              <w:rPr>
                <w:rFonts w:ascii="Aptos" w:hAnsi="Aptos"/>
                <w:b w:val="0"/>
                <w:color w:val="1F2937"/>
                <w:sz w:val="15"/>
              </w:rPr>
              <w:t>17/06/2026</w:t>
            </w:r>
          </w:p>
        </w:tc>
        <w:tc>
          <w:tcPr>
            <w:tcW w:type="dxa" w:w="1872"/>
            <w:vAlign w:val="center"/>
            <w:shd w:fill="F4F7F5"/>
          </w:tcPr>
          <w:p>
            <w:pPr>
              <w:spacing w:after="0"/>
            </w:pPr>
            <w:r/>
            <w:r>
              <w:rPr>
                <w:rFonts w:ascii="Aptos" w:hAnsi="Aptos"/>
                <w:b w:val="0"/>
                <w:color w:val="1F2937"/>
                <w:sz w:val="15"/>
              </w:rPr>
              <w:t>Junta de Extremadura / CTAEX</w:t>
            </w:r>
          </w:p>
        </w:tc>
        <w:tc>
          <w:tcPr>
            <w:tcW w:type="dxa" w:w="1872"/>
            <w:vAlign w:val="center"/>
            <w:shd w:fill="F4F7F5"/>
          </w:tcPr>
          <w:p>
            <w:pPr>
              <w:spacing w:after="0"/>
            </w:pPr>
            <w:r/>
            <w:r>
              <w:rPr>
                <w:rFonts w:ascii="Aptos" w:hAnsi="Aptos"/>
                <w:b w:val="0"/>
                <w:color w:val="1F2937"/>
                <w:sz w:val="15"/>
              </w:rPr>
              <w:t>Reconocimiento regional y transferencia tecnológica</w:t>
            </w:r>
          </w:p>
        </w:tc>
        <w:tc>
          <w:tcPr>
            <w:tcW w:type="dxa" w:w="1872"/>
            <w:vAlign w:val="center"/>
            <w:shd w:fill="F4F7F5"/>
          </w:tcPr>
          <w:p>
            <w:pPr>
              <w:spacing w:after="0"/>
            </w:pPr>
            <w:hyperlink r:id="rId14">
              <w:r>
                <w:rPr>
                  <w:color w:val="0563C1"/>
                  <w:u w:val="single"/>
                </w:rPr>
                <w:t>fuente verificable</w:t>
              </w:r>
            </w:hyperlink>
          </w:p>
        </w:tc>
      </w:tr>
      <w:tr>
        <w:tc>
          <w:tcPr>
            <w:tcW w:type="dxa" w:w="1872"/>
            <w:vAlign w:val="center"/>
            <w:shd w:fill="FFFFFF"/>
          </w:tcPr>
          <w:p>
            <w:pPr>
              <w:spacing w:after="0"/>
            </w:pPr>
            <w:r/>
            <w:r>
              <w:rPr>
                <w:rFonts w:ascii="Aptos" w:hAnsi="Aptos"/>
                <w:b w:val="0"/>
                <w:color w:val="1F2937"/>
                <w:sz w:val="15"/>
              </w:rPr>
              <w:t>South Summit Madrid</w:t>
            </w:r>
          </w:p>
        </w:tc>
        <w:tc>
          <w:tcPr>
            <w:tcW w:type="dxa" w:w="1872"/>
            <w:vAlign w:val="center"/>
            <w:shd w:fill="FFFFFF"/>
          </w:tcPr>
          <w:p>
            <w:pPr>
              <w:spacing w:after="0"/>
            </w:pPr>
            <w:r/>
            <w:r>
              <w:rPr>
                <w:rFonts w:ascii="Aptos" w:hAnsi="Aptos"/>
                <w:b w:val="0"/>
                <w:color w:val="1F2937"/>
                <w:sz w:val="15"/>
              </w:rPr>
              <w:t>03–05/06/2026</w:t>
            </w:r>
          </w:p>
        </w:tc>
        <w:tc>
          <w:tcPr>
            <w:tcW w:type="dxa" w:w="1872"/>
            <w:vAlign w:val="center"/>
            <w:shd w:fill="FFFFFF"/>
          </w:tcPr>
          <w:p>
            <w:pPr>
              <w:spacing w:after="0"/>
            </w:pPr>
            <w:r/>
            <w:r>
              <w:rPr>
                <w:rFonts w:ascii="Aptos" w:hAnsi="Aptos"/>
                <w:b w:val="0"/>
                <w:color w:val="1F2937"/>
                <w:sz w:val="15"/>
              </w:rPr>
              <w:t>South Summit / entidades regionales</w:t>
            </w:r>
          </w:p>
        </w:tc>
        <w:tc>
          <w:tcPr>
            <w:tcW w:type="dxa" w:w="1872"/>
            <w:vAlign w:val="center"/>
            <w:shd w:fill="FFFFFF"/>
          </w:tcPr>
          <w:p>
            <w:pPr>
              <w:spacing w:after="0"/>
            </w:pPr>
            <w:r/>
            <w:r>
              <w:rPr>
                <w:rFonts w:ascii="Aptos" w:hAnsi="Aptos"/>
                <w:b w:val="0"/>
                <w:color w:val="1F2937"/>
                <w:sz w:val="15"/>
              </w:rPr>
              <w:t>Solo exposición si se confirma referencia específica</w:t>
            </w:r>
          </w:p>
        </w:tc>
        <w:tc>
          <w:tcPr>
            <w:tcW w:type="dxa" w:w="1872"/>
            <w:vAlign w:val="center"/>
            <w:shd w:fill="FFFFFF"/>
          </w:tcPr>
          <w:p>
            <w:pPr>
              <w:spacing w:after="0"/>
            </w:pPr>
            <w:hyperlink r:id="rId15">
              <w:r>
                <w:rPr>
                  <w:color w:val="0563C1"/>
                  <w:u w:val="single"/>
                </w:rPr>
                <w:t>fuente verificable</w:t>
              </w:r>
            </w:hyperlink>
          </w:p>
        </w:tc>
      </w:tr>
      <w:tr>
        <w:tc>
          <w:tcPr>
            <w:tcW w:type="dxa" w:w="1872"/>
            <w:vAlign w:val="center"/>
            <w:shd w:fill="F4F7F5"/>
          </w:tcPr>
          <w:p>
            <w:pPr>
              <w:spacing w:after="0"/>
            </w:pPr>
            <w:r/>
            <w:r>
              <w:rPr>
                <w:rFonts w:ascii="Aptos" w:hAnsi="Aptos"/>
                <w:b w:val="0"/>
                <w:color w:val="1F2937"/>
                <w:sz w:val="15"/>
              </w:rPr>
              <w:t>GitHub / Traky12</w:t>
            </w:r>
          </w:p>
        </w:tc>
        <w:tc>
          <w:tcPr>
            <w:tcW w:type="dxa" w:w="1872"/>
            <w:vAlign w:val="center"/>
            <w:shd w:fill="F4F7F5"/>
          </w:tcPr>
          <w:p>
            <w:pPr>
              <w:spacing w:after="0"/>
            </w:pPr>
            <w:r/>
            <w:r>
              <w:rPr>
                <w:rFonts w:ascii="Aptos" w:hAnsi="Aptos"/>
                <w:b w:val="0"/>
                <w:color w:val="1F2937"/>
                <w:sz w:val="15"/>
              </w:rPr>
              <w:t>2026</w:t>
            </w:r>
          </w:p>
        </w:tc>
        <w:tc>
          <w:tcPr>
            <w:tcW w:type="dxa" w:w="1872"/>
            <w:vAlign w:val="center"/>
            <w:shd w:fill="F4F7F5"/>
          </w:tcPr>
          <w:p>
            <w:pPr>
              <w:spacing w:after="0"/>
            </w:pPr>
            <w:r/>
            <w:r>
              <w:rPr>
                <w:rFonts w:ascii="Aptos" w:hAnsi="Aptos"/>
                <w:b w:val="0"/>
                <w:color w:val="1F2937"/>
                <w:sz w:val="15"/>
              </w:rPr>
              <w:t>GitHub</w:t>
            </w:r>
          </w:p>
        </w:tc>
        <w:tc>
          <w:tcPr>
            <w:tcW w:type="dxa" w:w="1872"/>
            <w:vAlign w:val="center"/>
            <w:shd w:fill="F4F7F5"/>
          </w:tcPr>
          <w:p>
            <w:pPr>
              <w:spacing w:after="0"/>
            </w:pPr>
            <w:r/>
            <w:r>
              <w:rPr>
                <w:rFonts w:ascii="Aptos" w:hAnsi="Aptos"/>
                <w:b w:val="0"/>
                <w:color w:val="1F2937"/>
                <w:sz w:val="15"/>
              </w:rPr>
              <w:t>Actividad y evolución técnica pública</w:t>
            </w:r>
          </w:p>
        </w:tc>
        <w:tc>
          <w:tcPr>
            <w:tcW w:type="dxa" w:w="1872"/>
            <w:vAlign w:val="center"/>
            <w:shd w:fill="F4F7F5"/>
          </w:tcPr>
          <w:p>
            <w:pPr>
              <w:spacing w:after="0"/>
            </w:pPr>
            <w:hyperlink r:id="rId16">
              <w:r>
                <w:rPr>
                  <w:color w:val="0563C1"/>
                  <w:u w:val="single"/>
                </w:rPr>
                <w:t>fuente verificable</w:t>
              </w:r>
            </w:hyperlink>
          </w:p>
        </w:tc>
      </w:tr>
      <w:tr>
        <w:tc>
          <w:tcPr>
            <w:tcW w:type="dxa" w:w="1872"/>
            <w:vAlign w:val="center"/>
            <w:shd w:fill="FFFFFF"/>
          </w:tcPr>
          <w:p>
            <w:pPr>
              <w:spacing w:after="0"/>
            </w:pPr>
            <w:r/>
            <w:r>
              <w:rPr>
                <w:rFonts w:ascii="Aptos" w:hAnsi="Aptos"/>
                <w:b w:val="0"/>
                <w:color w:val="1F2937"/>
                <w:sz w:val="15"/>
              </w:rPr>
              <w:t>Clientes remunerados</w:t>
            </w:r>
          </w:p>
        </w:tc>
        <w:tc>
          <w:tcPr>
            <w:tcW w:type="dxa" w:w="1872"/>
            <w:vAlign w:val="center"/>
            <w:shd w:fill="FFFFFF"/>
          </w:tcPr>
          <w:p>
            <w:pPr>
              <w:spacing w:after="0"/>
            </w:pPr>
            <w:r/>
            <w:r>
              <w:rPr>
                <w:rFonts w:ascii="Aptos" w:hAnsi="Aptos"/>
                <w:b w:val="0"/>
                <w:color w:val="1F2937"/>
                <w:sz w:val="15"/>
              </w:rPr>
              <w:t>Pendiente</w:t>
            </w:r>
          </w:p>
        </w:tc>
        <w:tc>
          <w:tcPr>
            <w:tcW w:type="dxa" w:w="1872"/>
            <w:vAlign w:val="center"/>
            <w:shd w:fill="FFFFFF"/>
          </w:tcPr>
          <w:p>
            <w:pPr>
              <w:spacing w:after="0"/>
            </w:pPr>
            <w:r/>
            <w:r>
              <w:rPr>
                <w:rFonts w:ascii="Aptos" w:hAnsi="Aptos"/>
                <w:b w:val="0"/>
                <w:color w:val="1F2937"/>
                <w:sz w:val="15"/>
              </w:rPr>
              <w:t>Contratos/facturas/cobros</w:t>
            </w:r>
          </w:p>
        </w:tc>
        <w:tc>
          <w:tcPr>
            <w:tcW w:type="dxa" w:w="1872"/>
            <w:vAlign w:val="center"/>
            <w:shd w:fill="FFFFFF"/>
          </w:tcPr>
          <w:p>
            <w:pPr>
              <w:spacing w:after="0"/>
            </w:pPr>
            <w:r/>
            <w:r>
              <w:rPr>
                <w:rFonts w:ascii="Aptos" w:hAnsi="Aptos"/>
                <w:b w:val="0"/>
                <w:color w:val="1F2937"/>
                <w:sz w:val="15"/>
              </w:rPr>
              <w:t>Validación comercial</w:t>
            </w:r>
          </w:p>
        </w:tc>
        <w:tc>
          <w:tcPr>
            <w:tcW w:type="dxa" w:w="1872"/>
            <w:vAlign w:val="center"/>
            <w:shd w:fill="FFFFFF"/>
          </w:tcPr>
          <w:p>
            <w:pPr>
              <w:spacing w:after="0"/>
            </w:pPr>
            <w:r/>
            <w:r>
              <w:rPr>
                <w:rFonts w:ascii="Aptos" w:hAnsi="Aptos"/>
                <w:b w:val="0"/>
                <w:color w:val="1F2937"/>
                <w:sz w:val="15"/>
              </w:rPr>
              <w:t>Pendiente de evidencia documental</w:t>
            </w:r>
          </w:p>
        </w:tc>
      </w:tr>
    </w:tbl>
    <w:p>
      <w:r>
        <w:rPr>
          <w:b/>
        </w:rPr>
        <w:t xml:space="preserve">CONTROL DE RECONCILIACIÓN V5.6.2. </w:t>
      </w:r>
      <w:r>
        <w:t>Las cifras oficiales de ingresos, consumos, resultado de explotación, resultado antes de impuestos y puntos de equilibrio utilizadas en esta memoria deben coincidir con el libro financiero oficial recalculado. La financiación central de 180.000 € sigue siendo condicionada y no equivale a caja disponible.</w:t>
      </w:r>
    </w:p>
    <w:sectPr>
      <w:footerReference w:type="default" r:id="rId1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0"/>
        <w:sz w:val="16"/>
      </w:rPr>
      <w:t>PIE PLUS 2026 · Plan de Empresa · CASTÚO-SYSTEM™ · V5.6.2 EVIDENCIA EXTERNA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abstractNum w:abstractNumId="1">
    <w:nsid w:val="71315DCA"/>
    <w:multiLevelType w:val="multilevel"/>
    <w:tmpl w:val="71315DCA"/>
    <w:lvl w:ilvl="0" w:tentative="0">
      <w:start w:val="1"/>
      <w:numFmt w:val="decimal"/>
      <w:lvlText w:val="%1."/>
      <w:lvlJc w:val="left"/>
      <w:pPr>
        <w:tabs>
          <w:tab w:val="left" w:pos="0"/>
        </w:tabs>
        <w:ind w:left="480" w:hanging="480"/>
      </w:pPr>
    </w:lvl>
    <w:lvl w:ilvl="1" w:tentative="0">
      <w:start w:val="1"/>
      <w:numFmt w:val="decimal"/>
      <w:lvlText w:val="%2."/>
      <w:lvlJc w:val="left"/>
      <w:pPr>
        <w:tabs>
          <w:tab w:val="left" w:pos="720"/>
        </w:tabs>
        <w:ind w:left="1200" w:hanging="480"/>
      </w:pPr>
    </w:lvl>
    <w:lvl w:ilvl="2" w:tentative="0">
      <w:start w:val="1"/>
      <w:numFmt w:val="decimal"/>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decimal"/>
      <w:lvlText w:val="%5."/>
      <w:lvlJc w:val="left"/>
      <w:pPr>
        <w:tabs>
          <w:tab w:val="left" w:pos="2880"/>
        </w:tabs>
        <w:ind w:left="3360" w:hanging="480"/>
      </w:pPr>
    </w:lvl>
    <w:lvl w:ilvl="5" w:tentative="0">
      <w:start w:val="1"/>
      <w:numFmt w:val="decimal"/>
      <w:lvlText w:val="%6."/>
      <w:lvlJc w:val="left"/>
      <w:pPr>
        <w:tabs>
          <w:tab w:val="left" w:pos="3600"/>
        </w:tabs>
        <w:ind w:left="4080" w:hanging="480"/>
      </w:pPr>
    </w:lvl>
    <w:lvl w:ilvl="6" w:tentative="0">
      <w:start w:val="1"/>
      <w:numFmt w:val="decimal"/>
      <w:lvlText w:val="%7."/>
      <w:lvlJc w:val="left"/>
      <w:pPr>
        <w:tabs>
          <w:tab w:val="left" w:pos="4320"/>
        </w:tabs>
        <w:ind w:left="4800" w:hanging="480"/>
      </w:pPr>
    </w:lvl>
    <w:lvl w:ilvl="7" w:tentative="0">
      <w:start w:val="1"/>
      <w:numFmt w:val="decimal"/>
      <w:lvlText w:val="%8."/>
      <w:lvlJc w:val="left"/>
      <w:pPr>
        <w:tabs>
          <w:tab w:val="left" w:pos="5040"/>
        </w:tabs>
        <w:ind w:left="5520" w:hanging="480"/>
      </w:pPr>
    </w:lvl>
    <w:lvl w:ilvl="8" w:tentative="0">
      <w:start w:val="1"/>
      <w:numFmt w:val="decimal"/>
      <w:lvlText w:val="%9."/>
      <w:lvlJc w:val="left"/>
      <w:pPr>
        <w:tabs>
          <w:tab w:val="left" w:pos="5760"/>
        </w:tabs>
        <w:ind w:left="624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D07"/>
    <w:rsid w:val="00011C8B"/>
    <w:rsid w:val="004E29B3"/>
    <w:rsid w:val="00590D07"/>
    <w:rsid w:val="00784D58"/>
    <w:rsid w:val="008D6863"/>
    <w:rsid w:val="00B86B75"/>
    <w:rsid w:val="00BC48D5"/>
    <w:rsid w:val="00C36279"/>
    <w:rsid w:val="00E315A3"/>
    <w:rsid w:val="02241011"/>
    <w:rsid w:val="356F67AE"/>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80"/>
    </w:pPr>
    <w:rPr>
      <w:rFonts w:asciiTheme="minorHAnsi" w:hAnsiTheme="minorHAnsi" w:eastAsiaTheme="minorHAnsi" w:cstheme="minorBidi" w:ascii="Aptos" w:hAnsi="Aptos"/>
      <w:sz w:val="20"/>
      <w:szCs w:val="24"/>
      <w:lang w:val="es" w:eastAsia="en-US" w:bidi="ar-SA"/>
    </w:rPr>
  </w:style>
  <w:style w:type="paragraph" w:styleId="2">
    <w:name w:val="heading 1"/>
    <w:basedOn w:val="1"/>
    <w:next w:val="3"/>
    <w:qFormat/>
    <w:uiPriority w:val="9"/>
    <w:pPr>
      <w:keepNext/>
      <w:keepLines/>
      <w:spacing w:before="480" w:after="40"/>
      <w:outlineLvl w:val="0"/>
    </w:pPr>
    <w:rPr>
      <w:rFonts w:asciiTheme="majorHAnsi" w:hAnsiTheme="majorHAnsi" w:eastAsiaTheme="majorEastAsia" w:cstheme="majorBidi" w:ascii="Aptos" w:hAnsi="Aptos"/>
      <w:b/>
      <w:bCs/>
      <w:color w:val="4F81BD" w:themeColor="accent1"/>
      <w:sz w:val="28"/>
      <w:szCs w:val="32"/>
    </w:rPr>
  </w:style>
  <w:style w:type="paragraph" w:styleId="4">
    <w:name w:val="heading 2"/>
    <w:basedOn w:val="1"/>
    <w:next w:val="3"/>
    <w:unhideWhenUsed/>
    <w:qFormat/>
    <w:uiPriority w:val="9"/>
    <w:pPr>
      <w:keepNext/>
      <w:keepLines/>
      <w:spacing w:before="200" w:after="40"/>
      <w:outlineLvl w:val="1"/>
    </w:pPr>
    <w:rPr>
      <w:rFonts w:asciiTheme="majorHAnsi" w:hAnsiTheme="majorHAnsi" w:eastAsiaTheme="majorEastAsia" w:cstheme="majorBidi" w:ascii="Aptos" w:hAnsi="Aptos"/>
      <w:b/>
      <w:bCs/>
      <w:color w:val="4F81BD" w:themeColor="accent1"/>
      <w:sz w:val="24"/>
      <w:szCs w:val="28"/>
    </w:rPr>
  </w:style>
  <w:style w:type="paragraph" w:styleId="5">
    <w:name w:val="heading 3"/>
    <w:basedOn w:val="1"/>
    <w:next w:val="3"/>
    <w:unhideWhenUsed/>
    <w:qFormat/>
    <w:uiPriority w:val="9"/>
    <w:pPr>
      <w:keepNext/>
      <w:keepLines/>
      <w:spacing w:before="200" w:after="40"/>
      <w:outlineLvl w:val="2"/>
    </w:pPr>
    <w:rPr>
      <w:rFonts w:asciiTheme="majorHAnsi" w:hAnsiTheme="majorHAnsi" w:eastAsiaTheme="majorEastAsia" w:cstheme="majorBidi" w:ascii="Aptos" w:hAnsi="Aptos"/>
      <w:b/>
      <w:bCs/>
      <w:color w:val="4F81BD" w:themeColor="accent1"/>
      <w:sz w:val="21"/>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80"/>
    </w:pPr>
    <w:rPr>
      <w:rFonts w:ascii="Aptos" w:hAnsi="Aptos"/>
      <w:sz w:val="20"/>
    </w:rPr>
  </w:style>
  <w:style w:type="character" w:styleId="14">
    <w:name w:val="footnote reference"/>
    <w:basedOn w:val="15"/>
    <w:uiPriority w:val="0"/>
    <w:rPr>
      <w:vertAlign w:val="superscript"/>
    </w:rPr>
  </w:style>
  <w:style w:type="character" w:customStyle="1" w:styleId="15">
    <w:name w:val="Body Text Char"/>
    <w:basedOn w:val="12"/>
    <w:link w:val="3"/>
    <w:uiPriority w:val="0"/>
  </w:style>
  <w:style w:type="character" w:styleId="16">
    <w:name w:val="Hyperlink"/>
    <w:basedOn w:val="15"/>
    <w:uiPriority w:val="0"/>
    <w:rPr>
      <w:color w:val="4F81BD" w:themeColor="accent1"/>
    </w:rPr>
  </w:style>
  <w:style w:type="paragraph" w:styleId="17">
    <w:name w:val="footnote text"/>
    <w:basedOn w:val="1"/>
    <w:unhideWhenUsed/>
    <w:qFormat/>
    <w:uiPriority w:val="9"/>
  </w:style>
  <w:style w:type="paragraph" w:styleId="18">
    <w:name w:val="caption"/>
    <w:basedOn w:val="1"/>
    <w:uiPriority w:val="0"/>
    <w:pPr>
      <w:spacing w:before="0" w:after="120"/>
    </w:pPr>
    <w:rPr>
      <w:i/>
    </w:rPr>
  </w:style>
  <w:style w:type="paragraph" w:styleId="19">
    <w:name w:val="Date"/>
    <w:next w:val="3"/>
    <w:qFormat/>
    <w:uiPriority w:val="0"/>
    <w:pPr>
      <w:keepNext/>
      <w:keepLines/>
      <w:spacing w:after="200"/>
      <w:jc w:val="center"/>
    </w:pPr>
    <w:rPr>
      <w:rFonts w:asciiTheme="minorHAnsi" w:hAnsiTheme="minorHAnsi" w:eastAsiaTheme="minorHAnsi" w:cstheme="minorBidi"/>
      <w:sz w:val="24"/>
      <w:szCs w:val="24"/>
      <w:lang w:val="es" w:eastAsia="en-US" w:bidi="ar-SA"/>
    </w:rPr>
  </w:style>
  <w:style w:type="paragraph" w:styleId="20">
    <w:name w:val="Subtitle"/>
    <w:basedOn w:val="21"/>
    <w:next w:val="3"/>
    <w:qFormat/>
    <w:uiPriority w:val="0"/>
    <w:pPr>
      <w:keepNext/>
      <w:keepLines/>
      <w:spacing w:before="240" w:after="240"/>
      <w:jc w:val="center"/>
    </w:pPr>
    <w:rPr>
      <w:sz w:val="30"/>
      <w:szCs w:val="30"/>
    </w:rPr>
  </w:style>
  <w:style w:type="paragraph" w:styleId="21">
    <w:name w:val="Title"/>
    <w:basedOn w:val="1"/>
    <w:next w:val="3"/>
    <w:qFormat/>
    <w:uiPriority w:val="0"/>
    <w:pPr>
      <w:keepNext/>
      <w:keepLines/>
      <w:spacing w:before="480" w:after="40"/>
      <w:jc w:val="center"/>
    </w:pPr>
    <w:rPr>
      <w:rFonts w:asciiTheme="majorHAnsi" w:hAnsiTheme="majorHAnsi" w:eastAsiaTheme="majorEastAsia" w:cstheme="majorBidi" w:ascii="Aptos" w:hAnsi="Aptos"/>
      <w:b/>
      <w:bCs/>
      <w:color w:val="335B8A" w:themeColor="accent1" w:themeShade="B5"/>
      <w:sz w:val="33"/>
      <w:szCs w:val="36"/>
    </w:rPr>
  </w:style>
  <w:style w:type="paragraph" w:styleId="22">
    <w:name w:val="Block Text"/>
    <w:basedOn w:val="3"/>
    <w:next w:val="3"/>
    <w:unhideWhenUsed/>
    <w:qFormat/>
    <w:uiPriority w:val="9"/>
    <w:pPr>
      <w:spacing w:before="100" w:after="100"/>
      <w:ind w:left="480" w:right="480" w:firstLine="0"/>
    </w:p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8"/>
    <w:uiPriority w:val="0"/>
    <w:pPr>
      <w:keepNext/>
    </w:pPr>
  </w:style>
  <w:style w:type="paragraph" w:customStyle="1" w:styleId="32">
    <w:name w:val="Image Caption"/>
    <w:basedOn w:val="18"/>
    <w:qFormat/>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15"/>
    <w:link w:val="36"/>
    <w:uiPriority w:val="0"/>
    <w:rPr>
      <w:rFonts w:ascii="Consolas" w:hAnsi="Consolas"/>
      <w:sz w:val="22"/>
    </w:rPr>
  </w:style>
  <w:style w:type="paragraph" w:customStyle="1" w:styleId="36">
    <w:name w:val="Source Code"/>
    <w:basedOn w:val="1"/>
    <w:link w:val="35"/>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uiPriority w:val="0"/>
    <w:rPr>
      <w:b/>
      <w:color w:val="007020"/>
    </w:rPr>
  </w:style>
  <w:style w:type="character" w:customStyle="1" w:styleId="39">
    <w:name w:val="DataTypeTok"/>
    <w:basedOn w:val="35"/>
    <w:uiPriority w:val="0"/>
    <w:rPr>
      <w:color w:val="902000"/>
    </w:rPr>
  </w:style>
  <w:style w:type="character" w:customStyle="1" w:styleId="40">
    <w:name w:val="DecValTok"/>
    <w:basedOn w:val="35"/>
    <w:uiPriority w:val="0"/>
    <w:rPr>
      <w:color w:val="40A070"/>
    </w:rPr>
  </w:style>
  <w:style w:type="character" w:customStyle="1" w:styleId="41">
    <w:name w:val="BaseNTok"/>
    <w:basedOn w:val="35"/>
    <w:uiPriority w:val="0"/>
    <w:rPr>
      <w:color w:val="40A070"/>
    </w:rPr>
  </w:style>
  <w:style w:type="character" w:customStyle="1" w:styleId="42">
    <w:name w:val="FloatTok"/>
    <w:basedOn w:val="35"/>
    <w:uiPriority w:val="0"/>
    <w:rPr>
      <w:color w:val="40A070"/>
    </w:rPr>
  </w:style>
  <w:style w:type="character" w:customStyle="1" w:styleId="43">
    <w:name w:val="ConstantTok"/>
    <w:basedOn w:val="35"/>
    <w:uiPriority w:val="0"/>
    <w:rPr>
      <w:color w:val="880000"/>
    </w:rPr>
  </w:style>
  <w:style w:type="character" w:customStyle="1" w:styleId="44">
    <w:name w:val="CharTok"/>
    <w:basedOn w:val="35"/>
    <w:uiPriority w:val="0"/>
    <w:rPr>
      <w:color w:val="4070A0"/>
    </w:rPr>
  </w:style>
  <w:style w:type="character" w:customStyle="1" w:styleId="45">
    <w:name w:val="SpecialCharTok"/>
    <w:basedOn w:val="35"/>
    <w:uiPriority w:val="0"/>
    <w:rPr>
      <w:color w:val="4070A0"/>
    </w:rPr>
  </w:style>
  <w:style w:type="character" w:customStyle="1" w:styleId="46">
    <w:name w:val="StringTok"/>
    <w:basedOn w:val="35"/>
    <w:uiPriority w:val="0"/>
    <w:rPr>
      <w:color w:val="4070A0"/>
    </w:rPr>
  </w:style>
  <w:style w:type="character" w:customStyle="1" w:styleId="47">
    <w:name w:val="VerbatimStringTok"/>
    <w:basedOn w:val="35"/>
    <w:uiPriority w:val="0"/>
    <w:rPr>
      <w:color w:val="4070A0"/>
    </w:rPr>
  </w:style>
  <w:style w:type="character" w:customStyle="1" w:styleId="48">
    <w:name w:val="SpecialStringTok"/>
    <w:basedOn w:val="35"/>
    <w:uiPriority w:val="0"/>
    <w:rPr>
      <w:color w:val="BB6688"/>
    </w:rPr>
  </w:style>
  <w:style w:type="character" w:customStyle="1" w:styleId="49">
    <w:name w:val="ImportTok"/>
    <w:basedOn w:val="35"/>
    <w:uiPriority w:val="0"/>
  </w:style>
  <w:style w:type="character" w:customStyle="1" w:styleId="50">
    <w:name w:val="CommentTok"/>
    <w:basedOn w:val="35"/>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footer" Target="footer1.xml"/><Relationship Id="rId11" Type="http://schemas.openxmlformats.org/officeDocument/2006/relationships/image" Target="media/image4.png"/><Relationship Id="rId12" Type="http://schemas.openxmlformats.org/officeDocument/2006/relationships/hyperlink" Target="https://ctaex.com/transferencia-tecnologica/FoodLab/noticias/679/foodlab-ya-esta-en-marcha-transferencia-real-del-sector-agroalimentario-extremeno-al-mercado" TargetMode="External"/><Relationship Id="rId13" Type="http://schemas.openxmlformats.org/officeDocument/2006/relationships/hyperlink" Target="https://www.extremaduraempresarial.es/2026/08/19/castuo-system-avanza-hacia-una-agricultura-extremena-mas-eficiente-y-sostenible/" TargetMode="External"/><Relationship Id="rId14" Type="http://schemas.openxmlformats.org/officeDocument/2006/relationships/hyperlink" Target="https://www.juntaex.es/w/comercio-24" TargetMode="External"/><Relationship Id="rId15" Type="http://schemas.openxmlformats.org/officeDocument/2006/relationships/hyperlink" Target="https://www.southsummit.io/e/madrid/en" TargetMode="External"/><Relationship Id="rId16" Type="http://schemas.openxmlformats.org/officeDocument/2006/relationships/hyperlink" Target="https://github.com/Traky12/castuo-agro-ed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69</Pages>
  <Words>20157</Words>
  <Characters>118567</Characters>
  <Lines>12</Lines>
  <Paragraphs>8</Paragraphs>
  <TotalTime>47</TotalTime>
  <ScaleCrop>false</ScaleCrop>
  <LinksUpToDate>false</LinksUpToDate>
  <CharactersWithSpaces>136861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2026-08-15T13:56:00Z</dcterms:created>
  <dc:creator>Gregorio Jiménez Bodes · CASTÚO-SYSTEM</dc:creator>
  <cp:lastModifiedBy>Gregorio J Jiménez Bodes</cp:lastModifiedBy>
  <dcterms:modified xsi:type="dcterms:W3CDTF">2026-08-15T14:57:00Z</dcterms:modified>
  <dc:title>CASTÚO-SYSTEM™ · Plan de Empresa PIE PLUS 2026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Julio de 2026</vt:lpwstr>
  </property>
  <property fmtid="{D5CDD505-2E9C-101B-9397-08002B2CF9AE}" pid="3" name="subtitle">
    <vt:lpwstr>Memoria Descriptiva oficial · Proyecto piloto de innovación rural · Membrío (Cáceres) · v5.2.1 FINAL JURADO (arquitectura de inversión por fases · evidencia GitHub/Traky12 · base v5.2)</vt:lpwstr>
  </property>
  <property fmtid="{D5CDD505-2E9C-101B-9397-08002B2CF9AE}" pid="4" name="toc">
    <vt:lpwstr>True</vt:lpwstr>
  </property>
  <property fmtid="{D5CDD505-2E9C-101B-9397-08002B2CF9AE}" pid="5" name="toc-title">
    <vt:lpwstr>Índice</vt:lpwstr>
  </property>
  <property fmtid="{D5CDD505-2E9C-101B-9397-08002B2CF9AE}" pid="6" name="KSOProductBuildVer">
    <vt:lpwstr>3082-12.1.0.28032</vt:lpwstr>
  </property>
  <property fmtid="{D5CDD505-2E9C-101B-9397-08002B2CF9AE}" pid="7" name="ICV">
    <vt:lpwstr>7CE261FAB9A64AB8B2D5D05ADADC0046_13</vt:lpwstr>
  </property>
</Properties>
</file>