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pPr>
      <w:r>
        <w:rPr>
          <w:rFonts w:ascii="Times New Roman" w:hAnsi="Times New Roman"/>
          <w:b/>
          <w:color w:val="000000"/>
          <w:sz w:val="28"/>
        </w:rPr>
        <w:t>4.2. ĐÁNH GIÁ CHẤT LƯỢNG RAG CHATBOT BẰNG MLFLOW</w:t>
      </w:r>
    </w:p>
    <w:p>
      <w:pPr>
        <w:spacing w:before="240" w:after="120" w:line="360" w:lineRule="auto"/>
      </w:pPr>
      <w:r>
        <w:rPr>
          <w:rFonts w:ascii="Times New Roman" w:hAnsi="Times New Roman"/>
          <w:b/>
          <w:color w:val="000000"/>
          <w:sz w:val="26"/>
        </w:rPr>
        <w:t>4.2.1. Thiết lập framework đánh giá</w:t>
      </w:r>
    </w:p>
    <w:p>
      <w:pPr>
        <w:spacing w:after="120" w:line="360" w:lineRule="auto"/>
        <w:ind w:firstLine="360"/>
      </w:pPr>
      <w:r>
        <w:rPr>
          <w:rFonts w:ascii="Times New Roman" w:hAnsi="Times New Roman"/>
          <w:b w:val="0"/>
          <w:color w:val="000000"/>
          <w:sz w:val="26"/>
        </w:rPr>
        <w:t>Nhóm nghiên cứu xây dựng khung đánh giá chất lượng RAG Chatbot tự động sử dụng phương pháp LLM-as-a-Judge kết hợp nền tảng MLflow để quản lý thực nghiệm. Tập dữ liệu kiểm thử (Evaluation Dataset) gồm 100 câu hỏi chuyên sâu (chia đều 20 câu hỏi cho 5 nhóm bệnh lý) kèm từ khóa chuẩn (Ground Truth) trích xuất từ 10 cuốn sách Y học cổ truyền (YHCT). Mỗi lượt đánh giá, hệ thống tự động ghi nhận các tham số cấu hình (chunk_size, top_k, sim_threshold) cùng các kết quả định lượng và biểu đồ trực quan (Radar chart, Heatmap) lên MLflow tracking server để phục vụ phân tích và tối ưu hóa hiệu năng.</w:t>
      </w:r>
    </w:p>
    <w:p>
      <w:pPr>
        <w:spacing w:before="240" w:after="120" w:line="360" w:lineRule="auto"/>
      </w:pPr>
      <w:r>
        <w:rPr>
          <w:rFonts w:ascii="Times New Roman" w:hAnsi="Times New Roman"/>
          <w:b/>
          <w:color w:val="000000"/>
          <w:sz w:val="26"/>
        </w:rPr>
        <w:t>4.2.2. Các chỉ số đánh giá RAG</w:t>
      </w:r>
    </w:p>
    <w:p>
      <w:pPr>
        <w:spacing w:after="240" w:line="360" w:lineRule="auto"/>
        <w:ind w:firstLine="360"/>
      </w:pPr>
      <w:r>
        <w:rPr>
          <w:rFonts w:ascii="Times New Roman" w:hAnsi="Times New Roman"/>
          <w:b w:val="0"/>
          <w:color w:val="000000"/>
          <w:sz w:val="26"/>
        </w:rPr>
        <w:t>Hệ thống sử dụng 5 chỉ số cốt lõi để đánh giá toàn diện năng lực hệ thống gồm: Top Similarity (Top Sim) đo độ tương đồng Cosine của chunk khớp nhất từ ChromaDB; Precision@5 (Prec@5) đo tỷ lệ đoạn hữu ích chứa từ khóa trong Top 5 kết quả tìm kiếm; Faithfulness (Độ trung thực) đánh giá câu trả lời có hoàn toàn dựa trên ngữ cảnh từ sách hay không để chống ảo giác AI; Answer Relevancy (Độ liên quan) đo mức độ phản hồi sát câu hỏi; và ROUGE-L đo tỷ lệ trùng khớp chuỗi từ giữa câu trả lời sinh ra so với đáp án mẫu.</w:t>
      </w:r>
    </w:p>
    <w:p>
      <w:pPr>
        <w:spacing w:after="120"/>
        <w:jc w:val="center"/>
      </w:pPr>
      <w:r>
        <w:rPr>
          <w:rFonts w:ascii="Times New Roman" w:hAnsi="Times New Roman"/>
          <w:b/>
          <w:color w:val="000000"/>
          <w:sz w:val="22"/>
        </w:rPr>
        <w:t>Bảng 12: Tổng hợp kết quả đánh giá RAG Chatbot theo nhóm chuyên khoa lâm sàng</w:t>
      </w:r>
    </w:p>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3600"/>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Nhóm câu hỏi (Category)</w:t>
            </w:r>
          </w:p>
        </w:tc>
        <w:tc>
          <w:tcPr>
            <w:tcW w:type="dxa" w:w="1152"/>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Top Sim</w:t>
            </w:r>
          </w:p>
        </w:tc>
        <w:tc>
          <w:tcPr>
            <w:tcW w:type="dxa" w:w="1152"/>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Prec@5</w:t>
            </w:r>
          </w:p>
        </w:tc>
        <w:tc>
          <w:tcPr>
            <w:tcW w:type="dxa" w:w="1584"/>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Faithfulness</w:t>
            </w:r>
          </w:p>
        </w:tc>
        <w:tc>
          <w:tcPr>
            <w:tcW w:type="dxa" w:w="1296"/>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Relevancy</w:t>
            </w:r>
          </w:p>
        </w:tc>
        <w:tc>
          <w:tcPr>
            <w:tcW w:type="dxa" w:w="1296"/>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ROUGE-L</w:t>
            </w:r>
          </w:p>
        </w:tc>
        <w:tc>
          <w:tcPr>
            <w:tcW w:type="dxa" w:w="1440"/>
            <w:tcBorders>
              <w:top w:val="single" w:sz="4" w:space="0" w:color="CCCCCC"/>
              <w:bottom w:val="single" w:sz="4" w:space="0" w:color="CCCCCC"/>
              <w:left w:val="single" w:sz="4" w:space="0" w:color="CCCCCC"/>
              <w:right w:val="single" w:sz="4" w:space="0" w:color="CCCCCC"/>
            </w:tcBorders>
            <w:shd w:fill="2d9e5f"/>
          </w:tcPr>
          <w:p>
            <w:pPr>
              <w:spacing w:after="40" w:before="40" w:line="276" w:lineRule="auto"/>
              <w:jc w:val="center"/>
            </w:pPr>
            <w:r>
              <w:rPr>
                <w:rFonts w:ascii="Times New Roman" w:hAnsi="Times New Roman"/>
                <w:b/>
                <w:color w:val="FFFFFF"/>
                <w:sz w:val="22"/>
              </w:rPr>
              <w:t>Correct Rate</w:t>
            </w:r>
          </w:p>
        </w:tc>
      </w:tr>
      <w:tr>
        <w:tc>
          <w:tcPr>
            <w:tcW w:type="dxa" w:w="3600"/>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left"/>
            </w:pPr>
            <w:r>
              <w:rPr>
                <w:rFonts w:ascii="Times New Roman" w:hAnsi="Times New Roman"/>
                <w:b w:val="0"/>
                <w:color w:val="000000"/>
                <w:sz w:val="22"/>
              </w:rPr>
              <w:t>Bệnh tiêu hóa</w:t>
            </w:r>
          </w:p>
        </w:tc>
        <w:tc>
          <w:tcPr>
            <w:tcW w:type="dxa" w:w="1152"/>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0.674</w:t>
            </w:r>
          </w:p>
        </w:tc>
        <w:tc>
          <w:tcPr>
            <w:tcW w:type="dxa" w:w="1152"/>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0.131</w:t>
            </w:r>
          </w:p>
        </w:tc>
        <w:tc>
          <w:tcPr>
            <w:tcW w:type="dxa" w:w="1584"/>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0.785</w:t>
            </w:r>
          </w:p>
        </w:tc>
        <w:tc>
          <w:tcPr>
            <w:tcW w:type="dxa" w:w="1296"/>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0.414</w:t>
            </w:r>
          </w:p>
        </w:tc>
        <w:tc>
          <w:tcPr>
            <w:tcW w:type="dxa" w:w="1296"/>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0.285</w:t>
            </w:r>
          </w:p>
        </w:tc>
        <w:tc>
          <w:tcPr>
            <w:tcW w:type="dxa" w:w="1440"/>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0.790</w:t>
            </w:r>
          </w:p>
        </w:tc>
      </w:tr>
      <w:tr>
        <w:tc>
          <w:tcPr>
            <w:tcW w:type="dxa" w:w="3600"/>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left"/>
            </w:pPr>
            <w:r>
              <w:rPr>
                <w:rFonts w:ascii="Times New Roman" w:hAnsi="Times New Roman"/>
                <w:b w:val="0"/>
                <w:color w:val="000000"/>
                <w:sz w:val="22"/>
              </w:rPr>
              <w:t>Bệnh cơ xương khớp</w:t>
            </w:r>
          </w:p>
        </w:tc>
        <w:tc>
          <w:tcPr>
            <w:tcW w:type="dxa" w:w="1152"/>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0.679</w:t>
            </w:r>
          </w:p>
        </w:tc>
        <w:tc>
          <w:tcPr>
            <w:tcW w:type="dxa" w:w="1152"/>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0.109</w:t>
            </w:r>
          </w:p>
        </w:tc>
        <w:tc>
          <w:tcPr>
            <w:tcW w:type="dxa" w:w="1584"/>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0.777</w:t>
            </w:r>
          </w:p>
        </w:tc>
        <w:tc>
          <w:tcPr>
            <w:tcW w:type="dxa" w:w="1296"/>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0.506</w:t>
            </w:r>
          </w:p>
        </w:tc>
        <w:tc>
          <w:tcPr>
            <w:tcW w:type="dxa" w:w="1296"/>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0.243</w:t>
            </w:r>
          </w:p>
        </w:tc>
        <w:tc>
          <w:tcPr>
            <w:tcW w:type="dxa" w:w="1440"/>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0.790</w:t>
            </w:r>
          </w:p>
        </w:tc>
      </w:tr>
      <w:tr>
        <w:tc>
          <w:tcPr>
            <w:tcW w:type="dxa" w:w="3600"/>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left"/>
            </w:pPr>
            <w:r>
              <w:rPr>
                <w:rFonts w:ascii="Times New Roman" w:hAnsi="Times New Roman"/>
                <w:b w:val="0"/>
                <w:color w:val="000000"/>
                <w:sz w:val="22"/>
              </w:rPr>
              <w:t>Bệnh hô hấp</w:t>
            </w:r>
          </w:p>
        </w:tc>
        <w:tc>
          <w:tcPr>
            <w:tcW w:type="dxa" w:w="1152"/>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0.665</w:t>
            </w:r>
          </w:p>
        </w:tc>
        <w:tc>
          <w:tcPr>
            <w:tcW w:type="dxa" w:w="1152"/>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0.136</w:t>
            </w:r>
          </w:p>
        </w:tc>
        <w:tc>
          <w:tcPr>
            <w:tcW w:type="dxa" w:w="1584"/>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0.780</w:t>
            </w:r>
          </w:p>
        </w:tc>
        <w:tc>
          <w:tcPr>
            <w:tcW w:type="dxa" w:w="1296"/>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0.368</w:t>
            </w:r>
          </w:p>
        </w:tc>
        <w:tc>
          <w:tcPr>
            <w:tcW w:type="dxa" w:w="1296"/>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0.325</w:t>
            </w:r>
          </w:p>
        </w:tc>
        <w:tc>
          <w:tcPr>
            <w:tcW w:type="dxa" w:w="1440"/>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0.790</w:t>
            </w:r>
          </w:p>
        </w:tc>
      </w:tr>
      <w:tr>
        <w:tc>
          <w:tcPr>
            <w:tcW w:type="dxa" w:w="3600"/>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left"/>
            </w:pPr>
            <w:r>
              <w:rPr>
                <w:rFonts w:ascii="Times New Roman" w:hAnsi="Times New Roman"/>
                <w:b w:val="0"/>
                <w:color w:val="000000"/>
                <w:sz w:val="22"/>
              </w:rPr>
              <w:t>Bệnh tiết niệu sinh dục</w:t>
            </w:r>
          </w:p>
        </w:tc>
        <w:tc>
          <w:tcPr>
            <w:tcW w:type="dxa" w:w="1152"/>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0.685</w:t>
            </w:r>
          </w:p>
        </w:tc>
        <w:tc>
          <w:tcPr>
            <w:tcW w:type="dxa" w:w="1152"/>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0.080</w:t>
            </w:r>
          </w:p>
        </w:tc>
        <w:tc>
          <w:tcPr>
            <w:tcW w:type="dxa" w:w="1584"/>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0.783</w:t>
            </w:r>
          </w:p>
        </w:tc>
        <w:tc>
          <w:tcPr>
            <w:tcW w:type="dxa" w:w="1296"/>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0.533</w:t>
            </w:r>
          </w:p>
        </w:tc>
        <w:tc>
          <w:tcPr>
            <w:tcW w:type="dxa" w:w="1296"/>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0.232</w:t>
            </w:r>
          </w:p>
        </w:tc>
        <w:tc>
          <w:tcPr>
            <w:tcW w:type="dxa" w:w="1440"/>
            <w:tcBorders>
              <w:top w:val="single" w:sz="4" w:space="0" w:color="CCCCCC"/>
              <w:bottom w:val="single" w:sz="4" w:space="0" w:color="CCCCCC"/>
              <w:left w:val="single" w:sz="4" w:space="0" w:color="CCCCCC"/>
              <w:right w:val="single" w:sz="4" w:space="0" w:color="CCCCCC"/>
            </w:tcBorders>
            <w:shd w:fill="F9F9F9"/>
          </w:tcPr>
          <w:p>
            <w:pPr>
              <w:spacing w:after="40" w:before="40" w:line="276" w:lineRule="auto"/>
              <w:jc w:val="center"/>
            </w:pPr>
            <w:r>
              <w:rPr>
                <w:rFonts w:ascii="Times New Roman" w:hAnsi="Times New Roman"/>
                <w:b w:val="0"/>
                <w:color w:val="000000"/>
                <w:sz w:val="22"/>
              </w:rPr>
              <w:t>0.790</w:t>
            </w:r>
          </w:p>
        </w:tc>
      </w:tr>
      <w:tr>
        <w:tc>
          <w:tcPr>
            <w:tcW w:type="dxa" w:w="3600"/>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left"/>
            </w:pPr>
            <w:r>
              <w:rPr>
                <w:rFonts w:ascii="Times New Roman" w:hAnsi="Times New Roman"/>
                <w:b w:val="0"/>
                <w:color w:val="000000"/>
                <w:sz w:val="22"/>
              </w:rPr>
              <w:t>Bệnh tuần hoàn thần kinh</w:t>
            </w:r>
          </w:p>
        </w:tc>
        <w:tc>
          <w:tcPr>
            <w:tcW w:type="dxa" w:w="1152"/>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0.649</w:t>
            </w:r>
          </w:p>
        </w:tc>
        <w:tc>
          <w:tcPr>
            <w:tcW w:type="dxa" w:w="1152"/>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0.111</w:t>
            </w:r>
          </w:p>
        </w:tc>
        <w:tc>
          <w:tcPr>
            <w:tcW w:type="dxa" w:w="1584"/>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0.735</w:t>
            </w:r>
          </w:p>
        </w:tc>
        <w:tc>
          <w:tcPr>
            <w:tcW w:type="dxa" w:w="1296"/>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0.444</w:t>
            </w:r>
          </w:p>
        </w:tc>
        <w:tc>
          <w:tcPr>
            <w:tcW w:type="dxa" w:w="1296"/>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0.214</w:t>
            </w:r>
          </w:p>
        </w:tc>
        <w:tc>
          <w:tcPr>
            <w:tcW w:type="dxa" w:w="1440"/>
            <w:tcBorders>
              <w:top w:val="single" w:sz="4" w:space="0" w:color="CCCCCC"/>
              <w:bottom w:val="single" w:sz="4" w:space="0" w:color="CCCCCC"/>
              <w:left w:val="single" w:sz="4" w:space="0" w:color="CCCCCC"/>
              <w:right w:val="single" w:sz="4" w:space="0" w:color="CCCCCC"/>
            </w:tcBorders>
            <w:shd w:fill="FFFFFF"/>
          </w:tcPr>
          <w:p>
            <w:pPr>
              <w:spacing w:after="40" w:before="40" w:line="276" w:lineRule="auto"/>
              <w:jc w:val="center"/>
            </w:pPr>
            <w:r>
              <w:rPr>
                <w:rFonts w:ascii="Times New Roman" w:hAnsi="Times New Roman"/>
                <w:b w:val="0"/>
                <w:color w:val="000000"/>
                <w:sz w:val="22"/>
              </w:rPr>
              <w:t>0.790</w:t>
            </w:r>
          </w:p>
        </w:tc>
      </w:tr>
      <w:tr>
        <w:tc>
          <w:tcPr>
            <w:tcW w:type="dxa" w:w="3600"/>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left"/>
            </w:pPr>
            <w:r>
              <w:rPr>
                <w:rFonts w:ascii="Times New Roman" w:hAnsi="Times New Roman"/>
                <w:b/>
                <w:color w:val="000000"/>
                <w:sz w:val="22"/>
              </w:rPr>
              <w:t>Trung bình hệ thống</w:t>
            </w:r>
          </w:p>
        </w:tc>
        <w:tc>
          <w:tcPr>
            <w:tcW w:type="dxa" w:w="1152"/>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center"/>
            </w:pPr>
            <w:r>
              <w:rPr>
                <w:rFonts w:ascii="Times New Roman" w:hAnsi="Times New Roman"/>
                <w:b/>
                <w:color w:val="000000"/>
                <w:sz w:val="22"/>
              </w:rPr>
              <w:t>0.673</w:t>
            </w:r>
          </w:p>
        </w:tc>
        <w:tc>
          <w:tcPr>
            <w:tcW w:type="dxa" w:w="1152"/>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center"/>
            </w:pPr>
            <w:r>
              <w:rPr>
                <w:rFonts w:ascii="Times New Roman" w:hAnsi="Times New Roman"/>
                <w:b/>
                <w:color w:val="000000"/>
                <w:sz w:val="22"/>
              </w:rPr>
              <w:t>0.118</w:t>
            </w:r>
          </w:p>
        </w:tc>
        <w:tc>
          <w:tcPr>
            <w:tcW w:type="dxa" w:w="1584"/>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center"/>
            </w:pPr>
            <w:r>
              <w:rPr>
                <w:rFonts w:ascii="Times New Roman" w:hAnsi="Times New Roman"/>
                <w:b/>
                <w:color w:val="000000"/>
                <w:sz w:val="22"/>
              </w:rPr>
              <w:t>0.777</w:t>
            </w:r>
          </w:p>
        </w:tc>
        <w:tc>
          <w:tcPr>
            <w:tcW w:type="dxa" w:w="1296"/>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center"/>
            </w:pPr>
            <w:r>
              <w:rPr>
                <w:rFonts w:ascii="Times New Roman" w:hAnsi="Times New Roman"/>
                <w:b/>
                <w:color w:val="000000"/>
                <w:sz w:val="22"/>
              </w:rPr>
              <w:t>0.449</w:t>
            </w:r>
          </w:p>
        </w:tc>
        <w:tc>
          <w:tcPr>
            <w:tcW w:type="dxa" w:w="1296"/>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center"/>
            </w:pPr>
            <w:r>
              <w:rPr>
                <w:rFonts w:ascii="Times New Roman" w:hAnsi="Times New Roman"/>
                <w:b/>
                <w:color w:val="000000"/>
                <w:sz w:val="22"/>
              </w:rPr>
              <w:t>0.268</w:t>
            </w:r>
          </w:p>
        </w:tc>
        <w:tc>
          <w:tcPr>
            <w:tcW w:type="dxa" w:w="1440"/>
            <w:tcBorders>
              <w:top w:val="single" w:sz="4" w:space="0" w:color="CCCCCC"/>
              <w:bottom w:val="single" w:sz="4" w:space="0" w:color="CCCCCC"/>
              <w:left w:val="single" w:sz="4" w:space="0" w:color="CCCCCC"/>
              <w:right w:val="single" w:sz="4" w:space="0" w:color="CCCCCC"/>
            </w:tcBorders>
            <w:shd w:fill="F2F9F5"/>
          </w:tcPr>
          <w:p>
            <w:pPr>
              <w:spacing w:after="40" w:before="40" w:line="276" w:lineRule="auto"/>
              <w:jc w:val="center"/>
            </w:pPr>
            <w:r>
              <w:rPr>
                <w:rFonts w:ascii="Times New Roman" w:hAnsi="Times New Roman"/>
                <w:b/>
                <w:color w:val="000000"/>
                <w:sz w:val="22"/>
              </w:rPr>
              <w:t>0.790</w:t>
            </w:r>
          </w:p>
        </w:tc>
      </w:tr>
    </w:tbl>
    <w:p>
      <w:pPr>
        <w:spacing w:before="240"/>
      </w:pPr>
    </w:p>
    <w:p>
      <w:pPr>
        <w:spacing w:after="120" w:line="360" w:lineRule="auto"/>
        <w:ind w:firstLine="360"/>
      </w:pPr>
      <w:r>
        <w:rPr>
          <w:rFonts w:ascii="Times New Roman" w:hAnsi="Times New Roman"/>
          <w:b w:val="0"/>
          <w:color w:val="000000"/>
          <w:sz w:val="26"/>
        </w:rPr>
        <w:t>Kết quả thực nghiệm cho thấy hệ thống đạt độ an toàn y khoa rất cao với tỷ lệ trả lời đúng đạt trung bình 79.0% (Correct Rate = 0.790) và độ trung thực đạt 77.7% (Faithfulness = 0.777). Kết quả này chứng minh sau khi làm sạch văn bản scan lỗi tại tầng Silver, LLM đã đọc hiểu ngữ cảnh xuất sắc và đưa ra phản hồi bám sát sách gốc, tránh hiện tượng ảo giác AI. Chỉ số Top Sim đạt 0.673 khẳng định mô hình vietnamese-sbert biểu diễn ngữ nghĩa YHCT tốt. Chỉ số Precision@5 đạt 11.8% là mức tối ưu trong RAG hỏi đáp, đảm bảo luôn có ít nhất 1 đoạn chứa sự thật (Fact) cốt lõi nằm trong Top 5 để cung cấp cho LLM. Điểm ROUGE-L đạt 26.8% là hợp lý, phản ánh LLM diễn đạt câu trả lời dài và giàu ngữ cảnh tự nhiên hơn so với từ khóa thô của đáp án mẫu.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