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e59a68c4b82a235675ad28e1a8ef1ab9c452a6"/>
    <w:p>
      <w:pPr>
        <w:pStyle w:val="Heading1"/>
      </w:pPr>
      <w:r>
        <w:t xml:space="preserve">Evaluating Project Suitability: Strategic and Operational Fit</w:t>
      </w:r>
    </w:p>
    <w:p>
      <w:pPr>
        <w:pStyle w:val="FirstParagraph"/>
      </w:pPr>
      <w:r>
        <w:t xml:space="preserve">Suitability evaluation is a systematic process that translates vague client needs into concrete alignment with the development house’s capabilities and goals. This section breaks down the methodologies, tools, and examples needed to assess suitability rigorously.</w:t>
      </w:r>
    </w:p>
    <w:p>
      <w:pPr>
        <w:pStyle w:val="BodyText"/>
      </w:pPr>
      <w:r>
        <w:rPr>
          <w:bCs/>
          <w:b/>
        </w:rPr>
        <w:t xml:space="preserve">2.1 Business and Strategic Alignment</w:t>
      </w:r>
    </w:p>
    <w:p>
      <w:pPr>
        <w:pStyle w:val="BodyText"/>
      </w:pPr>
      <w:r>
        <w:t xml:space="preserve">Strategic alignment ensures the project contributes to the development house’s long-term success while meeting the client’s business objectives. This requires a two-way analysis: understanding the client’s needs and matching them to the house’s strategic priorities.</w:t>
      </w:r>
    </w:p>
    <w:p>
      <w:pPr>
        <w:pStyle w:val="BodyText"/>
      </w:pPr>
      <w:r>
        <w:rPr>
          <w:bCs/>
          <w:b/>
        </w:rPr>
        <w:t xml:space="preserve">2.1.1 Client Requirement Analysis: From Vague to Specific</w:t>
      </w:r>
    </w:p>
    <w:p>
      <w:pPr>
        <w:pStyle w:val="BodyText"/>
      </w:pPr>
      <w:r>
        <w:t xml:space="preserve">Client requirements often start as high-level statements (e.g.,</w:t>
      </w:r>
      <w:r>
        <w:t xml:space="preserve"> </w:t>
      </w:r>
      <w:r>
        <w:t xml:space="preserve">“</w:t>
      </w:r>
      <w:r>
        <w:t xml:space="preserve">We need a better app for our customers</w:t>
      </w:r>
      <w:r>
        <w:t xml:space="preserve">”</w:t>
      </w:r>
      <w:r>
        <w:t xml:space="preserve">). The development house must dissect these into actionable, prioritized requirements using structured methodologies:</w:t>
      </w:r>
    </w:p>
    <w:p>
      <w:pPr>
        <w:numPr>
          <w:ilvl w:val="0"/>
          <w:numId w:val="1001"/>
        </w:numPr>
        <w:pStyle w:val="Compact"/>
      </w:pPr>
      <w:r>
        <w:rPr>
          <w:bCs/>
          <w:b/>
        </w:rPr>
        <w:t xml:space="preserve">KANO Model</w:t>
      </w:r>
      <w:r>
        <w:t xml:space="preserve">: Categorizes requirements into three types to identify value drivers:</w:t>
      </w:r>
    </w:p>
    <w:p>
      <w:pPr>
        <w:numPr>
          <w:ilvl w:val="0"/>
          <w:numId w:val="1001"/>
        </w:numPr>
        <w:pStyle w:val="Compact"/>
      </w:pPr>
      <w:r>
        <w:rPr>
          <w:iCs/>
          <w:i/>
        </w:rPr>
        <w:t xml:space="preserve">Must-Have Requirements</w:t>
      </w:r>
      <w:r>
        <w:t xml:space="preserve">: Non-negotiable features (e.g., a payment gateway for an e-commerce app—without it, the app is useless).</w:t>
      </w:r>
    </w:p>
    <w:p>
      <w:pPr>
        <w:numPr>
          <w:ilvl w:val="0"/>
          <w:numId w:val="1001"/>
        </w:numPr>
        <w:pStyle w:val="Compact"/>
      </w:pPr>
      <w:r>
        <w:rPr>
          <w:iCs/>
          <w:i/>
        </w:rPr>
        <w:t xml:space="preserve">Performance Requirements</w:t>
      </w:r>
      <w:r>
        <w:t xml:space="preserve">: Features that increase satisfaction (e.g., faster checkout times—the faster, the more satisfied users).</w:t>
      </w:r>
    </w:p>
    <w:p>
      <w:pPr>
        <w:numPr>
          <w:ilvl w:val="0"/>
          <w:numId w:val="1001"/>
        </w:numPr>
        <w:pStyle w:val="Compact"/>
      </w:pPr>
      <w:r>
        <w:rPr>
          <w:iCs/>
          <w:i/>
        </w:rPr>
        <w:t xml:space="preserve">Delighter Requirements</w:t>
      </w:r>
      <w:r>
        <w:t xml:space="preserve">: Unexpected features that create loyalty (e.g., AR product try-ons for an online clothing store).</w:t>
      </w:r>
    </w:p>
    <w:p>
      <w:pPr>
        <w:pStyle w:val="FirstParagraph"/>
      </w:pPr>
      <w:r>
        <w:t xml:space="preserve">Example: For a client in the fitness industry requesting a workout app, the KANO Model would prioritize</w:t>
      </w:r>
      <w:r>
        <w:t xml:space="preserve"> </w:t>
      </w:r>
      <w:r>
        <w:t xml:space="preserve">“</w:t>
      </w:r>
      <w:r>
        <w:t xml:space="preserve">workout tracking</w:t>
      </w:r>
      <w:r>
        <w:t xml:space="preserve">”</w:t>
      </w:r>
      <w:r>
        <w:t xml:space="preserve"> </w:t>
      </w:r>
      <w:r>
        <w:t xml:space="preserve">(must-have) over</w:t>
      </w:r>
      <w:r>
        <w:t xml:space="preserve"> </w:t>
      </w:r>
      <w:r>
        <w:t xml:space="preserve">“</w:t>
      </w:r>
      <w:r>
        <w:t xml:space="preserve">social media sharing</w:t>
      </w:r>
      <w:r>
        <w:t xml:space="preserve">”</w:t>
      </w:r>
      <w:r>
        <w:t xml:space="preserve"> </w:t>
      </w:r>
      <w:r>
        <w:t xml:space="preserve">(delighter).</w:t>
      </w:r>
    </w:p>
    <w:p>
      <w:pPr>
        <w:numPr>
          <w:ilvl w:val="0"/>
          <w:numId w:val="1002"/>
        </w:numPr>
        <w:pStyle w:val="Compact"/>
      </w:pPr>
      <w:r>
        <w:rPr>
          <w:bCs/>
          <w:b/>
        </w:rPr>
        <w:t xml:space="preserve">MoSCoW Method</w:t>
      </w:r>
      <w:r>
        <w:t xml:space="preserve">: Prioritizes requirements based on urgency and impact:</w:t>
      </w:r>
    </w:p>
    <w:p>
      <w:pPr>
        <w:numPr>
          <w:ilvl w:val="0"/>
          <w:numId w:val="1002"/>
        </w:numPr>
        <w:pStyle w:val="Compact"/>
      </w:pPr>
      <w:r>
        <w:rPr>
          <w:iCs/>
          <w:i/>
        </w:rPr>
        <w:t xml:space="preserve">Must Have</w:t>
      </w:r>
      <w:r>
        <w:t xml:space="preserve">: Critical for launch (e.g., user registration for a subscription app).</w:t>
      </w:r>
    </w:p>
    <w:p>
      <w:pPr>
        <w:numPr>
          <w:ilvl w:val="0"/>
          <w:numId w:val="1002"/>
        </w:numPr>
        <w:pStyle w:val="Compact"/>
      </w:pPr>
      <w:r>
        <w:rPr>
          <w:iCs/>
          <w:i/>
        </w:rPr>
        <w:t xml:space="preserve">Should Have</w:t>
      </w:r>
      <w:r>
        <w:t xml:space="preserve">: Important but not critical (e.g., push notifications).</w:t>
      </w:r>
    </w:p>
    <w:p>
      <w:pPr>
        <w:numPr>
          <w:ilvl w:val="0"/>
          <w:numId w:val="1002"/>
        </w:numPr>
        <w:pStyle w:val="Compact"/>
      </w:pPr>
      <w:r>
        <w:rPr>
          <w:iCs/>
          <w:i/>
        </w:rPr>
        <w:t xml:space="preserve">Could Have</w:t>
      </w:r>
      <w:r>
        <w:t xml:space="preserve">: Nice to have (e.g., customizable workout plans).</w:t>
      </w:r>
    </w:p>
    <w:p>
      <w:pPr>
        <w:numPr>
          <w:ilvl w:val="0"/>
          <w:numId w:val="1002"/>
        </w:numPr>
        <w:pStyle w:val="Compact"/>
      </w:pPr>
      <w:r>
        <w:rPr>
          <w:iCs/>
          <w:i/>
        </w:rPr>
        <w:t xml:space="preserve">Won’t Have</w:t>
      </w:r>
      <w:r>
        <w:t xml:space="preserve">: Deferred to future versions (e.g., integration with smart scales).</w:t>
      </w:r>
    </w:p>
    <w:p>
      <w:pPr>
        <w:pStyle w:val="FirstParagraph"/>
      </w:pPr>
      <w:r>
        <w:t xml:space="preserve">This method prevents scope creep and ensures the project focuses on high-value features aligned with the client’s immediate goals.</w:t>
      </w:r>
    </w:p>
    <w:p>
      <w:pPr>
        <w:numPr>
          <w:ilvl w:val="0"/>
          <w:numId w:val="1003"/>
        </w:numPr>
        <w:pStyle w:val="Compact"/>
      </w:pPr>
      <w:r>
        <w:rPr>
          <w:bCs/>
          <w:b/>
        </w:rPr>
        <w:t xml:space="preserve">Stakeholder Interviews and Document Analysis</w:t>
      </w:r>
      <w:r>
        <w:t xml:space="preserve">: To uncover implicit requirements (needs not explicitly stated by the client), the development house must engage with multiple stakeholders:</w:t>
      </w:r>
    </w:p>
    <w:p>
      <w:pPr>
        <w:numPr>
          <w:ilvl w:val="0"/>
          <w:numId w:val="1003"/>
        </w:numPr>
        <w:pStyle w:val="Compact"/>
      </w:pPr>
      <w:r>
        <w:rPr>
          <w:iCs/>
          <w:i/>
        </w:rPr>
        <w:t xml:space="preserve">Client Executives</w:t>
      </w:r>
      <w:r>
        <w:t xml:space="preserve">: Focus on business outcomes (e.g.,</w:t>
      </w:r>
      <w:r>
        <w:t xml:space="preserve"> </w:t>
      </w:r>
      <w:r>
        <w:t xml:space="preserve">“</w:t>
      </w:r>
      <w:r>
        <w:t xml:space="preserve">Reduce customer churn by 15%</w:t>
      </w:r>
      <w:r>
        <w:t xml:space="preserve">”</w:t>
      </w:r>
      <w:r>
        <w:t xml:space="preserve">).</w:t>
      </w:r>
    </w:p>
    <w:p>
      <w:pPr>
        <w:numPr>
          <w:ilvl w:val="0"/>
          <w:numId w:val="1003"/>
        </w:numPr>
        <w:pStyle w:val="Compact"/>
      </w:pPr>
      <w:r>
        <w:rPr>
          <w:iCs/>
          <w:i/>
        </w:rPr>
        <w:t xml:space="preserve">End-Users</w:t>
      </w:r>
      <w:r>
        <w:t xml:space="preserve">: Focus on usability (e.g.,</w:t>
      </w:r>
      <w:r>
        <w:t xml:space="preserve"> </w:t>
      </w:r>
      <w:r>
        <w:t xml:space="preserve">“</w:t>
      </w:r>
      <w:r>
        <w:t xml:space="preserve">The app should be easy to use for seniors</w:t>
      </w:r>
      <w:r>
        <w:t xml:space="preserve">”</w:t>
      </w:r>
      <w:r>
        <w:t xml:space="preserve">).</w:t>
      </w:r>
    </w:p>
    <w:p>
      <w:pPr>
        <w:numPr>
          <w:ilvl w:val="0"/>
          <w:numId w:val="1003"/>
        </w:numPr>
        <w:pStyle w:val="Compact"/>
      </w:pPr>
      <w:r>
        <w:rPr>
          <w:iCs/>
          <w:i/>
        </w:rPr>
        <w:t xml:space="preserve">Client IT Teams</w:t>
      </w:r>
      <w:r>
        <w:t xml:space="preserve">: Focus on integration (e.g.,</w:t>
      </w:r>
      <w:r>
        <w:t xml:space="preserve"> </w:t>
      </w:r>
      <w:r>
        <w:t xml:space="preserve">“</w:t>
      </w:r>
      <w:r>
        <w:t xml:space="preserve">The app must connect to our existing CRM</w:t>
      </w:r>
      <w:r>
        <w:t xml:space="preserve">”</w:t>
      </w:r>
      <w:r>
        <w:t xml:space="preserve">).</w:t>
      </w:r>
    </w:p>
    <w:p>
      <w:pPr>
        <w:pStyle w:val="FirstParagraph"/>
      </w:pPr>
      <w:r>
        <w:t xml:space="preserve">Example: A client requesting a</w:t>
      </w:r>
      <w:r>
        <w:t xml:space="preserve"> </w:t>
      </w:r>
      <w:r>
        <w:t xml:space="preserve">“</w:t>
      </w:r>
      <w:r>
        <w:t xml:space="preserve">patient engagement portal</w:t>
      </w:r>
      <w:r>
        <w:t xml:space="preserve">”</w:t>
      </w:r>
      <w:r>
        <w:t xml:space="preserve"> </w:t>
      </w:r>
      <w:r>
        <w:t xml:space="preserve">may implicitly need it to integrate with their EHR system (uncovered via IT team interviews) and be accessible to patients with visual impairments (uncovered via end-user interviews).</w:t>
      </w:r>
    </w:p>
    <w:p>
      <w:pPr>
        <w:pStyle w:val="BodyText"/>
      </w:pPr>
      <w:r>
        <w:rPr>
          <w:bCs/>
          <w:b/>
        </w:rPr>
        <w:t xml:space="preserve">2.1.2 Resource and Capability Mapping: Assessing Internal Fit</w:t>
      </w:r>
    </w:p>
    <w:p>
      <w:pPr>
        <w:pStyle w:val="BodyText"/>
      </w:pPr>
      <w:r>
        <w:t xml:space="preserve">Even if a project aligns with the client’s needs, it is unsuitable if the development house lacks the resources to deliver it. Resource mapping involves evaluating three key areas:</w:t>
      </w:r>
    </w:p>
    <w:p>
      <w:pPr>
        <w:numPr>
          <w:ilvl w:val="0"/>
          <w:numId w:val="1004"/>
        </w:numPr>
        <w:pStyle w:val="Compact"/>
      </w:pPr>
      <w:r>
        <w:rPr>
          <w:bCs/>
          <w:b/>
        </w:rPr>
        <w:t xml:space="preserve">Human Resource Availability</w:t>
      </w:r>
      <w:r>
        <w:t xml:space="preserve">: Matching project roles to in-house talent using a</w:t>
      </w:r>
      <w:r>
        <w:t xml:space="preserve"> </w:t>
      </w:r>
      <w:r>
        <w:rPr>
          <w:bCs/>
          <w:b/>
        </w:rPr>
        <w:t xml:space="preserve">Skill Gap Analysis Framework</w:t>
      </w:r>
      <w:r>
        <w:t xml:space="preserve"> </w:t>
      </w:r>
      <w:r>
        <w:t xml:space="preserve">(Kirkpatrick Model):</w:t>
      </w:r>
    </w:p>
    <w:p>
      <w:pPr>
        <w:numPr>
          <w:ilvl w:val="0"/>
          <w:numId w:val="1005"/>
        </w:numPr>
        <w:pStyle w:val="Compact"/>
      </w:pPr>
      <w:r>
        <w:rPr>
          <w:iCs/>
          <w:i/>
        </w:rPr>
        <w:t xml:space="preserve">Identify Required Skills</w:t>
      </w:r>
      <w:r>
        <w:t xml:space="preserve">: List skills needed for the project (e.g., for a blockchain project: Solidity programming, smart contract auditing, Web3 integration).</w:t>
      </w:r>
    </w:p>
    <w:p>
      <w:pPr>
        <w:numPr>
          <w:ilvl w:val="0"/>
          <w:numId w:val="1005"/>
        </w:numPr>
        <w:pStyle w:val="Compact"/>
      </w:pPr>
      <w:r>
        <w:rPr>
          <w:iCs/>
          <w:i/>
        </w:rPr>
        <w:t xml:space="preserve">Assess Current Skills</w:t>
      </w:r>
      <w:r>
        <w:t xml:space="preserve">: Evaluate the team’s existing skills via competency tests, past project performance, and self-assessments.</w:t>
      </w:r>
    </w:p>
    <w:p>
      <w:pPr>
        <w:numPr>
          <w:ilvl w:val="0"/>
          <w:numId w:val="1005"/>
        </w:numPr>
        <w:pStyle w:val="Compact"/>
      </w:pPr>
      <w:r>
        <w:rPr>
          <w:iCs/>
          <w:i/>
        </w:rPr>
        <w:t xml:space="preserve">Identify Gaps</w:t>
      </w:r>
      <w:r>
        <w:t xml:space="preserve">: Document gaps (e.g.,</w:t>
      </w:r>
      <w:r>
        <w:t xml:space="preserve"> </w:t>
      </w:r>
      <w:r>
        <w:t xml:space="preserve">“</w:t>
      </w:r>
      <w:r>
        <w:t xml:space="preserve">Team has Solidity skills but no smart contract auditing expertise</w:t>
      </w:r>
      <w:r>
        <w:t xml:space="preserve">”</w:t>
      </w:r>
      <w:r>
        <w:t xml:space="preserve">).</w:t>
      </w:r>
    </w:p>
    <w:p>
      <w:pPr>
        <w:numPr>
          <w:ilvl w:val="0"/>
          <w:numId w:val="1005"/>
        </w:numPr>
        <w:pStyle w:val="Compact"/>
      </w:pPr>
      <w:r>
        <w:rPr>
          <w:iCs/>
          <w:i/>
        </w:rPr>
        <w:t xml:space="preserve">Develop Mitigation Plans</w:t>
      </w:r>
      <w:r>
        <w:t xml:space="preserve">: Address gaps through hiring (contractors or full-time staff), training (e.g., online courses via Coursera or Udemy), or partnering with specialists (e.g., a blockchain audit firm).</w:t>
      </w:r>
    </w:p>
    <w:p>
      <w:pPr>
        <w:pStyle w:val="FirstParagraph"/>
      </w:pPr>
      <w:r>
        <w:t xml:space="preserve">Example: A development house evaluating a machine learning (ML) project identifies a gap in NLP expertise. It mitigates this by hiring a freelance NLP specialist for the project duration and enrolling two team members in an NLP certification course to build long-term capability.</w:t>
      </w:r>
    </w:p>
    <w:p>
      <w:pPr>
        <w:numPr>
          <w:ilvl w:val="0"/>
          <w:numId w:val="1006"/>
        </w:numPr>
        <w:pStyle w:val="Compact"/>
      </w:pPr>
      <w:r>
        <w:rPr>
          <w:bCs/>
          <w:b/>
        </w:rPr>
        <w:t xml:space="preserve">Technological Infrastructure Fit</w:t>
      </w:r>
      <w:r>
        <w:t xml:space="preserve">: Ensuring existing tools and infrastructure can support the project, using tools like:</w:t>
      </w:r>
    </w:p>
    <w:p>
      <w:pPr>
        <w:numPr>
          <w:ilvl w:val="0"/>
          <w:numId w:val="1006"/>
        </w:numPr>
        <w:pStyle w:val="Compact"/>
      </w:pPr>
      <w:r>
        <w:rPr>
          <w:bCs/>
          <w:b/>
        </w:rPr>
        <w:t xml:space="preserve">Cloud Cost Calculators</w:t>
      </w:r>
      <w:r>
        <w:t xml:space="preserve">: AWS Pricing Calculator, Azure Cost Management, or Google Cloud Pricing Calculator to estimate infrastructure costs (e.g., server capacity, storage) for projects requiring cloud deployment.</w:t>
      </w:r>
    </w:p>
    <w:p>
      <w:pPr>
        <w:numPr>
          <w:ilvl w:val="0"/>
          <w:numId w:val="1006"/>
        </w:numPr>
        <w:pStyle w:val="Compact"/>
      </w:pPr>
      <w:r>
        <w:rPr>
          <w:bCs/>
          <w:b/>
        </w:rPr>
        <w:t xml:space="preserve">Compatibility Testing Tools</w:t>
      </w:r>
      <w:r>
        <w:t xml:space="preserve">: Tools like Selenium (for cross-browser testing) or Postman (for API testing) to verify if existing development tools (e.g., React, Node.js) are compatible with the project’s technology stack.</w:t>
      </w:r>
    </w:p>
    <w:p>
      <w:pPr>
        <w:numPr>
          <w:ilvl w:val="0"/>
          <w:numId w:val="1006"/>
        </w:numPr>
        <w:pStyle w:val="Compact"/>
      </w:pPr>
      <w:r>
        <w:rPr>
          <w:bCs/>
          <w:b/>
        </w:rPr>
        <w:t xml:space="preserve">Infrastructure as Code (IaC) Tools</w:t>
      </w:r>
      <w:r>
        <w:t xml:space="preserve">: Terraform or AWS CloudFormation to assess if the house can scale infrastructure efficiently for projects with high growth expectations (e.g., a social media app targeting 1M+ users).</w:t>
      </w:r>
    </w:p>
    <w:p>
      <w:pPr>
        <w:pStyle w:val="FirstParagraph"/>
      </w:pPr>
      <w:r>
        <w:t xml:space="preserve">Example: A project requiring real-time data processing (e.g., a stock trading app) needs a cloud infrastructure with low latency. The development house uses AWS’s Lambda (serverless) and Kinesis (real-time data streaming) to assess fit—finding that its existing AWS account has sufficient capacity but needs to upgrade to a higher-tier support plan for 24/7 monitoring.</w:t>
      </w:r>
    </w:p>
    <w:p>
      <w:pPr>
        <w:numPr>
          <w:ilvl w:val="0"/>
          <w:numId w:val="1007"/>
        </w:numPr>
        <w:pStyle w:val="Compact"/>
      </w:pPr>
      <w:r>
        <w:rPr>
          <w:bCs/>
          <w:b/>
        </w:rPr>
        <w:t xml:space="preserve">Financial Viability</w:t>
      </w:r>
      <w:r>
        <w:t xml:space="preserve">: Conducting a</w:t>
      </w:r>
      <w:r>
        <w:t xml:space="preserve"> </w:t>
      </w:r>
      <w:r>
        <w:rPr>
          <w:bCs/>
          <w:b/>
        </w:rPr>
        <w:t xml:space="preserve">Cost-Benefit Analysis (CBA)</w:t>
      </w:r>
      <w:r>
        <w:t xml:space="preserve"> </w:t>
      </w:r>
      <w:r>
        <w:t xml:space="preserve">to ensure the project generates sufficient returns for the development house. Key components of CBA include:</w:t>
      </w:r>
    </w:p>
    <w:p>
      <w:pPr>
        <w:numPr>
          <w:ilvl w:val="0"/>
          <w:numId w:val="1007"/>
        </w:numPr>
        <w:pStyle w:val="Compact"/>
      </w:pPr>
      <w:r>
        <w:rPr>
          <w:iCs/>
          <w:i/>
        </w:rPr>
        <w:t xml:space="preserve">Costs</w:t>
      </w:r>
      <w:r>
        <w:t xml:space="preserve">: Direct costs (labor, infrastructure, tools) and indirect costs (training, project management, overhead).</w:t>
      </w:r>
    </w:p>
    <w:p>
      <w:pPr>
        <w:numPr>
          <w:ilvl w:val="0"/>
          <w:numId w:val="1007"/>
        </w:numPr>
        <w:pStyle w:val="Compact"/>
      </w:pPr>
      <w:r>
        <w:rPr>
          <w:iCs/>
          <w:i/>
        </w:rPr>
        <w:t xml:space="preserve">Benefits</w:t>
      </w:r>
      <w:r>
        <w:t xml:space="preserve">: Tangible benefits (client fees, repeat business) and intangible benefits (portfolio expansion, brand reputation).</w:t>
      </w:r>
    </w:p>
    <w:p>
      <w:pPr>
        <w:numPr>
          <w:ilvl w:val="0"/>
          <w:numId w:val="1007"/>
        </w:numPr>
        <w:pStyle w:val="Compact"/>
      </w:pPr>
      <w:r>
        <w:rPr>
          <w:iCs/>
          <w:i/>
        </w:rPr>
        <w:t xml:space="preserve">ROI Calculation</w:t>
      </w:r>
      <w:r>
        <w:t xml:space="preserve">: ROI = (Net Benefits / Total Costs) x 100. A project with an ROI below the house’s minimum threshold (e.g., 15%) is financially unsuitable.</w:t>
      </w:r>
    </w:p>
    <w:p>
      <w:pPr>
        <w:pStyle w:val="FirstParagraph"/>
      </w:pPr>
      <w:r>
        <w:t xml:space="preserve">Example: A client offers</w:t>
      </w:r>
    </w:p>
    <w:p>
      <w:pPr>
        <w:pStyle w:val="BodyText"/>
      </w:pPr>
      <w:r>
        <w:t xml:space="preserve">100,000</w:t>
      </w:r>
      <w:r>
        <w:rPr>
          <w:iCs/>
          <w:i/>
        </w:rPr>
        <w:t xml:space="preserve">fora</w:t>
      </w:r>
      <w:r>
        <w:t xml:space="preserve">6−</w:t>
      </w:r>
      <w:r>
        <w:rPr>
          <w:iCs/>
          <w:i/>
        </w:rPr>
        <w:t xml:space="preserve">monthe</w:t>
      </w:r>
      <w:r>
        <w:t xml:space="preserve">−</w:t>
      </w:r>
      <w:r>
        <w:rPr>
          <w:iCs/>
          <w:i/>
        </w:rPr>
        <w:t xml:space="preserve">commerceproject</w:t>
      </w:r>
      <w:r>
        <w:t xml:space="preserve">.</w:t>
      </w:r>
      <w:r>
        <w:rPr>
          <w:iCs/>
          <w:i/>
        </w:rPr>
        <w:t xml:space="preserve">Thedevelopmenthousecalculatestotalcosts</w:t>
      </w:r>
      <w:r>
        <w:t xml:space="preserve">(</w:t>
      </w:r>
      <w:r>
        <w:rPr>
          <w:iCs/>
          <w:i/>
        </w:rPr>
        <w:t xml:space="preserve">labor</w:t>
      </w:r>
      <w:r>
        <w:t xml:space="preserve">:</w:t>
      </w:r>
    </w:p>
    <w:p>
      <w:pPr>
        <w:pStyle w:val="BodyText"/>
      </w:pPr>
      <w:r>
        <w:t xml:space="preserve">60,000; infrastructure:</w:t>
      </w:r>
    </w:p>
    <w:p>
      <w:pPr>
        <w:pStyle w:val="BodyText"/>
      </w:pPr>
      <w:r>
        <w:t xml:space="preserve">10,000;</w:t>
      </w:r>
      <w:r>
        <w:rPr>
          <w:iCs/>
          <w:i/>
        </w:rPr>
        <w:t xml:space="preserve">tools</w:t>
      </w:r>
      <w:r>
        <w:t xml:space="preserve">:</w:t>
      </w:r>
    </w:p>
    <w:p>
      <w:pPr>
        <w:pStyle w:val="BodyText"/>
      </w:pPr>
      <w:r>
        <w:t xml:space="preserve">5,000) =</w:t>
      </w:r>
    </w:p>
    <w:p>
      <w:pPr>
        <w:pStyle w:val="BodyText"/>
      </w:pPr>
      <w:r>
        <w:t xml:space="preserve">75,000.</w:t>
      </w:r>
      <w:r>
        <w:rPr>
          <w:iCs/>
          <w:i/>
        </w:rPr>
        <w:t xml:space="preserve">Netbenefits</w:t>
      </w:r>
      <w:r>
        <w:t xml:space="preserve">=</w:t>
      </w:r>
    </w:p>
    <w:p>
      <w:pPr>
        <w:pStyle w:val="BodyText"/>
      </w:pPr>
      <w:r>
        <w:t xml:space="preserve">25,000, ROI = 33%—exceeding the 15% threshold, so financially suitable.</w:t>
      </w:r>
    </w:p>
    <w:p>
      <w:pPr>
        <w:pStyle w:val="BodyText"/>
      </w:pPr>
      <w:r>
        <w:rPr>
          <w:bCs/>
          <w:b/>
        </w:rPr>
        <w:t xml:space="preserve">2.2 Regulatory and Ethical Compliance: Mitigating Legal and Reputational Risks</w:t>
      </w:r>
    </w:p>
    <w:p>
      <w:pPr>
        <w:pStyle w:val="BodyText"/>
      </w:pPr>
      <w:r>
        <w:t xml:space="preserve">Suitability also depends on the project’s adherence to laws, industry standards, and ethical guidelines. Non-compliance can lead to fines, legal action, and irreparable damage to the development house’s reputation.</w:t>
      </w:r>
    </w:p>
    <w:p>
      <w:pPr>
        <w:pStyle w:val="BodyText"/>
      </w:pPr>
      <w:r>
        <w:rPr>
          <w:bCs/>
          <w:b/>
        </w:rPr>
        <w:t xml:space="preserve">2.2.1 Legal and Industry Standards Adherence</w:t>
      </w:r>
    </w:p>
    <w:p>
      <w:pPr>
        <w:pStyle w:val="BodyText"/>
      </w:pPr>
      <w:r>
        <w:t xml:space="preserve">Regulatory requirements vary by industry and geography, requiring a project-specific compliance assessment. Key regulations and assessment methodologies include:</w:t>
      </w:r>
    </w:p>
    <w:p>
      <w:pPr>
        <w:numPr>
          <w:ilvl w:val="0"/>
          <w:numId w:val="1008"/>
        </w:numPr>
        <w:pStyle w:val="Compact"/>
      </w:pPr>
      <w:r>
        <w:rPr>
          <w:bCs/>
          <w:b/>
        </w:rPr>
        <w:t xml:space="preserve">Data Protection Laws</w:t>
      </w:r>
      <w:r>
        <w:t xml:space="preserve">: GDPR (EU), CCPA/CPRA (California), and PIPL (China) govern the collection, storage, and use of personal data. For projects handling user data (e.g., e-commerce, healthcare), compliance involves:</w:t>
      </w:r>
    </w:p>
    <w:p>
      <w:pPr>
        <w:numPr>
          <w:ilvl w:val="0"/>
          <w:numId w:val="1009"/>
        </w:numPr>
        <w:pStyle w:val="Compact"/>
      </w:pPr>
      <w:r>
        <w:rPr>
          <w:iCs/>
          <w:i/>
        </w:rPr>
        <w:t xml:space="preserve">Data Mapping</w:t>
      </w:r>
      <w:r>
        <w:t xml:space="preserve">: Documenting what personal data is collected (e.g., names, emails), how it is stored (e.g., encrypted databases), and how it is used (e.g., marketing).</w:t>
      </w:r>
    </w:p>
    <w:p>
      <w:pPr>
        <w:numPr>
          <w:ilvl w:val="0"/>
          <w:numId w:val="1009"/>
        </w:numPr>
        <w:pStyle w:val="Compact"/>
      </w:pPr>
      <w:r>
        <w:rPr>
          <w:iCs/>
          <w:i/>
        </w:rPr>
        <w:t xml:space="preserve">Consent Management</w:t>
      </w:r>
      <w:r>
        <w:t xml:space="preserve">: Ensuring users give explicit consent to data collection (e.g., checkboxes in sign-up forms) and can withdraw consent (e.g.,</w:t>
      </w:r>
      <w:r>
        <w:t xml:space="preserve"> </w:t>
      </w:r>
      <w:r>
        <w:t xml:space="preserve">“</w:t>
      </w:r>
      <w:r>
        <w:t xml:space="preserve">unsubscribe</w:t>
      </w:r>
      <w:r>
        <w:t xml:space="preserve">”</w:t>
      </w:r>
      <w:r>
        <w:t xml:space="preserve"> </w:t>
      </w:r>
      <w:r>
        <w:t xml:space="preserve">links).</w:t>
      </w:r>
    </w:p>
    <w:p>
      <w:pPr>
        <w:numPr>
          <w:ilvl w:val="0"/>
          <w:numId w:val="1009"/>
        </w:numPr>
        <w:pStyle w:val="Compact"/>
      </w:pPr>
      <w:r>
        <w:rPr>
          <w:iCs/>
          <w:i/>
        </w:rPr>
        <w:t xml:space="preserve">Data Subject Rights</w:t>
      </w:r>
      <w:r>
        <w:t xml:space="preserve">: Enabling users to access, correct, or delete their data (e.g., a</w:t>
      </w:r>
      <w:r>
        <w:t xml:space="preserve"> </w:t>
      </w:r>
      <w:r>
        <w:t xml:space="preserve">“</w:t>
      </w:r>
      <w:r>
        <w:t xml:space="preserve">My Data</w:t>
      </w:r>
      <w:r>
        <w:t xml:space="preserve">”</w:t>
      </w:r>
      <w:r>
        <w:t xml:space="preserve"> </w:t>
      </w:r>
      <w:r>
        <w:t xml:space="preserve">portal in the app).</w:t>
      </w:r>
    </w:p>
    <w:p>
      <w:pPr>
        <w:pStyle w:val="FirstParagraph"/>
      </w:pPr>
      <w:r>
        <w:t xml:space="preserve">Example: A development house building a customer loyalty app for a EU-based retailer must comply with GDPR. It implements end-to-end encryption for user data, a consent management tool (OneTrust), and a portal for users to request data deletion—avoiding potential fines of up to 4% of global annual revenue.</w:t>
      </w:r>
    </w:p>
    <w:p>
      <w:pPr>
        <w:numPr>
          <w:ilvl w:val="0"/>
          <w:numId w:val="1010"/>
        </w:numPr>
        <w:pStyle w:val="Compact"/>
      </w:pPr>
      <w:r>
        <w:rPr>
          <w:bCs/>
          <w:b/>
        </w:rPr>
        <w:t xml:space="preserve">Industry-Specific Standards</w:t>
      </w:r>
      <w:r>
        <w:t xml:space="preserve">:</w:t>
      </w:r>
    </w:p>
    <w:p>
      <w:pPr>
        <w:numPr>
          <w:ilvl w:val="0"/>
          <w:numId w:val="1010"/>
        </w:numPr>
        <w:pStyle w:val="Compact"/>
      </w:pPr>
      <w:r>
        <w:rPr>
          <w:iCs/>
          <w:i/>
        </w:rPr>
        <w:t xml:space="preserve">Healthcare</w:t>
      </w:r>
      <w:r>
        <w:t xml:space="preserve">: HIPAA (U.S.) and ISO 13485 require healthcare IT projects (e.g., EHR systems) to implement:</w:t>
      </w:r>
    </w:p>
    <w:p>
      <w:pPr>
        <w:numPr>
          <w:ilvl w:val="0"/>
          <w:numId w:val="1010"/>
        </w:numPr>
        <w:pStyle w:val="Compact"/>
      </w:pPr>
      <w:r>
        <w:t xml:space="preserve">Administrative safeguards (e.g., access controls, employee training).</w:t>
      </w:r>
    </w:p>
    <w:p>
      <w:pPr>
        <w:numPr>
          <w:ilvl w:val="0"/>
          <w:numId w:val="1010"/>
        </w:numPr>
        <w:pStyle w:val="Compact"/>
      </w:pPr>
      <w:r>
        <w:t xml:space="preserve">Physical safeguards (e.g., secure server rooms, encrypted laptops).</w:t>
      </w:r>
    </w:p>
    <w:p>
      <w:pPr>
        <w:numPr>
          <w:ilvl w:val="0"/>
          <w:numId w:val="1010"/>
        </w:numPr>
        <w:pStyle w:val="Compact"/>
      </w:pPr>
      <w:r>
        <w:t xml:space="preserve">Technical safeguards (e.g., audit trails, data backup).</w:t>
      </w:r>
    </w:p>
    <w:p>
      <w:pPr>
        <w:numPr>
          <w:ilvl w:val="0"/>
          <w:numId w:val="1010"/>
        </w:numPr>
        <w:pStyle w:val="Compact"/>
      </w:pPr>
      <w:r>
        <w:rPr>
          <w:iCs/>
          <w:i/>
        </w:rPr>
        <w:t xml:space="preserve">Finance</w:t>
      </w:r>
      <w:r>
        <w:t xml:space="preserve">: PCI DSS (for payment processing) and ISO 22301 (for business continuity) require fintech projects (e.g., payment apps) to:</w:t>
      </w:r>
    </w:p>
    <w:p>
      <w:pPr>
        <w:numPr>
          <w:ilvl w:val="0"/>
          <w:numId w:val="1010"/>
        </w:numPr>
        <w:pStyle w:val="Compact"/>
      </w:pPr>
      <w:r>
        <w:t xml:space="preserve">Encrypt payment card data (e.g., using AES-256).</w:t>
      </w:r>
    </w:p>
    <w:p>
      <w:pPr>
        <w:numPr>
          <w:ilvl w:val="0"/>
          <w:numId w:val="1010"/>
        </w:numPr>
        <w:pStyle w:val="Compact"/>
      </w:pPr>
      <w:r>
        <w:t xml:space="preserve">Conduct regular security audits (e.g., quarterly penetration testing).</w:t>
      </w:r>
    </w:p>
    <w:p>
      <w:pPr>
        <w:numPr>
          <w:ilvl w:val="0"/>
          <w:numId w:val="1010"/>
        </w:numPr>
        <w:pStyle w:val="Compact"/>
      </w:pPr>
      <w:r>
        <w:t xml:space="preserve">Maintain disaster recovery plans (e.g., off-site data backups).</w:t>
      </w:r>
    </w:p>
    <w:p>
      <w:pPr>
        <w:pStyle w:val="FirstParagraph"/>
      </w:pPr>
      <w:r>
        <w:t xml:space="preserve">Example: A development house building a mobile payment app for a bank must comply with PCI DSS. It partners with a PCI-certified payment processor (Stripe) and conducts monthly vulnerability scans using tools like Nessus—ensuring compliance and avoiding fines of up to $100,000 per month for non-compliance.</w:t>
      </w:r>
    </w:p>
    <w:p>
      <w:pPr>
        <w:numPr>
          <w:ilvl w:val="0"/>
          <w:numId w:val="1011"/>
        </w:numPr>
        <w:pStyle w:val="Compact"/>
      </w:pPr>
      <w:r>
        <w:rPr>
          <w:bCs/>
          <w:b/>
        </w:rPr>
        <w:t xml:space="preserve">Contractual Obligations</w:t>
      </w:r>
      <w:r>
        <w:t xml:space="preserve">: Evaluating terms in the client contract to ensure alignment with the development house’s capabilities:</w:t>
      </w:r>
    </w:p>
    <w:p>
      <w:pPr>
        <w:numPr>
          <w:ilvl w:val="0"/>
          <w:numId w:val="1011"/>
        </w:numPr>
        <w:pStyle w:val="Compact"/>
      </w:pPr>
      <w:r>
        <w:rPr>
          <w:iCs/>
          <w:i/>
        </w:rPr>
        <w:t xml:space="preserve">Service-Level Agreements (SLAs)</w:t>
      </w:r>
      <w:r>
        <w:t xml:space="preserve">: Defining performance metrics (e.g., app uptime ≥99.9%, response time ≤2 seconds) and penalties for non-compliance (e.g., 5% fee reduction for each hour of downtime).</w:t>
      </w:r>
    </w:p>
    <w:p>
      <w:pPr>
        <w:numPr>
          <w:ilvl w:val="0"/>
          <w:numId w:val="1011"/>
        </w:numPr>
        <w:pStyle w:val="Compact"/>
      </w:pPr>
      <w:r>
        <w:rPr>
          <w:iCs/>
          <w:i/>
        </w:rPr>
        <w:t xml:space="preserve">Intellectual Property (IP) Rights</w:t>
      </w:r>
      <w:r>
        <w:t xml:space="preserve">: Clarifying who owns the project’s IP (e.g., client owns the final product, development house retains rights to custom tools used).</w:t>
      </w:r>
    </w:p>
    <w:p>
      <w:pPr>
        <w:numPr>
          <w:ilvl w:val="0"/>
          <w:numId w:val="1011"/>
        </w:numPr>
        <w:pStyle w:val="Compact"/>
      </w:pPr>
      <w:r>
        <w:rPr>
          <w:iCs/>
          <w:i/>
        </w:rPr>
        <w:t xml:space="preserve">Non-Disclosure Agreements (NDAs)</w:t>
      </w:r>
      <w:r>
        <w:t xml:space="preserve">: Ensuring team members sign NDAs to protect client confidential information (e.g., trade secrets, user data).</w:t>
      </w:r>
    </w:p>
    <w:p>
      <w:pPr>
        <w:pStyle w:val="FirstParagraph"/>
      </w:pPr>
      <w:r>
        <w:t xml:space="preserve">Example: A client requests that the development house transfer all IP rights for a custom CRM. The house reviews the contract and negotiates to retain rights to the underlying framework (used in other projects)—avoiding the loss of a valuable asset.</w:t>
      </w:r>
    </w:p>
    <w:p>
      <w:pPr>
        <w:pStyle w:val="BodyText"/>
      </w:pPr>
      <w:r>
        <w:rPr>
          <w:bCs/>
          <w:b/>
        </w:rPr>
        <w:t xml:space="preserve">2.2.2 Ethical and Social Responsibility</w:t>
      </w:r>
    </w:p>
    <w:p>
      <w:pPr>
        <w:pStyle w:val="BodyText"/>
      </w:pPr>
      <w:r>
        <w:t xml:space="preserve">In an era of increased scrutiny, ethical missteps (e.g., biased AI, invasive data collection) can damage a development house’s brand. Ethical evaluation uses frameworks like the</w:t>
      </w:r>
      <w:r>
        <w:t xml:space="preserve"> </w:t>
      </w:r>
      <w:r>
        <w:rPr>
          <w:bCs/>
          <w:b/>
        </w:rPr>
        <w:t xml:space="preserve">IEEE Global Initiative on Ethics of Autonomous and Intelligent Systems</w:t>
      </w:r>
      <w:r>
        <w:t xml:space="preserve"> </w:t>
      </w:r>
      <w:r>
        <w:t xml:space="preserve">and focuses on three areas:</w:t>
      </w:r>
    </w:p>
    <w:p>
      <w:pPr>
        <w:numPr>
          <w:ilvl w:val="0"/>
          <w:numId w:val="1012"/>
        </w:numPr>
        <w:pStyle w:val="Compact"/>
      </w:pPr>
      <w:r>
        <w:rPr>
          <w:bCs/>
          <w:b/>
        </w:rPr>
        <w:t xml:space="preserve">Avoiding Harmful Technologies</w:t>
      </w:r>
      <w:r>
        <w:t xml:space="preserve">: Assessing whether the project could cause physical, psychological, or societal harm. For example:</w:t>
      </w:r>
    </w:p>
    <w:p>
      <w:pPr>
        <w:numPr>
          <w:ilvl w:val="0"/>
          <w:numId w:val="1012"/>
        </w:numPr>
        <w:pStyle w:val="Compact"/>
      </w:pPr>
      <w:r>
        <w:t xml:space="preserve">A facial recognition project for law enforcement risks racial bias if trained on non-diverse datasets—leading to wrongful arrests.</w:t>
      </w:r>
    </w:p>
    <w:p>
      <w:pPr>
        <w:numPr>
          <w:ilvl w:val="0"/>
          <w:numId w:val="1012"/>
        </w:numPr>
        <w:pStyle w:val="Compact"/>
      </w:pPr>
      <w:r>
        <w:t xml:space="preserve">A social media algorithm that prioritizes engagement over accuracy risks spreading misinformation—harming public trust.</w:t>
      </w:r>
    </w:p>
    <w:p>
      <w:pPr>
        <w:pStyle w:val="FirstParagraph"/>
      </w:pPr>
      <w:r>
        <w:t xml:space="preserve">Mitigation strategies include:</w:t>
      </w:r>
    </w:p>
    <w:p>
      <w:pPr>
        <w:numPr>
          <w:ilvl w:val="0"/>
          <w:numId w:val="1013"/>
        </w:numPr>
        <w:pStyle w:val="Compact"/>
      </w:pPr>
      <w:r>
        <w:t xml:space="preserve">Conducting</w:t>
      </w:r>
      <w:r>
        <w:t xml:space="preserve"> </w:t>
      </w:r>
      <w:r>
        <w:rPr>
          <w:bCs/>
          <w:b/>
        </w:rPr>
        <w:t xml:space="preserve">ethical impact assessments</w:t>
      </w:r>
      <w:r>
        <w:t xml:space="preserve"> </w:t>
      </w:r>
      <w:r>
        <w:t xml:space="preserve">(EIAs) to identify potential harms.</w:t>
      </w:r>
    </w:p>
    <w:p>
      <w:pPr>
        <w:numPr>
          <w:ilvl w:val="0"/>
          <w:numId w:val="1013"/>
        </w:numPr>
        <w:pStyle w:val="Compact"/>
      </w:pPr>
      <w:r>
        <w:t xml:space="preserve">Using diverse datasets for AI projects (e.g., incorporating data from underrepresented groups).</w:t>
      </w:r>
    </w:p>
    <w:p>
      <w:pPr>
        <w:numPr>
          <w:ilvl w:val="0"/>
          <w:numId w:val="1013"/>
        </w:numPr>
        <w:pStyle w:val="Compact"/>
      </w:pPr>
      <w:r>
        <w:t xml:space="preserve">Implementing</w:t>
      </w:r>
      <w:r>
        <w:t xml:space="preserve"> </w:t>
      </w:r>
      <w:r>
        <w:t xml:space="preserve">“</w:t>
      </w:r>
      <w:r>
        <w:t xml:space="preserve">ethical guardrails</w:t>
      </w:r>
      <w:r>
        <w:t xml:space="preserve">”</w:t>
      </w:r>
      <w:r>
        <w:t xml:space="preserve"> </w:t>
      </w:r>
      <w:r>
        <w:t xml:space="preserve">(e.g., fact-checking modules for social media algorithms).</w:t>
      </w:r>
    </w:p>
    <w:p>
      <w:pPr>
        <w:numPr>
          <w:ilvl w:val="0"/>
          <w:numId w:val="1013"/>
        </w:numPr>
        <w:pStyle w:val="Compact"/>
      </w:pPr>
      <w:r>
        <w:rPr>
          <w:bCs/>
          <w:b/>
        </w:rPr>
        <w:t xml:space="preserve">Accessibility for All Users</w:t>
      </w:r>
      <w:r>
        <w:t xml:space="preserve">: Ensuring the project complies with</w:t>
      </w:r>
      <w:r>
        <w:t xml:space="preserve"> </w:t>
      </w:r>
      <w:r>
        <w:rPr>
          <w:bCs/>
          <w:b/>
        </w:rPr>
        <w:t xml:space="preserve">WCAG 2.2</w:t>
      </w:r>
      <w:r>
        <w:t xml:space="preserve"> </w:t>
      </w:r>
      <w:r>
        <w:t xml:space="preserve">(Web Content Accessibility Guidelines), which requires:</w:t>
      </w:r>
    </w:p>
    <w:p>
      <w:pPr>
        <w:numPr>
          <w:ilvl w:val="0"/>
          <w:numId w:val="1013"/>
        </w:numPr>
        <w:pStyle w:val="Compact"/>
      </w:pPr>
      <w:r>
        <w:t xml:space="preserve">Screen reader compatibility (e.g., using ARIA labels for app buttons).</w:t>
      </w:r>
    </w:p>
    <w:p>
      <w:pPr>
        <w:numPr>
          <w:ilvl w:val="0"/>
          <w:numId w:val="1013"/>
        </w:numPr>
        <w:pStyle w:val="Compact"/>
      </w:pPr>
      <w:r>
        <w:t xml:space="preserve">Color contrast (e.g., minimum 4.5:1 for text) for users with visual impairments.</w:t>
      </w:r>
    </w:p>
    <w:p>
      <w:pPr>
        <w:numPr>
          <w:ilvl w:val="0"/>
          <w:numId w:val="1013"/>
        </w:numPr>
        <w:pStyle w:val="Compact"/>
      </w:pPr>
      <w:r>
        <w:t xml:space="preserve">Keyboard navigation (e.g., no mouse-only interactions) for users with motor disabilities.</w:t>
      </w:r>
    </w:p>
    <w:p>
      <w:pPr>
        <w:pStyle w:val="FirstParagraph"/>
      </w:pPr>
      <w:r>
        <w:t xml:space="preserve">Example: A development house building an educational app for children must ensure it is accessible to students with disabilities. It uses tools like WAVE (Web Accessibility Evaluation Tool) to test for issues (e.g., low color contrast) and hires an accessibility consultant to review the design—resulting in an app that meets WCAG 2.2 AA standards and expands its user base.</w:t>
      </w:r>
    </w:p>
    <w:p>
      <w:pPr>
        <w:numPr>
          <w:ilvl w:val="0"/>
          <w:numId w:val="1014"/>
        </w:numPr>
        <w:pStyle w:val="Compact"/>
      </w:pPr>
      <w:r>
        <w:rPr>
          <w:bCs/>
          <w:b/>
        </w:rPr>
        <w:t xml:space="preserve">Environmental Sustainability</w:t>
      </w:r>
      <w:r>
        <w:t xml:space="preserve">: Evaluating the project’s carbon footprint and implementing eco-friendly practices:</w:t>
      </w:r>
    </w:p>
    <w:p>
      <w:pPr>
        <w:numPr>
          <w:ilvl w:val="0"/>
          <w:numId w:val="1014"/>
        </w:numPr>
        <w:pStyle w:val="Compact"/>
      </w:pPr>
      <w:r>
        <w:rPr>
          <w:iCs/>
          <w:i/>
        </w:rPr>
        <w:t xml:space="preserve">Cloud Optimization</w:t>
      </w:r>
      <w:r>
        <w:t xml:space="preserve">: Choosing cloud providers with renewable energy (e.g., AWS, Google Cloud) and right-sizing instances to reduce energy usage.</w:t>
      </w:r>
    </w:p>
    <w:p>
      <w:pPr>
        <w:numPr>
          <w:ilvl w:val="0"/>
          <w:numId w:val="1014"/>
        </w:numPr>
        <w:pStyle w:val="Compact"/>
      </w:pPr>
      <w:r>
        <w:rPr>
          <w:iCs/>
          <w:i/>
        </w:rPr>
        <w:t xml:space="preserve">Code Efficiency</w:t>
      </w:r>
      <w:r>
        <w:t xml:space="preserve">: Writing optimized code (e.g., reducing redundant computations) to lower server load and energy consumption.</w:t>
      </w:r>
    </w:p>
    <w:p>
      <w:pPr>
        <w:numPr>
          <w:ilvl w:val="0"/>
          <w:numId w:val="1014"/>
        </w:numPr>
        <w:pStyle w:val="Compact"/>
      </w:pPr>
      <w:r>
        <w:rPr>
          <w:iCs/>
          <w:i/>
        </w:rPr>
        <w:t xml:space="preserve">E-Waste Reduction</w:t>
      </w:r>
      <w:r>
        <w:t xml:space="preserve">: Using open-source tools instead of proprietary software (reducing hardware upgrades) and promoting remote work (reducing commuting emissions).</w:t>
      </w:r>
    </w:p>
    <w:p>
      <w:pPr>
        <w:pStyle w:val="FirstParagraph"/>
      </w:pPr>
      <w:r>
        <w:t xml:space="preserve">Example: A development house building a SaaS platform for a sustainability-focused client prioritizes eco-friendly practices. It uses Google Cloud (100% renewable energy) and optimizes code to reduce server usage by 20%—aligning with the client’s values and attracting similar clients.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2026-10-09T09:58:31Z</dcterms:created>
  <dcterms:modified xsi:type="dcterms:W3CDTF">2026-10-09T09:58:31Z</dcterms:modified>
</cp:coreProperties>
</file>

<file path=docProps/custom.xml><?xml version="1.0" encoding="utf-8"?>
<Properties xmlns="http://schemas.openxmlformats.org/officeDocument/2006/custom-properties" xmlns:vt="http://schemas.openxmlformats.org/officeDocument/2006/docPropsVTypes"/>
</file>