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8e902510f407d33fe2cace184c18ed01a4b8f8"/>
    <w:p>
      <w:pPr>
        <w:pStyle w:val="Heading1"/>
      </w:pPr>
      <w:r>
        <w:t xml:space="preserve">Key Success Factors in Integrated Evaluation</w:t>
      </w:r>
    </w:p>
    <w:p>
      <w:pPr>
        <w:pStyle w:val="FirstParagraph"/>
      </w:pPr>
      <w:r>
        <w:t xml:space="preserve">Integrated evaluation combines suitability and difficulty assessments to make holistic project decisions. This section focuses on the critical factors that ensure evaluation is rigorous, stakeholder-aligned, and data-driven.</w:t>
      </w:r>
    </w:p>
    <w:p>
      <w:pPr>
        <w:pStyle w:val="BodyText"/>
      </w:pPr>
      <w:r>
        <w:rPr>
          <w:bCs/>
          <w:b/>
        </w:rPr>
        <w:t xml:space="preserve">4.1 Stakeholder Engagement and Communication</w:t>
      </w:r>
    </w:p>
    <w:p>
      <w:pPr>
        <w:pStyle w:val="BodyText"/>
      </w:pPr>
      <w:r>
        <w:t xml:space="preserve">Stakeholders—including clients, team members, regulators, and end-users—have diverse needs that must be aligned during evaluation. Poor stakeholder engagement leads to misalignment, scope creep, and project failure.</w:t>
      </w:r>
    </w:p>
    <w:p>
      <w:pPr>
        <w:pStyle w:val="BodyText"/>
      </w:pPr>
      <w:r>
        <w:rPr>
          <w:bCs/>
          <w:b/>
        </w:rPr>
        <w:t xml:space="preserve">4.1.1 Stakeholder Mapping and Prioritization</w:t>
      </w:r>
    </w:p>
    <w:p>
      <w:pPr>
        <w:pStyle w:val="BodyText"/>
      </w:pPr>
      <w:r>
        <w:t xml:space="preserve">Not all stakeholders have the same influence or interest in the project—requiring a structured approach to identify and prioritize them. The</w:t>
      </w:r>
      <w:r>
        <w:t xml:space="preserve"> </w:t>
      </w:r>
      <w:r>
        <w:rPr>
          <w:bCs/>
          <w:b/>
        </w:rPr>
        <w:t xml:space="preserve">Mendelow Matrix</w:t>
      </w:r>
      <w:r>
        <w:t xml:space="preserve"> </w:t>
      </w:r>
      <w:r>
        <w:t xml:space="preserve">(Figure 2) categorizes stakeholders based on two dimensions:</w:t>
      </w:r>
      <w:r>
        <w:t xml:space="preserve"> </w:t>
      </w:r>
      <w:r>
        <w:rPr>
          <w:iCs/>
          <w:i/>
        </w:rPr>
        <w:t xml:space="preserve">Power</w:t>
      </w:r>
      <w:r>
        <w:t xml:space="preserve"> </w:t>
      </w:r>
      <w:r>
        <w:t xml:space="preserve">(ability to influence the project) and</w:t>
      </w:r>
      <w:r>
        <w:t xml:space="preserve"> </w:t>
      </w:r>
      <w:r>
        <w:rPr>
          <w:iCs/>
          <w:i/>
        </w:rPr>
        <w:t xml:space="preserve">Interest</w:t>
      </w:r>
      <w:r>
        <w:t xml:space="preserve"> </w:t>
      </w:r>
      <w:r>
        <w:t xml:space="preserve">(level of concern about the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Power/Interest</w:t>
            </w:r>
          </w:p>
        </w:tc>
        <w:tc>
          <w:tcPr/>
          <w:p>
            <w:pPr>
              <w:pStyle w:val="Compact"/>
              <w:jc w:val="left"/>
            </w:pPr>
            <w:r>
              <w:t xml:space="preserve">High Interest</w:t>
            </w:r>
          </w:p>
        </w:tc>
        <w:tc>
          <w:tcPr/>
          <w:p>
            <w:pPr>
              <w:pStyle w:val="Compact"/>
              <w:jc w:val="left"/>
            </w:pPr>
            <w:r>
              <w:t xml:space="preserve">Low Interest</w:t>
            </w:r>
          </w:p>
        </w:tc>
      </w:tr>
      <w:tr>
        <w:tc>
          <w:tcPr/>
          <w:p>
            <w:pPr>
              <w:pStyle w:val="Compact"/>
              <w:jc w:val="left"/>
            </w:pPr>
            <w:r>
              <w:rPr>
                <w:bCs/>
                <w:b/>
              </w:rPr>
              <w:t xml:space="preserve">High Power</w:t>
            </w:r>
          </w:p>
        </w:tc>
        <w:tc>
          <w:tcPr/>
          <w:p>
            <w:pPr>
              <w:pStyle w:val="Compact"/>
              <w:jc w:val="left"/>
            </w:pPr>
            <w:r>
              <w:t xml:space="preserve">Key Players (e.g., Client Executives, Development House CEO)</w:t>
            </w:r>
          </w:p>
        </w:tc>
        <w:tc>
          <w:tcPr/>
          <w:p>
            <w:pPr>
              <w:pStyle w:val="Compact"/>
              <w:jc w:val="left"/>
            </w:pPr>
            <w:r>
              <w:t xml:space="preserve">Keep Satisfied (e.g., Regulators, Cloud Providers)</w:t>
            </w:r>
          </w:p>
        </w:tc>
      </w:tr>
      <w:tr>
        <w:tc>
          <w:tcPr/>
          <w:p>
            <w:pPr>
              <w:pStyle w:val="Compact"/>
              <w:jc w:val="left"/>
            </w:pPr>
            <w:r>
              <w:rPr>
                <w:bCs/>
                <w:b/>
              </w:rPr>
              <w:t xml:space="preserve">Low Power</w:t>
            </w:r>
          </w:p>
        </w:tc>
        <w:tc>
          <w:tcPr/>
          <w:p>
            <w:pPr>
              <w:pStyle w:val="Compact"/>
              <w:jc w:val="left"/>
            </w:pPr>
            <w:r>
              <w:t xml:space="preserve">Keep Informed (e.g., End-Users, Junior Team Members)</w:t>
            </w:r>
          </w:p>
        </w:tc>
        <w:tc>
          <w:tcPr/>
          <w:p>
            <w:pPr>
              <w:pStyle w:val="Compact"/>
              <w:jc w:val="left"/>
            </w:pPr>
            <w:r>
              <w:t xml:space="preserve">Monitor (e.g., Local Community, Suppliers)</w:t>
            </w:r>
          </w:p>
        </w:tc>
      </w:tr>
    </w:tbl>
    <w:p>
      <w:pPr>
        <w:pStyle w:val="BodyText"/>
      </w:pPr>
      <w:r>
        <w:rPr>
          <w:iCs/>
          <w:i/>
        </w:rPr>
        <w:t xml:space="preserve">Figure 2: Mendelow Matrix for Stakeholder Prioritization</w:t>
      </w:r>
    </w:p>
    <w:p>
      <w:pPr>
        <w:numPr>
          <w:ilvl w:val="0"/>
          <w:numId w:val="1001"/>
        </w:numPr>
        <w:pStyle w:val="Compact"/>
      </w:pPr>
      <w:r>
        <w:rPr>
          <w:bCs/>
          <w:b/>
        </w:rPr>
        <w:t xml:space="preserve">Key Players</w:t>
      </w:r>
      <w:r>
        <w:t xml:space="preserve">: Require active engagement (e.g., weekly meetings, decision-making input) to ensure their needs are met. For example, client executives have high power (can approve budgets) and high interest (project impacts their business)—so the development house includes them in critical evaluation meetings (e.g., suitability assessment reviews).</w:t>
      </w:r>
    </w:p>
    <w:p>
      <w:pPr>
        <w:numPr>
          <w:ilvl w:val="0"/>
          <w:numId w:val="1001"/>
        </w:numPr>
        <w:pStyle w:val="Compact"/>
      </w:pPr>
      <w:r>
        <w:rPr>
          <w:bCs/>
          <w:b/>
        </w:rPr>
        <w:t xml:space="preserve">Keep Satisfied</w:t>
      </w:r>
      <w:r>
        <w:t xml:space="preserve">: Require regular updates to maintain their support (e.g., quarterly reports for regulators on compliance progress). For example, a cloud provider has high power (can cut infrastructure access) but low interest—so the house shares monthly usage reports to keep them satisfied.</w:t>
      </w:r>
    </w:p>
    <w:p>
      <w:pPr>
        <w:numPr>
          <w:ilvl w:val="0"/>
          <w:numId w:val="1001"/>
        </w:numPr>
        <w:pStyle w:val="Compact"/>
      </w:pPr>
      <w:r>
        <w:rPr>
          <w:bCs/>
          <w:b/>
        </w:rPr>
        <w:t xml:space="preserve">Keep Informed</w:t>
      </w:r>
      <w:r>
        <w:t xml:space="preserve">: Require regular communication to manage expectations (e.g., monthly newsletters for end-users). For example, end-users have low power but high interest (project affects their experience)—so the house conducts user interviews during requirement gathering and shares progress updates.</w:t>
      </w:r>
    </w:p>
    <w:p>
      <w:pPr>
        <w:numPr>
          <w:ilvl w:val="0"/>
          <w:numId w:val="1001"/>
        </w:numPr>
        <w:pStyle w:val="Compact"/>
      </w:pPr>
      <w:r>
        <w:rPr>
          <w:bCs/>
          <w:b/>
        </w:rPr>
        <w:t xml:space="preserve">Monitor</w:t>
      </w:r>
      <w:r>
        <w:t xml:space="preserve">: Require minimal engagement (e.g., annual updates). For example, the local community has low power and low interest in a SaaS project—so the house only shares updates if the project impacts local employment.</w:t>
      </w:r>
    </w:p>
    <w:p>
      <w:pPr>
        <w:pStyle w:val="FirstParagraph"/>
      </w:pPr>
      <w:r>
        <w:rPr>
          <w:bCs/>
          <w:b/>
        </w:rPr>
        <w:t xml:space="preserve">4.1.2 Managing Expectations and Mitigating Risks</w:t>
      </w:r>
    </w:p>
    <w:p>
      <w:pPr>
        <w:pStyle w:val="BodyText"/>
      </w:pPr>
      <w:r>
        <w:t xml:space="preserve">Stakeholder expectations often exceed the project’s feasibility—making expectation management a critical success factor. Key strategies include:</w:t>
      </w:r>
    </w:p>
    <w:p>
      <w:pPr>
        <w:numPr>
          <w:ilvl w:val="0"/>
          <w:numId w:val="1002"/>
        </w:numPr>
        <w:pStyle w:val="Compact"/>
      </w:pPr>
      <w:r>
        <w:rPr>
          <w:bCs/>
          <w:b/>
        </w:rPr>
        <w:t xml:space="preserve">Transparent Communication</w:t>
      </w:r>
      <w:r>
        <w:t xml:space="preserve">: Sharing honest assessments of suitability and difficulty to avoid overpromising. For example, a client requests a 3-month timeline for an AI project that the house estimates will take 6 months. The house presents data (PERT estimates, skill gap analysis) to explain the timeline and negotiates a 5-month deadline with a phased launch (core features in 5 months, advanced features in month 6).</w:t>
      </w:r>
    </w:p>
    <w:p>
      <w:pPr>
        <w:numPr>
          <w:ilvl w:val="0"/>
          <w:numId w:val="1002"/>
        </w:numPr>
        <w:pStyle w:val="Compact"/>
      </w:pPr>
      <w:r>
        <w:rPr>
          <w:bCs/>
          <w:b/>
        </w:rPr>
        <w:t xml:space="preserve">Risk Register Development</w:t>
      </w:r>
      <w:r>
        <w:t xml:space="preserve">: Documenting potential risks, their impact, likelihood, and mitigation plans—ensuring stakeholders are aware of challenges. A</w:t>
      </w:r>
      <w:r>
        <w:t xml:space="preserve"> </w:t>
      </w:r>
      <w:r>
        <w:rPr>
          <w:bCs/>
          <w:b/>
        </w:rPr>
        <w:t xml:space="preserve">risk register template</w:t>
      </w:r>
      <w:r>
        <w:t xml:space="preserve"> </w:t>
      </w:r>
      <w:r>
        <w:t xml:space="preserve">includes: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Risk ID</w:t>
            </w:r>
          </w:p>
        </w:tc>
        <w:tc>
          <w:tcPr/>
          <w:p>
            <w:pPr>
              <w:pStyle w:val="Compact"/>
              <w:jc w:val="left"/>
            </w:pPr>
            <w:r>
              <w:t xml:space="preserve">Risk Description</w:t>
            </w:r>
          </w:p>
        </w:tc>
        <w:tc>
          <w:tcPr/>
          <w:p>
            <w:pPr>
              <w:pStyle w:val="Compact"/>
              <w:jc w:val="left"/>
            </w:pPr>
            <w:r>
              <w:t xml:space="preserve">Impact (1–5)</w:t>
            </w:r>
          </w:p>
        </w:tc>
        <w:tc>
          <w:tcPr/>
          <w:p>
            <w:pPr>
              <w:pStyle w:val="Compact"/>
              <w:jc w:val="left"/>
            </w:pPr>
            <w:r>
              <w:t xml:space="preserve">Likelihood (1–5)</w:t>
            </w:r>
          </w:p>
        </w:tc>
        <w:tc>
          <w:tcPr/>
          <w:p>
            <w:pPr>
              <w:pStyle w:val="Compact"/>
              <w:jc w:val="left"/>
            </w:pPr>
            <w:r>
              <w:t xml:space="preserve">Risk Score (Impact x Likelihood)</w:t>
            </w:r>
          </w:p>
        </w:tc>
        <w:tc>
          <w:tcPr/>
          <w:p>
            <w:pPr>
              <w:pStyle w:val="Compact"/>
              <w:jc w:val="left"/>
            </w:pPr>
            <w:r>
              <w:t xml:space="preserve">Mitigation Plan</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AI algorithm bias</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c>
          <w:tcPr/>
          <w:p>
            <w:pPr>
              <w:pStyle w:val="Compact"/>
              <w:jc w:val="left"/>
            </w:pPr>
            <w:r>
              <w:t xml:space="preserve">Use diverse datasets; hire bias auditor</w:t>
            </w:r>
          </w:p>
        </w:tc>
        <w:tc>
          <w:tcPr/>
          <w:p>
            <w:pPr>
              <w:pStyle w:val="Compact"/>
              <w:jc w:val="left"/>
            </w:pPr>
            <w:r>
              <w:t xml:space="preserve">Technical Lead</w:t>
            </w:r>
          </w:p>
        </w:tc>
      </w:tr>
      <w:tr>
        <w:tc>
          <w:tcPr/>
          <w:p>
            <w:pPr>
              <w:pStyle w:val="Compact"/>
              <w:jc w:val="left"/>
            </w:pPr>
            <w:r>
              <w:t xml:space="preserve">R2</w:t>
            </w:r>
          </w:p>
        </w:tc>
        <w:tc>
          <w:tcPr/>
          <w:p>
            <w:pPr>
              <w:pStyle w:val="Compact"/>
              <w:jc w:val="left"/>
            </w:pPr>
            <w:r>
              <w:t xml:space="preserve">Scope creep</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Freeze scope after approval; charge for changes</w:t>
            </w:r>
          </w:p>
        </w:tc>
        <w:tc>
          <w:tcPr/>
          <w:p>
            <w:pPr>
              <w:pStyle w:val="Compact"/>
              <w:jc w:val="left"/>
            </w:pPr>
            <w:r>
              <w:t xml:space="preserve">PM</w:t>
            </w:r>
          </w:p>
        </w:tc>
      </w:tr>
      <w:tr>
        <w:tc>
          <w:tcPr/>
          <w:p>
            <w:pPr>
              <w:pStyle w:val="Compact"/>
              <w:jc w:val="left"/>
            </w:pPr>
            <w:r>
              <w:t xml:space="preserve">R3</w:t>
            </w:r>
          </w:p>
        </w:tc>
        <w:tc>
          <w:tcPr/>
          <w:p>
            <w:pPr>
              <w:pStyle w:val="Compact"/>
              <w:jc w:val="left"/>
            </w:pPr>
            <w:r>
              <w:t xml:space="preserve">Cloud cost overruns</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Use AWS Cost Explorer; set budget alerts</w:t>
            </w:r>
          </w:p>
        </w:tc>
        <w:tc>
          <w:tcPr/>
          <w:p>
            <w:pPr>
              <w:pStyle w:val="Compact"/>
              <w:jc w:val="left"/>
            </w:pPr>
            <w:r>
              <w:t xml:space="preserve">DevOps Engineer</w:t>
            </w:r>
          </w:p>
        </w:tc>
      </w:tr>
      <w:tr>
        <w:tc>
          <w:tcPr/>
          <w:p>
            <w:pPr>
              <w:pStyle w:val="Compact"/>
              <w:jc w:val="left"/>
            </w:pPr>
            <w:r>
              <w:t xml:space="preserve">Example: The development house shares the risk register with the client during the evaluation phase—aligning on mitigation plans (e.g., client agrees to a scope freeze) and reducing future conflicts.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3"/>
        </w:numPr>
        <w:pStyle w:val="Compact"/>
      </w:pPr>
      <w:r>
        <w:rPr>
          <w:bCs/>
          <w:b/>
        </w:rPr>
        <w:t xml:space="preserve">Contingency Planning</w:t>
      </w:r>
      <w:r>
        <w:t xml:space="preserve">: Preparing for unexpected events (e.g., team member turnover, regulatory changes) to minimize disruption. For example, the house identifies</w:t>
      </w:r>
      <w:r>
        <w:t xml:space="preserve"> </w:t>
      </w:r>
      <w:r>
        <w:t xml:space="preserve">“</w:t>
      </w:r>
      <w:r>
        <w:t xml:space="preserve">key developer leaving</w:t>
      </w:r>
      <w:r>
        <w:t xml:space="preserve">”</w:t>
      </w:r>
      <w:r>
        <w:t xml:space="preserve"> </w:t>
      </w:r>
      <w:r>
        <w:t xml:space="preserve">as a risk (Impact 4, Likelihood 2, Score 8). It mitigates this by documenting all code (Confluence), cross-training team members (e.g., two developers learn each module), and having a list of freelance developers on standby.</w:t>
      </w:r>
    </w:p>
    <w:p>
      <w:pPr>
        <w:pStyle w:val="FirstParagraph"/>
      </w:pPr>
      <w:r>
        <w:rPr>
          <w:bCs/>
          <w:b/>
        </w:rPr>
        <w:t xml:space="preserve">4.2 Data-Driven Decision-Making</w:t>
      </w:r>
    </w:p>
    <w:p>
      <w:pPr>
        <w:pStyle w:val="BodyText"/>
      </w:pPr>
      <w:r>
        <w:t xml:space="preserve">Subjective judgments (e.g.,</w:t>
      </w:r>
      <w:r>
        <w:t xml:space="preserve"> </w:t>
      </w:r>
      <w:r>
        <w:t xml:space="preserve">“</w:t>
      </w:r>
      <w:r>
        <w:t xml:space="preserve">This project seems easy</w:t>
      </w:r>
      <w:r>
        <w:t xml:space="preserve">”</w:t>
      </w:r>
      <w:r>
        <w:t xml:space="preserve">) lead to poor evaluation—making data-driven methods essential. This involves combining quantitative metrics (hard data) and qualitative assessments (expert opinions, feedback) to make objective decisions.</w:t>
      </w:r>
    </w:p>
    <w:p>
      <w:pPr>
        <w:pStyle w:val="BodyText"/>
      </w:pPr>
      <w:r>
        <w:rPr>
          <w:bCs/>
          <w:b/>
        </w:rPr>
        <w:t xml:space="preserve">4.2.1 Quantitative Evaluation Metrics</w:t>
      </w:r>
    </w:p>
    <w:p>
      <w:pPr>
        <w:pStyle w:val="BodyText"/>
      </w:pPr>
      <w:r>
        <w:t xml:space="preserve">Quantitative metrics provide measurable insights into suitability and difficulty. Key metrics include:</w:t>
      </w:r>
    </w:p>
    <w:p>
      <w:pPr>
        <w:numPr>
          <w:ilvl w:val="0"/>
          <w:numId w:val="1004"/>
        </w:numPr>
        <w:pStyle w:val="Compact"/>
      </w:pPr>
      <w:r>
        <w:rPr>
          <w:bCs/>
          <w:b/>
        </w:rPr>
        <w:t xml:space="preserve">Suitability Metrics</w:t>
      </w:r>
      <w:r>
        <w:t xml:space="preserve">:</w:t>
      </w:r>
    </w:p>
    <w:p>
      <w:pPr>
        <w:numPr>
          <w:ilvl w:val="0"/>
          <w:numId w:val="1004"/>
        </w:numPr>
        <w:pStyle w:val="Compact"/>
      </w:pPr>
      <w:r>
        <w:rPr>
          <w:iCs/>
          <w:i/>
        </w:rPr>
        <w:t xml:space="preserve">Strategic Alignment Score</w:t>
      </w:r>
      <w:r>
        <w:t xml:space="preserve">: A 1–10 score based on alignment with the development house’s goals (e.g., 8/10 if the project expands into fintech, a key growth area).</w:t>
      </w:r>
    </w:p>
    <w:p>
      <w:pPr>
        <w:numPr>
          <w:ilvl w:val="0"/>
          <w:numId w:val="1004"/>
        </w:numPr>
        <w:pStyle w:val="Compact"/>
      </w:pPr>
      <w:r>
        <w:rPr>
          <w:iCs/>
          <w:i/>
        </w:rPr>
        <w:t xml:space="preserve">Resource Fit Score</w:t>
      </w:r>
      <w:r>
        <w:t xml:space="preserve">: A 1–10 score based on human and infrastructure availability (e.g., 6/10 if the house has 70% of required skills).</w:t>
      </w:r>
    </w:p>
    <w:p>
      <w:pPr>
        <w:numPr>
          <w:ilvl w:val="0"/>
          <w:numId w:val="1004"/>
        </w:numPr>
        <w:pStyle w:val="Compact"/>
      </w:pPr>
      <w:r>
        <w:rPr>
          <w:iCs/>
          <w:i/>
        </w:rPr>
        <w:t xml:space="preserve">ROI</w:t>
      </w:r>
      <w:r>
        <w:t xml:space="preserve">: As discussed in Section 2.1.2 (e.g., 33% for the e-commerce project).</w:t>
      </w:r>
    </w:p>
    <w:p>
      <w:pPr>
        <w:numPr>
          <w:ilvl w:val="0"/>
          <w:numId w:val="1004"/>
        </w:numPr>
        <w:pStyle w:val="Compact"/>
      </w:pPr>
      <w:r>
        <w:rPr>
          <w:iCs/>
          <w:i/>
        </w:rPr>
        <w:t xml:space="preserve">Compliance Score</w:t>
      </w:r>
      <w:r>
        <w:t xml:space="preserve">: A 1–10 score based on adherence to regulations (e.g., 9/10 if the project meets all HIPAA requirements except one minor safeguard).</w:t>
      </w:r>
    </w:p>
    <w:p>
      <w:pPr>
        <w:numPr>
          <w:ilvl w:val="0"/>
          <w:numId w:val="1004"/>
        </w:numPr>
        <w:pStyle w:val="Compact"/>
      </w:pPr>
      <w:r>
        <w:rPr>
          <w:bCs/>
          <w:b/>
        </w:rPr>
        <w:t xml:space="preserve">Difficulty Metrics</w:t>
      </w:r>
      <w:r>
        <w:t xml:space="preserve">:</w:t>
      </w:r>
    </w:p>
    <w:p>
      <w:pPr>
        <w:numPr>
          <w:ilvl w:val="0"/>
          <w:numId w:val="1004"/>
        </w:numPr>
        <w:pStyle w:val="Compact"/>
      </w:pPr>
      <w:r>
        <w:rPr>
          <w:iCs/>
          <w:i/>
        </w:rPr>
        <w:t xml:space="preserve">Technical Complexity Score</w:t>
      </w:r>
      <w:r>
        <w:t xml:space="preserve">: A 1–10 score based on architecture, technology stack, and integration (e.g., 7/10 for a microservices project with legacy integration).</w:t>
      </w:r>
    </w:p>
    <w:p>
      <w:pPr>
        <w:numPr>
          <w:ilvl w:val="0"/>
          <w:numId w:val="1004"/>
        </w:numPr>
        <w:pStyle w:val="Compact"/>
      </w:pPr>
      <w:r>
        <w:rPr>
          <w:iCs/>
          <w:i/>
        </w:rPr>
        <w:t xml:space="preserve">Development Effort</w:t>
      </w:r>
      <w:r>
        <w:t xml:space="preserve">: Measured in story points (Agile) or function points (Waterfall). For example, a project with 200 story points requires more effort than one with 50 story points.</w:t>
      </w:r>
    </w:p>
    <w:p>
      <w:pPr>
        <w:numPr>
          <w:ilvl w:val="0"/>
          <w:numId w:val="1004"/>
        </w:numPr>
        <w:pStyle w:val="Compact"/>
      </w:pPr>
      <w:r>
        <w:rPr>
          <w:iCs/>
          <w:i/>
        </w:rPr>
        <w:t xml:space="preserve">Defect Density</w:t>
      </w:r>
      <w:r>
        <w:t xml:space="preserve">: Estimated number of defects per 1000 lines of code (LOC) — higher defect density indicates higher difficulty (e.g., an AI project has an estimated defect density of 5 defects/1000 LOC vs. 2 for a static website).</w:t>
      </w:r>
    </w:p>
    <w:p>
      <w:pPr>
        <w:numPr>
          <w:ilvl w:val="0"/>
          <w:numId w:val="1004"/>
        </w:numPr>
        <w:pStyle w:val="Compact"/>
      </w:pPr>
      <w:r>
        <w:rPr>
          <w:iCs/>
          <w:i/>
        </w:rPr>
        <w:t xml:space="preserve">Schedule Pressure</w:t>
      </w:r>
      <w:r>
        <w:t xml:space="preserve">: A 1–10 score based on the ratio of required timeline to estimated timeline (e.g., 9/10 if the client requires 3 months for a project estimated at 6 months).</w:t>
      </w:r>
    </w:p>
    <w:p>
      <w:pPr>
        <w:numPr>
          <w:ilvl w:val="0"/>
          <w:numId w:val="1004"/>
        </w:numPr>
        <w:pStyle w:val="Compact"/>
      </w:pPr>
      <w:r>
        <w:rPr>
          <w:bCs/>
          <w:b/>
        </w:rPr>
        <w:t xml:space="preserve">Example Quantitative Assessment</w:t>
      </w:r>
      <w:r>
        <w:t xml:space="preserve">:</w:t>
      </w:r>
    </w:p>
    <w:p>
      <w:pPr>
        <w:pStyle w:val="FirstParagraph"/>
      </w:pPr>
      <w:r>
        <w:t xml:space="preserve">A development house evaluates a fintech app project:</w:t>
      </w:r>
    </w:p>
    <w:p>
      <w:pPr>
        <w:numPr>
          <w:ilvl w:val="0"/>
          <w:numId w:val="1005"/>
        </w:numPr>
        <w:pStyle w:val="Compact"/>
      </w:pPr>
      <w:r>
        <w:t xml:space="preserve">Suitability: Strategic Alignment (9/10), Resource Fit (7/10), ROI (25%), Compliance (8/10) → Average Suitability Score: 8/10.</w:t>
      </w:r>
    </w:p>
    <w:p>
      <w:pPr>
        <w:numPr>
          <w:ilvl w:val="0"/>
          <w:numId w:val="1005"/>
        </w:numPr>
        <w:pStyle w:val="Compact"/>
      </w:pPr>
      <w:r>
        <w:t xml:space="preserve">Difficulty: Technical Complexity (7/10), Development Effort (150 story points), Defect Density (4/1000 LOC), Schedule Pressure (8/10) → Average Difficulty Score: 7.25/10.</w:t>
      </w:r>
    </w:p>
    <w:p>
      <w:pPr>
        <w:pStyle w:val="FirstParagraph"/>
      </w:pPr>
      <w:r>
        <w:t xml:space="preserve">The high suitability and moderate difficulty make the project viable—with mitigation plans (e.g., hiring a fintech consultant to improve resource fit) to reduce difficulty.</w:t>
      </w:r>
    </w:p>
    <w:p>
      <w:pPr>
        <w:pStyle w:val="BodyText"/>
      </w:pPr>
      <w:r>
        <w:rPr>
          <w:bCs/>
          <w:b/>
        </w:rPr>
        <w:t xml:space="preserve">4.2.2 Qualitative Evaluation Methods</w:t>
      </w:r>
    </w:p>
    <w:p>
      <w:pPr>
        <w:pStyle w:val="BodyText"/>
      </w:pPr>
      <w:r>
        <w:t xml:space="preserve">Qualitative methods address factors that cannot be quantified (e.g., expert opinions, user feedback) and complement quantitative metrics. Key methods include:</w:t>
      </w:r>
    </w:p>
    <w:p>
      <w:pPr>
        <w:numPr>
          <w:ilvl w:val="0"/>
          <w:numId w:val="1006"/>
        </w:numPr>
        <w:pStyle w:val="Compact"/>
      </w:pPr>
      <w:r>
        <w:rPr>
          <w:bCs/>
          <w:b/>
        </w:rPr>
        <w:t xml:space="preserve">Delphi Technique</w:t>
      </w:r>
      <w:r>
        <w:t xml:space="preserve">: A structured process to gather expert consensus on uncertain factors (e.g., technology maturity, regulatory changes). Steps:</w:t>
      </w:r>
    </w:p>
    <w:p>
      <w:pPr>
        <w:numPr>
          <w:ilvl w:val="0"/>
          <w:numId w:val="1007"/>
        </w:numPr>
        <w:pStyle w:val="Compact"/>
      </w:pPr>
      <w:r>
        <w:t xml:space="preserve">Select a panel of experts (e.g., 3 technical leads, 2 industry consultants).</w:t>
      </w:r>
    </w:p>
    <w:p>
      <w:pPr>
        <w:numPr>
          <w:ilvl w:val="0"/>
          <w:numId w:val="1007"/>
        </w:numPr>
        <w:pStyle w:val="Compact"/>
      </w:pPr>
      <w:r>
        <w:t xml:space="preserve">Share project details and ask experts to rate factors (e.g.,</w:t>
      </w:r>
      <w:r>
        <w:t xml:space="preserve"> </w:t>
      </w:r>
      <w:r>
        <w:t xml:space="preserve">“</w:t>
      </w:r>
      <w:r>
        <w:t xml:space="preserve">How mature is the generative AI technology for this project?</w:t>
      </w:r>
      <w:r>
        <w:t xml:space="preserve">”</w:t>
      </w:r>
      <w:r>
        <w:t xml:space="preserve"> </w:t>
      </w:r>
      <w:r>
        <w:t xml:space="preserve">on a 1–5 scale).</w:t>
      </w:r>
    </w:p>
    <w:p>
      <w:pPr>
        <w:numPr>
          <w:ilvl w:val="0"/>
          <w:numId w:val="1007"/>
        </w:numPr>
        <w:pStyle w:val="Compact"/>
      </w:pPr>
      <w:r>
        <w:t xml:space="preserve">Share anonymous results with the panel and ask for revised ratings (experts can adjust based on others’ input).</w:t>
      </w:r>
    </w:p>
    <w:p>
      <w:pPr>
        <w:numPr>
          <w:ilvl w:val="0"/>
          <w:numId w:val="1007"/>
        </w:numPr>
        <w:pStyle w:val="Compact"/>
      </w:pPr>
      <w:r>
        <w:t xml:space="preserve">Repeat until consensus is reached (e.g., 4/5 for generative AI maturity).</w:t>
      </w:r>
    </w:p>
    <w:p>
      <w:pPr>
        <w:pStyle w:val="FirstParagraph"/>
      </w:pPr>
      <w:r>
        <w:t xml:space="preserve">Example: A development house uses the Delphi Technique to assess the maturity of quantum computing for a client’s project. The panel (2 quantum computing researchers, 1 technical lead) reaches a consensus of 3/5 (moderately mature)—so the house recommends a phased approach (use quantum computing for non-critical features first).</w:t>
      </w:r>
    </w:p>
    <w:p>
      <w:pPr>
        <w:numPr>
          <w:ilvl w:val="0"/>
          <w:numId w:val="1008"/>
        </w:numPr>
        <w:pStyle w:val="Compact"/>
      </w:pPr>
      <w:r>
        <w:rPr>
          <w:bCs/>
          <w:b/>
        </w:rPr>
        <w:t xml:space="preserve">User Feedback and Usability Testing</w:t>
      </w:r>
      <w:r>
        <w:t xml:space="preserve">: Gathering end-user input to assess suitability (e.g., Does the project meet user needs?). Methods include:</w:t>
      </w:r>
    </w:p>
    <w:p>
      <w:pPr>
        <w:numPr>
          <w:ilvl w:val="0"/>
          <w:numId w:val="1008"/>
        </w:numPr>
        <w:pStyle w:val="Compact"/>
      </w:pPr>
      <w:r>
        <w:rPr>
          <w:iCs/>
          <w:i/>
        </w:rPr>
        <w:t xml:space="preserve">User Interviews</w:t>
      </w:r>
      <w:r>
        <w:t xml:space="preserve">: One-on-one conversations with end-users to understand pain points (e.g.,</w:t>
      </w:r>
      <w:r>
        <w:t xml:space="preserve"> </w:t>
      </w:r>
      <w:r>
        <w:t xml:space="preserve">“</w:t>
      </w:r>
      <w:r>
        <w:t xml:space="preserve">What frustrates you about your current banking app?</w:t>
      </w:r>
      <w:r>
        <w:t xml:space="preserve">”</w:t>
      </w:r>
      <w:r>
        <w:t xml:space="preserve">).</w:t>
      </w:r>
    </w:p>
    <w:p>
      <w:pPr>
        <w:numPr>
          <w:ilvl w:val="0"/>
          <w:numId w:val="1008"/>
        </w:numPr>
        <w:pStyle w:val="Compact"/>
      </w:pPr>
      <w:r>
        <w:rPr>
          <w:iCs/>
          <w:i/>
        </w:rPr>
        <w:t xml:space="preserve">Focus Groups</w:t>
      </w:r>
      <w:r>
        <w:t xml:space="preserve">: Group discussions with 5–10 end-users to explore opinions (e.g.,</w:t>
      </w:r>
      <w:r>
        <w:t xml:space="preserve"> </w:t>
      </w:r>
      <w:r>
        <w:t xml:space="preserve">“</w:t>
      </w:r>
      <w:r>
        <w:t xml:space="preserve">What features would you like in a new fitness app?</w:t>
      </w:r>
      <w:r>
        <w:t xml:space="preserve">”</w:t>
      </w:r>
      <w:r>
        <w:t xml:space="preserve">).</w:t>
      </w:r>
    </w:p>
    <w:p>
      <w:pPr>
        <w:numPr>
          <w:ilvl w:val="0"/>
          <w:numId w:val="1008"/>
        </w:numPr>
        <w:pStyle w:val="Compact"/>
      </w:pPr>
      <w:r>
        <w:rPr>
          <w:iCs/>
          <w:i/>
        </w:rPr>
        <w:t xml:space="preserve">Usability Testing</w:t>
      </w:r>
      <w:r>
        <w:t xml:space="preserve">: Observing users interacting with a prototype to identify usability issues (e.g.,</w:t>
      </w:r>
      <w:r>
        <w:t xml:space="preserve"> </w:t>
      </w:r>
      <w:r>
        <w:t xml:space="preserve">“</w:t>
      </w:r>
      <w:r>
        <w:t xml:space="preserve">Users struggle to find the checkout button</w:t>
      </w:r>
      <w:r>
        <w:t xml:space="preserve">”</w:t>
      </w:r>
      <w:r>
        <w:t xml:space="preserve">).</w:t>
      </w:r>
    </w:p>
    <w:p>
      <w:pPr>
        <w:pStyle w:val="FirstParagraph"/>
      </w:pPr>
      <w:r>
        <w:t xml:space="preserve">Example: A development house building a healthcare app conducts usability testing with 8 patients. It finds that patients struggle to navigate the appointment booking feature—so it revises the UI design to improve suitability for end-users.</w:t>
      </w:r>
    </w:p>
    <w:p>
      <w:pPr>
        <w:numPr>
          <w:ilvl w:val="0"/>
          <w:numId w:val="1009"/>
        </w:numPr>
        <w:pStyle w:val="Compact"/>
      </w:pPr>
      <w:r>
        <w:rPr>
          <w:bCs/>
          <w:b/>
        </w:rPr>
        <w:t xml:space="preserve">SWOT Analysis</w:t>
      </w:r>
      <w:r>
        <w:t xml:space="preserve">: A framework to assess internal strengths/weaknesses and external opportunities/threats—providing a holistic view of the project. Example SWOT for a fintech app project:</w:t>
      </w:r>
    </w:p>
    <w:p>
      <w:pPr>
        <w:numPr>
          <w:ilvl w:val="0"/>
          <w:numId w:val="1009"/>
        </w:numPr>
        <w:pStyle w:val="Compact"/>
      </w:pPr>
      <w:r>
        <w:rPr>
          <w:iCs/>
          <w:i/>
        </w:rPr>
        <w:t xml:space="preserve">Strengths</w:t>
      </w:r>
      <w:r>
        <w:t xml:space="preserve">: Development house has blockchain expertise; client has a large user base.</w:t>
      </w:r>
    </w:p>
    <w:p>
      <w:pPr>
        <w:numPr>
          <w:ilvl w:val="0"/>
          <w:numId w:val="1009"/>
        </w:numPr>
        <w:pStyle w:val="Compact"/>
      </w:pPr>
      <w:r>
        <w:rPr>
          <w:iCs/>
          <w:i/>
        </w:rPr>
        <w:t xml:space="preserve">Weaknesses</w:t>
      </w:r>
      <w:r>
        <w:t xml:space="preserve">: Limited AML knowledge; small QA team.</w:t>
      </w:r>
    </w:p>
    <w:p>
      <w:pPr>
        <w:numPr>
          <w:ilvl w:val="0"/>
          <w:numId w:val="1009"/>
        </w:numPr>
        <w:pStyle w:val="Compact"/>
      </w:pPr>
      <w:r>
        <w:rPr>
          <w:iCs/>
          <w:i/>
        </w:rPr>
        <w:t xml:space="preserve">Opportunities</w:t>
      </w:r>
      <w:r>
        <w:t xml:space="preserve">: Growing neobank market; potential to upsell additional features (e.g., budgeting tools).</w:t>
      </w:r>
    </w:p>
    <w:p>
      <w:pPr>
        <w:numPr>
          <w:ilvl w:val="0"/>
          <w:numId w:val="1009"/>
        </w:numPr>
        <w:pStyle w:val="Compact"/>
      </w:pPr>
      <w:r>
        <w:rPr>
          <w:iCs/>
          <w:i/>
        </w:rPr>
        <w:t xml:space="preserve">Threats</w:t>
      </w:r>
      <w:r>
        <w:t xml:space="preserve">: New fintech regulations; competition from established apps (e.g., PayPal).</w:t>
      </w:r>
    </w:p>
    <w:p>
      <w:pPr>
        <w:pStyle w:val="FirstParagraph"/>
      </w:pPr>
      <w:r>
        <w:t xml:space="preserve">The SWOT analysis highlights the need to hire an AML consultant (address weakness) and prioritize unique features (counter threat of competition).</w:t>
      </w:r>
    </w:p>
    <w:p>
      <w:pPr>
        <w:pStyle w:val="BodyText"/>
      </w:pPr>
      <w:r>
        <w:rPr>
          <w:bCs/>
          <w:b/>
        </w:rPr>
        <w:t xml:space="preserve">4.2.3 Tools for Integrated Evaluation</w:t>
      </w:r>
    </w:p>
    <w:p>
      <w:pPr>
        <w:pStyle w:val="BodyText"/>
      </w:pPr>
      <w:r>
        <w:t xml:space="preserve">Specialized tools streamline the evaluation process and ensure consistency across projects. Key tools include:</w:t>
      </w:r>
    </w:p>
    <w:p>
      <w:pPr>
        <w:numPr>
          <w:ilvl w:val="0"/>
          <w:numId w:val="1010"/>
        </w:numPr>
        <w:pStyle w:val="Compact"/>
      </w:pPr>
      <w:r>
        <w:rPr>
          <w:bCs/>
          <w:b/>
        </w:rPr>
        <w:t xml:space="preserve">Decision Trees</w:t>
      </w:r>
      <w:r>
        <w:t xml:space="preserve">: A visual tool to guide project selection based on suitability and difficulty criteria. Example decision tree for a development house:</w:t>
      </w:r>
    </w:p>
    <w:p>
      <w:pPr>
        <w:pStyle w:val="FirstParagraph"/>
      </w:pPr>
      <w:r>
        <w:t xml:space="preserve">plaintext</w:t>
      </w:r>
    </w:p>
    <w:p>
      <w:pPr>
        <w:pStyle w:val="BodyText"/>
      </w:pPr>
      <w:r>
        <w:t xml:space="preserve">Start → Is Strategic Alignment Score ≥7/10?</w:t>
      </w:r>
    </w:p>
    <w:p>
      <w:pPr>
        <w:pStyle w:val="BodyText"/>
      </w:pPr>
      <w:r>
        <w:t xml:space="preserve">→ No → Reject Project</w:t>
      </w:r>
    </w:p>
    <w:p>
      <w:pPr>
        <w:pStyle w:val="BodyText"/>
      </w:pPr>
      <w:r>
        <w:t xml:space="preserve">→ Yes → Is ROI ≥15%?</w:t>
      </w:r>
    </w:p>
    <w:p>
      <w:pPr>
        <w:pStyle w:val="BodyText"/>
      </w:pPr>
      <w:r>
        <w:t xml:space="preserve">→ No → Reject Project</w:t>
      </w:r>
    </w:p>
    <w:p>
      <w:pPr>
        <w:pStyle w:val="BodyText"/>
      </w:pPr>
      <w:r>
        <w:t xml:space="preserve">→ Yes → Is Technical Complexity Score ≤7/10?</w:t>
      </w:r>
    </w:p>
    <w:p>
      <w:pPr>
        <w:pStyle w:val="BodyText"/>
      </w:pPr>
      <w:r>
        <w:t xml:space="preserve">→ Yes → Approve Project</w:t>
      </w:r>
    </w:p>
    <w:p>
      <w:pPr>
        <w:pStyle w:val="BodyText"/>
      </w:pPr>
      <w:r>
        <w:t xml:space="preserve">→ No → Can We Hire Specialists to Reduce Difficulty?</w:t>
      </w:r>
    </w:p>
    <w:p>
      <w:pPr>
        <w:pStyle w:val="BodyText"/>
      </w:pPr>
      <w:r>
        <w:t xml:space="preserve">→ Yes → Approve Project</w:t>
      </w:r>
    </w:p>
    <w:p>
      <w:pPr>
        <w:pStyle w:val="BodyText"/>
      </w:pPr>
      <w:r>
        <w:t xml:space="preserve">→ No → Reject Project</w:t>
      </w:r>
    </w:p>
    <w:p>
      <w:pPr>
        <w:pStyle w:val="BodyText"/>
      </w:pPr>
      <w:r>
        <w:t xml:space="preserve">Example: A project with Strategic Alignment 8/10, ROI 20%, and Technical Complexity 8/10 is evaluated using the decision tree. The house can hire specialists—so the project is approved.</w:t>
      </w:r>
    </w:p>
    <w:p>
      <w:pPr>
        <w:numPr>
          <w:ilvl w:val="0"/>
          <w:numId w:val="1011"/>
        </w:numPr>
        <w:pStyle w:val="Compact"/>
      </w:pPr>
      <w:r>
        <w:rPr>
          <w:bCs/>
          <w:b/>
        </w:rPr>
        <w:t xml:space="preserve">Gartner Hype Cycle</w:t>
      </w:r>
      <w:r>
        <w:t xml:space="preserve">: A tool to assess the maturity of emerging technologies and their difficulty. The Hype Cycle has five phases:</w:t>
      </w:r>
    </w:p>
    <w:p>
      <w:pPr>
        <w:numPr>
          <w:ilvl w:val="0"/>
          <w:numId w:val="1012"/>
        </w:numPr>
        <w:pStyle w:val="Compact"/>
      </w:pPr>
      <w:r>
        <w:rPr>
          <w:iCs/>
          <w:i/>
        </w:rPr>
        <w:t xml:space="preserve">Innovation Trigger</w:t>
      </w:r>
      <w:r>
        <w:t xml:space="preserve">: Technology is introduced (e.g., quantum computing in 2010) — high uncertainty, high difficulty.</w:t>
      </w:r>
    </w:p>
    <w:p>
      <w:pPr>
        <w:numPr>
          <w:ilvl w:val="0"/>
          <w:numId w:val="1012"/>
        </w:numPr>
        <w:pStyle w:val="Compact"/>
      </w:pPr>
      <w:r>
        <w:rPr>
          <w:iCs/>
          <w:i/>
        </w:rPr>
        <w:t xml:space="preserve">Peak of Inflated Expectations</w:t>
      </w:r>
      <w:r>
        <w:t xml:space="preserve">: Media hype exceeds reality (e.g., generative AI in 2023) — high difficulty (unproven use cases).</w:t>
      </w:r>
    </w:p>
    <w:p>
      <w:pPr>
        <w:numPr>
          <w:ilvl w:val="0"/>
          <w:numId w:val="1012"/>
        </w:numPr>
        <w:pStyle w:val="Compact"/>
      </w:pPr>
      <w:r>
        <w:rPr>
          <w:iCs/>
          <w:i/>
        </w:rPr>
        <w:t xml:space="preserve">Trough of Disillusionment</w:t>
      </w:r>
      <w:r>
        <w:t xml:space="preserve">: Interest fades as limitations emerge (e.g., early blockchain projects) — moderate difficulty (some best practices exist).</w:t>
      </w:r>
    </w:p>
    <w:p>
      <w:pPr>
        <w:numPr>
          <w:ilvl w:val="0"/>
          <w:numId w:val="1012"/>
        </w:numPr>
        <w:pStyle w:val="Compact"/>
      </w:pPr>
      <w:r>
        <w:rPr>
          <w:iCs/>
          <w:i/>
        </w:rPr>
        <w:t xml:space="preserve">Slope of Enlightenment</w:t>
      </w:r>
      <w:r>
        <w:t xml:space="preserve">: Real-world use cases emerge (e.g., edge computing) — moderate-low difficulty (mature tools).</w:t>
      </w:r>
    </w:p>
    <w:p>
      <w:pPr>
        <w:numPr>
          <w:ilvl w:val="0"/>
          <w:numId w:val="1012"/>
        </w:numPr>
        <w:pStyle w:val="Compact"/>
      </w:pPr>
      <w:r>
        <w:rPr>
          <w:iCs/>
          <w:i/>
        </w:rPr>
        <w:t xml:space="preserve">Plateau of Productivity</w:t>
      </w:r>
      <w:r>
        <w:t xml:space="preserve">: Technology is widely adopted (e.g., cloud computing) — low difficulty (proven best practices).</w:t>
      </w:r>
    </w:p>
    <w:p>
      <w:pPr>
        <w:pStyle w:val="FirstParagraph"/>
      </w:pPr>
      <w:r>
        <w:t xml:space="preserve">Example: A client requests a project using generative AI (Peak of Inflated Expectations). The development house assesses the difficulty as high (limited best practices) and recommends a pilot project (small scope) to reduce risk—aligning with the Hype Cycle’s guidance.</w:t>
      </w:r>
    </w:p>
    <w:p>
      <w:pPr>
        <w:numPr>
          <w:ilvl w:val="0"/>
          <w:numId w:val="1013"/>
        </w:numPr>
        <w:pStyle w:val="Compact"/>
      </w:pPr>
      <w:r>
        <w:rPr>
          <w:bCs/>
          <w:b/>
        </w:rPr>
        <w:t xml:space="preserve">Project Evaluation and Review Software</w:t>
      </w:r>
      <w:r>
        <w:t xml:space="preserve">: Tools like</w:t>
      </w:r>
      <w:r>
        <w:t xml:space="preserve"> </w:t>
      </w:r>
      <w:hyperlink r:id="rId20">
        <w:r>
          <w:rPr>
            <w:rStyle w:val="Hyperlink"/>
          </w:rPr>
          <w:t xml:space="preserve">Monday.com</w:t>
        </w:r>
      </w:hyperlink>
      <w:r>
        <w:t xml:space="preserve">, Asana, or Smartsheet to manage evaluation workflows (e.g., track requirement gathering, store risk registers, share reports with stakeholders). Example: A development house uses</w:t>
      </w:r>
      <w:r>
        <w:t xml:space="preserve"> </w:t>
      </w:r>
      <w:hyperlink r:id="rId20">
        <w:r>
          <w:rPr>
            <w:rStyle w:val="Hyperlink"/>
          </w:rPr>
          <w:t xml:space="preserve">Monday.com</w:t>
        </w:r>
      </w:hyperlink>
      <w:r>
        <w:t xml:space="preserve"> </w:t>
      </w:r>
      <w:r>
        <w:t xml:space="preserve">to create an evaluation board with columns (Project Name, Suitability Score, Difficulty Score, Risk Register, Approval Status) — enabling real-time tracking and collaboration.</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monday.com/" TargetMode="External" /></Relationships>
</file>

<file path=word/_rels/footnotes.xml.rels><?xml version="1.0" encoding="UTF-8"?><Relationships xmlns="http://schemas.openxmlformats.org/package/2006/relationships"><Relationship Type="http://schemas.openxmlformats.org/officeDocument/2006/relationships/hyperlink" Id="rId20" Target="https://monda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2026-10-09T09:58:32Z</dcterms:created>
  <dcterms:modified xsi:type="dcterms:W3CDTF">2026-10-09T09:58:32Z</dcterms:modified>
</cp:coreProperties>
</file>

<file path=docProps/custom.xml><?xml version="1.0" encoding="utf-8"?>
<Properties xmlns="http://schemas.openxmlformats.org/officeDocument/2006/custom-properties" xmlns:vt="http://schemas.openxmlformats.org/officeDocument/2006/docPropsVTypes"/>
</file>