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3acf9875d2765b0417aad580bc2914c439df6a"/>
    <w:p>
      <w:pPr>
        <w:pStyle w:val="Heading1"/>
      </w:pPr>
      <w:r>
        <w:t xml:space="preserve">Case Study 1: HIPAA-Compliant EHR System for a Mid-Sized Hospital</w:t>
      </w:r>
    </w:p>
    <w:p>
      <w:pPr>
        <w:pStyle w:val="FirstParagraph"/>
      </w:pPr>
      <w:r>
        <w:rPr>
          <w:bCs/>
          <w:b/>
        </w:rPr>
        <w:t xml:space="preserve">5.1 Case Study 1: HIPAA-Compliant EHR System for a Mid-Sized Hospital</w:t>
      </w:r>
    </w:p>
    <w:p>
      <w:pPr>
        <w:pStyle w:val="BodyText"/>
      </w:pPr>
      <w:r>
        <w:rPr>
          <w:bCs/>
          <w:b/>
        </w:rPr>
        <w:t xml:space="preserve">5.1.1 Project Background</w:t>
      </w:r>
    </w:p>
    <w:p>
      <w:pPr>
        <w:pStyle w:val="BodyText"/>
      </w:pPr>
      <w:r>
        <w:t xml:space="preserve">Client: A mid-sized hospital in Chicago with 200 beds, using paper-based medical records and an outdated scheduling system.</w:t>
      </w:r>
    </w:p>
    <w:p>
      <w:pPr>
        <w:pStyle w:val="BodyText"/>
      </w:pPr>
      <w:r>
        <w:t xml:space="preserve">Client Goal: Implement a HIPAA-compliant Electronic Health Record (EHR) system to reduce administrative time, improve patient data access, and meet regulatory requirements.</w:t>
      </w:r>
    </w:p>
    <w:p>
      <w:pPr>
        <w:pStyle w:val="BodyText"/>
      </w:pPr>
      <w:r>
        <w:t xml:space="preserve">Development House: A 50-person IT firm with 5 years of healthcare IT experience (built telemedicine apps, patient portals) but no EHR-specific expertise.</w:t>
      </w:r>
    </w:p>
    <w:p>
      <w:pPr>
        <w:pStyle w:val="BodyText"/>
      </w:pPr>
      <w:r>
        <w:rPr>
          <w:bCs/>
          <w:b/>
        </w:rPr>
        <w:t xml:space="preserve">5.1.2 Suitability Assessment Process</w:t>
      </w:r>
    </w:p>
    <w:p>
      <w:pPr>
        <w:pStyle w:val="BodyText"/>
      </w:pPr>
      <w:r>
        <w:t xml:space="preserve">The development house conducted a structured suitability assessment using the frameworks outlined in Section 2: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Strategic Alignment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The house’s strategic goal was to expand into healthcare IT (a high-growth, high-margin sector). The EHR project aligned with this goal and would add a critical reference to its portfolio.</w:t>
      </w:r>
    </w:p>
    <w:p>
      <w:pPr>
        <w:numPr>
          <w:ilvl w:val="0"/>
          <w:numId w:val="1001"/>
        </w:numPr>
      </w:pPr>
      <w:r>
        <w:t xml:space="preserve">Client Goal Alignment: The EHR would help the hospital reduce administrative time by 30% (per client estimates) and improve patient outcomes—delivering clear value.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Resource and Capability Mapping</w:t>
      </w:r>
      <w:r>
        <w:t xml:space="preserve">: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Human Resources</w:t>
      </w:r>
      <w:r>
        <w:t xml:space="preserve">: Skill gap analysis revealed the house had 70% of required skills (e.g., React for frontend, Node.js for backend, HIPAA knowledge) but lacked EHR-specific expertise (e.g., clinical workflow design, medical coding integration).</w:t>
      </w:r>
    </w:p>
    <w:p>
      <w:pPr>
        <w:numPr>
          <w:ilvl w:val="0"/>
          <w:numId w:val="1001"/>
        </w:numPr>
      </w:pPr>
      <w:r>
        <w:t xml:space="preserve">Mitigation: Hired a full-time EHR consultant (10 years of experience) and enrolled 3 developers in a</w:t>
      </w:r>
      <w:r>
        <w:t xml:space="preserve"> </w:t>
      </w:r>
      <w:r>
        <w:t xml:space="preserve">“</w:t>
      </w:r>
      <w:r>
        <w:t xml:space="preserve">HIPAA for EHR Systems</w:t>
      </w:r>
      <w:r>
        <w:t xml:space="preserve">”</w:t>
      </w:r>
      <w:r>
        <w:t xml:space="preserve"> </w:t>
      </w:r>
      <w:r>
        <w:t xml:space="preserve">certification course (6-week duration).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Infrastructure</w:t>
      </w:r>
      <w:r>
        <w:t xml:space="preserve">: The project required a HIPAA-compliant cloud infrastructure. The house’s existing AWS account had the necessary compliance (AWS Healthcare Cloud) but needed to upgrade to AWS Enterprise Support (24/7 monitoring for HIPAA).</w:t>
      </w:r>
    </w:p>
    <w:p>
      <w:pPr>
        <w:numPr>
          <w:ilvl w:val="0"/>
          <w:numId w:val="1001"/>
        </w:numPr>
      </w:pPr>
      <w:r>
        <w:t xml:space="preserve">Cost: 5,000/month for standard support).</w:t>
      </w:r>
    </w:p>
    <w:p>
      <w:pPr>
        <w:numPr>
          <w:ilvl w:val="0"/>
          <w:numId w:val="1000"/>
        </w:numPr>
      </w:pPr>
      <w:r>
        <w:t xml:space="preserve">15,000/</w:t>
      </w:r>
      <w:r>
        <w:rPr>
          <w:iCs/>
          <w:i/>
        </w:rPr>
        <w:t xml:space="preserve">monthforAWSEnterpriseSupport</w:t>
      </w:r>
      <w:r>
        <w:t xml:space="preserve">(</w:t>
      </w:r>
      <w:r>
        <w:rPr>
          <w:iCs/>
          <w:i/>
        </w:rPr>
        <w:t xml:space="preserve">vs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Financial Viability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Client Budget: $300,000 for a 9-month project.</w:t>
      </w:r>
    </w:p>
    <w:p>
      <w:pPr>
        <w:numPr>
          <w:ilvl w:val="0"/>
          <w:numId w:val="1001"/>
        </w:numPr>
      </w:pPr>
      <w:r>
        <w:t xml:space="preserve">Costs: Labor (135,000), EHR Consultant (10,000) → Total: $370,000.</w:t>
      </w:r>
    </w:p>
    <w:p>
      <w:pPr>
        <w:numPr>
          <w:ilvl w:val="0"/>
          <w:numId w:val="1000"/>
        </w:numPr>
      </w:pPr>
      <w:r>
        <w:t xml:space="preserve">180,000),</w:t>
      </w:r>
      <w:r>
        <w:rPr>
          <w:iCs/>
          <w:i/>
        </w:rPr>
        <w:t xml:space="preserve">AWS</w:t>
      </w:r>
      <w:r>
        <w:t xml:space="preserve">(</w:t>
      </w:r>
    </w:p>
    <w:p>
      <w:pPr>
        <w:numPr>
          <w:ilvl w:val="0"/>
          <w:numId w:val="1000"/>
        </w:numPr>
      </w:pPr>
      <w:r>
        <w:t xml:space="preserve">45,000),</w:t>
      </w:r>
      <w:r>
        <w:rPr>
          <w:iCs/>
          <w:i/>
        </w:rPr>
        <w:t xml:space="preserve">Training</w:t>
      </w:r>
      <w:r>
        <w:t xml:space="preserve">(</w:t>
      </w:r>
    </w:p>
    <w:p>
      <w:pPr>
        <w:numPr>
          <w:ilvl w:val="0"/>
          <w:numId w:val="1001"/>
        </w:numPr>
      </w:pPr>
      <w:r>
        <w:t xml:space="preserve">Initial ROI: (300,000 – 370,000) / 370,000 = -18.9% (negative).</w:t>
      </w:r>
    </w:p>
    <w:p>
      <w:pPr>
        <w:numPr>
          <w:ilvl w:val="0"/>
          <w:numId w:val="1001"/>
        </w:numPr>
      </w:pPr>
      <w:r>
        <w:t xml:space="preserve">Mitigation: Negotiated a 2-year post-launch support contract (420,000 and ROI to 13.5% (meets the house’s 10% threshold).</w:t>
      </w:r>
    </w:p>
    <w:p>
      <w:pPr>
        <w:numPr>
          <w:ilvl w:val="0"/>
          <w:numId w:val="1000"/>
        </w:numPr>
      </w:pPr>
      <w:r>
        <w:t xml:space="preserve">5,000/</w:t>
      </w:r>
      <w:r>
        <w:rPr>
          <w:iCs/>
          <w:i/>
        </w:rPr>
        <w:t xml:space="preserve">month</w:t>
      </w:r>
      <w:r>
        <w:t xml:space="preserve">)—</w:t>
      </w:r>
      <w:r>
        <w:rPr>
          <w:iCs/>
          <w:i/>
        </w:rPr>
        <w:t xml:space="preserve">increasingtotalrevenueto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Regulatory and Ethical Compliance</w:t>
      </w:r>
      <w:r>
        <w:t xml:space="preserve">: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HIPAA Compliance</w:t>
      </w:r>
      <w:r>
        <w:t xml:space="preserve">: Conducted a gap analysis using the HIPAA Security Rule framework:</w:t>
      </w:r>
    </w:p>
    <w:p>
      <w:pPr>
        <w:numPr>
          <w:ilvl w:val="0"/>
          <w:numId w:val="1001"/>
        </w:numPr>
      </w:pPr>
      <w:r>
        <w:t xml:space="preserve">Administrative Safeguards: Needed to implement access controls (role-based access to patient data) and employee training (HIPAA awareness).</w:t>
      </w:r>
    </w:p>
    <w:p>
      <w:pPr>
        <w:numPr>
          <w:ilvl w:val="0"/>
          <w:numId w:val="1001"/>
        </w:numPr>
      </w:pPr>
      <w:r>
        <w:t xml:space="preserve">Physical Safeguards: Needed to encrypt laptops and secure server rooms (already in place).</w:t>
      </w:r>
    </w:p>
    <w:p>
      <w:pPr>
        <w:numPr>
          <w:ilvl w:val="0"/>
          <w:numId w:val="1001"/>
        </w:numPr>
      </w:pPr>
      <w:r>
        <w:t xml:space="preserve">Technical Safeguards: Needed to implement audit trails (track who accesses patient data) and data backup (daily off-site backups).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Ethical Considerations</w:t>
      </w:r>
      <w:r>
        <w:t xml:space="preserve">: Ensured the EHR was accessible to patients with disabilities (WCAG 2.2 AA standards) and protected patient privacy (no unnecessary data collection).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Suitability Outcome</w:t>
      </w:r>
      <w:r>
        <w:t xml:space="preserve">: Average Suitability Score = 8.5/10 (highly suitable) — with the post-launch support contract addressing financial viability and the EHR consultant addressing skill gaps.</w:t>
      </w:r>
    </w:p>
    <w:p>
      <w:pPr>
        <w:pStyle w:val="FirstParagraph"/>
      </w:pPr>
      <w:r>
        <w:rPr>
          <w:bCs/>
          <w:b/>
        </w:rPr>
        <w:t xml:space="preserve">5.1.3 Difficulty Assessment Process</w:t>
      </w:r>
    </w:p>
    <w:p>
      <w:pPr>
        <w:pStyle w:val="BodyText"/>
      </w:pPr>
      <w:r>
        <w:t xml:space="preserve">The house assessed technical and managerial difficulty using the methods in Section 3: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Technical Complexity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Architecture</w:t>
      </w:r>
      <w:r>
        <w:t xml:space="preserve">: Chose a microservices architecture to support scalability (hospital plans to add 50 beds in 2 years) and fault isolation (e.g., a scheduling service failure does not affect patient records).</w:t>
      </w:r>
    </w:p>
    <w:p>
      <w:pPr>
        <w:numPr>
          <w:ilvl w:val="0"/>
          <w:numId w:val="1002"/>
        </w:numPr>
        <w:pStyle w:val="Compact"/>
      </w:pPr>
      <w:r>
        <w:t xml:space="preserve">Challenges: Service discovery (managing 10+ microservices) and distributed debugging (difficult to trace errors across services).</w:t>
      </w:r>
    </w:p>
    <w:p>
      <w:pPr>
        <w:numPr>
          <w:ilvl w:val="0"/>
          <w:numId w:val="1002"/>
        </w:numPr>
        <w:pStyle w:val="Compact"/>
      </w:pPr>
      <w:r>
        <w:t xml:space="preserve">Mitigation: Used AWS ECS for container orchestration and AWS X-Ray for distributed tracing.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Legacy Integration</w:t>
      </w:r>
      <w:r>
        <w:t xml:space="preserve">: The hospital’s existing scheduling system (20-year-old mainframe) had no APIs—requiring middleware integration (Talend) to extract data.</w:t>
      </w:r>
    </w:p>
    <w:p>
      <w:pPr>
        <w:numPr>
          <w:ilvl w:val="0"/>
          <w:numId w:val="1002"/>
        </w:numPr>
        <w:pStyle w:val="Compact"/>
      </w:pPr>
      <w:r>
        <w:t xml:space="preserve">Challenges: Data inconsistency (mainframe data had duplicate patient records) and slow extraction speeds.</w:t>
      </w:r>
    </w:p>
    <w:p>
      <w:pPr>
        <w:numPr>
          <w:ilvl w:val="0"/>
          <w:numId w:val="1002"/>
        </w:numPr>
        <w:pStyle w:val="Compact"/>
      </w:pPr>
      <w:r>
        <w:t xml:space="preserve">Mitigation: Cleaned data using Talend’s data quality tools and scheduled extraction during off-peak hours (2 AM–4 AM).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Technology Stack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Frontend: React (mature, good community support) with Material-UI (accessible components).</w:t>
      </w:r>
    </w:p>
    <w:p>
      <w:pPr>
        <w:numPr>
          <w:ilvl w:val="0"/>
          <w:numId w:val="1002"/>
        </w:numPr>
        <w:pStyle w:val="Compact"/>
      </w:pPr>
      <w:r>
        <w:t xml:space="preserve">Backend: Node.js (scalable, compatible with AWS) with PostgreSQL (HIPAA-compliant database).</w:t>
      </w:r>
    </w:p>
    <w:p>
      <w:pPr>
        <w:numPr>
          <w:ilvl w:val="0"/>
          <w:numId w:val="1002"/>
        </w:numPr>
        <w:pStyle w:val="Compact"/>
      </w:pPr>
      <w:r>
        <w:t xml:space="preserve">Tools: AWS Lambda (serverless for audit trails), AWS S3 (secure data storage), and Jira (project management).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Managerial Complexity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Scope and Schedule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WBS: 25 tasks with a critical path of Planning → Design → Backend Development → Legacy Integration → Testing → Launch (total 9 months).</w:t>
      </w:r>
    </w:p>
    <w:p>
      <w:pPr>
        <w:numPr>
          <w:ilvl w:val="0"/>
          <w:numId w:val="1002"/>
        </w:numPr>
        <w:pStyle w:val="Compact"/>
      </w:pPr>
      <w:r>
        <w:t xml:space="preserve">PERT Estimates: Legacy Integration had the highest uncertainty (O=4 weeks, M=6 weeks, P=10 weeks → PERT Estimate=6.33 weeks) — so the house scheduled 7 weeks for this task.</w:t>
      </w:r>
    </w:p>
    <w:p>
      <w:pPr>
        <w:numPr>
          <w:ilvl w:val="0"/>
          <w:numId w:val="1002"/>
        </w:numPr>
        <w:pStyle w:val="Compact"/>
      </w:pPr>
      <w:r>
        <w:t xml:space="preserve">Methodology: Used Hybrid (Waterfall for Planning/Design, Agile for Development/Testing) — fixed regulatory requirements (Waterfall) and iterative testing with clinicians (Agile).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Team Dynamics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Team Composition: 1 PM, 1 Technical Lead, 4 Developers (2 frontend, 2 backend), 2 QA Engineers, 1 UX Designer, 1 EHR Consultant, 1 DevOps Engineer.</w:t>
      </w:r>
    </w:p>
    <w:p>
      <w:pPr>
        <w:numPr>
          <w:ilvl w:val="0"/>
          <w:numId w:val="1002"/>
        </w:numPr>
        <w:pStyle w:val="Compact"/>
      </w:pPr>
      <w:r>
        <w:t xml:space="preserve">Remote Collaboration: 3 developers were based in India (time zone difference: 10.5 hours from Chicago).</w:t>
      </w:r>
    </w:p>
    <w:p>
      <w:pPr>
        <w:numPr>
          <w:ilvl w:val="0"/>
          <w:numId w:val="1002"/>
        </w:numPr>
        <w:pStyle w:val="Compact"/>
      </w:pPr>
      <w:r>
        <w:t xml:space="preserve">Mitigation: Overlapping meetings (9 AM–11 AM Chicago time = 7:30 PM–9:30 PM India time), asynchronous communication via Slack, and Jira for task tracking.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Difficulty Outcome</w:t>
      </w:r>
      <w:r>
        <w:t xml:space="preserve">: Average Difficulty Score = 7.75/10 (moderately difficult) — with middleware and AWS tools reducing technical complexity, and overlapping meetings reducing remote collaboration challenges.</w:t>
      </w:r>
    </w:p>
    <w:p>
      <w:pPr>
        <w:pStyle w:val="FirstParagraph"/>
      </w:pPr>
      <w:r>
        <w:rPr>
          <w:bCs/>
          <w:b/>
        </w:rPr>
        <w:t xml:space="preserve">5.1.4 Project Execution and Outcome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Challenges During Execution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Legacy Integration Delays: Data extraction took 8 weeks (vs. 7 scheduled) due to unexpected duplicate records—delaying the project by 1 week.</w:t>
      </w:r>
    </w:p>
    <w:p>
      <w:pPr>
        <w:numPr>
          <w:ilvl w:val="0"/>
          <w:numId w:val="1003"/>
        </w:numPr>
        <w:pStyle w:val="Compact"/>
      </w:pPr>
      <w:r>
        <w:t xml:space="preserve">Mitigation: Added a data analyst to help clean records and compressed testing time by 1 week (prioritized critical tests).</w:t>
      </w:r>
    </w:p>
    <w:p>
      <w:pPr>
        <w:numPr>
          <w:ilvl w:val="0"/>
          <w:numId w:val="1003"/>
        </w:numPr>
        <w:pStyle w:val="Compact"/>
      </w:pPr>
      <w:r>
        <w:t xml:space="preserve">Clinician Feedback: During Agile testing, clinicians requested changes to the clinical workflow (e.g., adding a</w:t>
      </w:r>
      <w:r>
        <w:t xml:space="preserve"> </w:t>
      </w:r>
      <w:r>
        <w:t xml:space="preserve">“</w:t>
      </w:r>
      <w:r>
        <w:t xml:space="preserve">quick access</w:t>
      </w:r>
      <w:r>
        <w:t xml:space="preserve">”</w:t>
      </w:r>
      <w:r>
        <w:t xml:space="preserve"> </w:t>
      </w:r>
      <w:r>
        <w:t xml:space="preserve">button for emergency records) — scope creep risk.</w:t>
      </w:r>
    </w:p>
    <w:p>
      <w:pPr>
        <w:numPr>
          <w:ilvl w:val="0"/>
          <w:numId w:val="1003"/>
        </w:numPr>
        <w:pStyle w:val="Compact"/>
      </w:pPr>
      <w:r>
        <w:t xml:space="preserve">Mitigation: Used the MoSCoW method to prioritize changes (added the quick access button as a</w:t>
      </w:r>
      <w:r>
        <w:t xml:space="preserve"> </w:t>
      </w:r>
      <w:r>
        <w:t xml:space="preserve">“</w:t>
      </w:r>
      <w:r>
        <w:t xml:space="preserve">Must Have,</w:t>
      </w:r>
      <w:r>
        <w:t xml:space="preserve">”</w:t>
      </w:r>
      <w:r>
        <w:t xml:space="preserve"> </w:t>
      </w:r>
      <w:r>
        <w:t xml:space="preserve">deferred other changes to a post-launch update).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Outcome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Timeline: Delivered 1 week late (10 months total) but met all HIPAA requirements and client core needs.</w:t>
      </w:r>
    </w:p>
    <w:p>
      <w:pPr>
        <w:numPr>
          <w:ilvl w:val="0"/>
          <w:numId w:val="1003"/>
        </w:numPr>
        <w:pStyle w:val="Compact"/>
      </w:pPr>
      <w:r>
        <w:t xml:space="preserve">Quality: Defect density was 2.5/1000 LOC (below the industry average of 4/1000 LOC) — due to rigorous QA testing.</w:t>
      </w:r>
    </w:p>
    <w:p>
      <w:pPr>
        <w:numPr>
          <w:ilvl w:val="0"/>
          <w:numId w:val="1003"/>
        </w:numPr>
        <w:pStyle w:val="Compact"/>
      </w:pPr>
      <w:r>
        <w:t xml:space="preserve">Client Satisfaction: Hospital reported a 25% reduction in administrative time (close to the 30% goal) and 90% clinician satisfaction with the EHR.</w:t>
      </w:r>
    </w:p>
    <w:p>
      <w:pPr>
        <w:numPr>
          <w:ilvl w:val="0"/>
          <w:numId w:val="1003"/>
        </w:numPr>
        <w:pStyle w:val="Compact"/>
      </w:pPr>
      <w:r>
        <w:t xml:space="preserve">Business Impact: The house gained a key healthcare reference, leading to 2 new EHR projects in the next 6 months—expanding its healthcare IT portfolio by 40%.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2026-10-09T09:58:32Z</dcterms:created>
  <dcterms:modified xsi:type="dcterms:W3CDTF">2026-10-09T09:58:32Z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