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1792cc45cc48e8591f781759e6815fa4d792f7"/>
    <w:p>
      <w:pPr>
        <w:pStyle w:val="Heading1"/>
      </w:pPr>
      <w:r>
        <w:t xml:space="preserve">Best Practices and Continuous Improvement in Project Evaluation</w:t>
      </w:r>
    </w:p>
    <w:p>
      <w:pPr>
        <w:pStyle w:val="FirstParagraph"/>
      </w:pPr>
      <w:r>
        <w:t xml:space="preserve">For IT development houses, project evaluation is not a one-time task but a</w:t>
      </w:r>
      <w:r>
        <w:t xml:space="preserve"> </w:t>
      </w:r>
      <w:r>
        <w:rPr>
          <w:bCs/>
          <w:b/>
        </w:rPr>
        <w:t xml:space="preserve">continuous improvement cycle</w:t>
      </w:r>
      <w:r>
        <w:t xml:space="preserve">—refined by lessons from past projects, emerging technologies, and shifting market demands. This section outlines standardized processes, knowledge management systems, and future-focused strategies to enhance evaluation accuracy and efficiency.</w:t>
      </w:r>
    </w:p>
    <w:p>
      <w:pPr>
        <w:pStyle w:val="BodyText"/>
      </w:pPr>
      <w:r>
        <w:rPr>
          <w:bCs/>
          <w:b/>
        </w:rPr>
        <w:t xml:space="preserve">6.1 Establishing a Standardized Evaluation Framework</w:t>
      </w:r>
    </w:p>
    <w:p>
      <w:pPr>
        <w:pStyle w:val="BodyText"/>
      </w:pPr>
      <w:r>
        <w:t xml:space="preserve">Inconsistent evaluation processes (e.g., ad-hoc meetings, subjective judgments) lead to inconsistent project outcomes. A standardized framework ensures all projects are assessed using the same criteria, reducing bias and improving decision-making.</w:t>
      </w:r>
    </w:p>
    <w:p>
      <w:pPr>
        <w:pStyle w:val="BodyText"/>
      </w:pPr>
      <w:r>
        <w:rPr>
          <w:bCs/>
          <w:b/>
        </w:rPr>
        <w:t xml:space="preserve">6.1.1 Designing a Project Evaluation Checklist</w:t>
      </w:r>
    </w:p>
    <w:p>
      <w:pPr>
        <w:pStyle w:val="BodyText"/>
      </w:pPr>
      <w:r>
        <w:t xml:space="preserve">A</w:t>
      </w:r>
      <w:r>
        <w:t xml:space="preserve"> </w:t>
      </w:r>
      <w:r>
        <w:rPr>
          <w:bCs/>
          <w:b/>
        </w:rPr>
        <w:t xml:space="preserve">structured checklist</w:t>
      </w:r>
      <w:r>
        <w:t xml:space="preserve"> </w:t>
      </w:r>
      <w:r>
        <w:t xml:space="preserve">translates the theoretical frameworks (Sections 1–4) into actionable steps. The checklist below is tailored to IT development houses and includes weighted scoring (1–5, with higher scores indicating stronger alignment/difficulty mitigation) to quantify assessments: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Evaluation Category</w:t>
            </w:r>
          </w:p>
        </w:tc>
        <w:tc>
          <w:tcPr/>
          <w:p>
            <w:pPr>
              <w:pStyle w:val="Compact"/>
              <w:jc w:val="left"/>
            </w:pPr>
            <w:r>
              <w:rPr>
                <w:bCs/>
                <w:b/>
              </w:rPr>
              <w:t xml:space="preserve">Criteria</w:t>
            </w:r>
          </w:p>
        </w:tc>
        <w:tc>
          <w:tcPr/>
          <w:p>
            <w:pPr>
              <w:pStyle w:val="Compact"/>
              <w:jc w:val="left"/>
            </w:pPr>
            <w:r>
              <w:rPr>
                <w:bCs/>
                <w:b/>
              </w:rPr>
              <w:t xml:space="preserve">Scoring (1–5)</w:t>
            </w:r>
          </w:p>
        </w:tc>
        <w:tc>
          <w:tcPr/>
          <w:p>
            <w:pPr>
              <w:pStyle w:val="Compact"/>
              <w:jc w:val="left"/>
            </w:pPr>
            <w:r>
              <w:rPr>
                <w:bCs/>
                <w:b/>
              </w:rPr>
              <w:t xml:space="preserve">Weight</w:t>
            </w:r>
          </w:p>
        </w:tc>
        <w:tc>
          <w:tcPr/>
          <w:p>
            <w:pPr>
              <w:pStyle w:val="Compact"/>
              <w:jc w:val="left"/>
            </w:pPr>
            <w:r>
              <w:rPr>
                <w:bCs/>
                <w:b/>
              </w:rPr>
              <w:t xml:space="preserve">Weighted Score</w:t>
            </w:r>
          </w:p>
        </w:tc>
      </w:tr>
      <w:tr>
        <w:tc>
          <w:tcPr/>
          <w:p>
            <w:pPr>
              <w:pStyle w:val="Compact"/>
              <w:jc w:val="left"/>
            </w:pPr>
            <w:r>
              <w:rPr>
                <w:bCs/>
                <w:b/>
              </w:rPr>
              <w:t xml:space="preserve">Suitability</w:t>
            </w:r>
          </w:p>
        </w:tc>
        <w:tc>
          <w:tcPr/>
          <w:p>
            <w:pPr>
              <w:pStyle w:val="Compact"/>
              <w:jc w:val="left"/>
            </w:pPr>
            <w:r>
              <w:t xml:space="preserve">1. Strategic alignment with house goals (e.g., portfolio expansion, expertise leverage)</w:t>
            </w:r>
          </w:p>
        </w:tc>
        <w:tc>
          <w:tcPr/>
          <w:p>
            <w:pPr>
              <w:pStyle w:val="Compact"/>
              <w:jc w:val="left"/>
            </w:pPr>
            <w:r>
              <w:t xml:space="preserve">1=No alignment; 5=Directly advances goals</w:t>
            </w:r>
          </w:p>
        </w:tc>
        <w:tc>
          <w:tcPr/>
          <w:p>
            <w:pPr>
              <w:pStyle w:val="Compact"/>
              <w:jc w:val="left"/>
            </w:pPr>
            <w:r>
              <w:t xml:space="preserve">25%</w:t>
            </w:r>
          </w:p>
        </w:tc>
        <w:tc>
          <w:tcPr/>
          <w:p>
            <w:pPr>
              <w:pStyle w:val="Compact"/>
              <w:jc w:val="left"/>
            </w:pPr>
            <w:r>
              <w:t xml:space="preserve">(Score x 0.25)</w:t>
            </w:r>
          </w:p>
        </w:tc>
      </w:tr>
      <w:tr>
        <w:tc>
          <w:tcPr/>
          <w:p>
            <w:pPr>
              <w:pStyle w:val="Compact"/>
            </w:pPr>
          </w:p>
        </w:tc>
        <w:tc>
          <w:tcPr/>
          <w:p>
            <w:pPr>
              <w:pStyle w:val="Compact"/>
              <w:jc w:val="left"/>
            </w:pPr>
            <w:r>
              <w:t xml:space="preserve">2. Resource fit (human talent, infrastructure, budget)</w:t>
            </w:r>
          </w:p>
        </w:tc>
        <w:tc>
          <w:tcPr/>
          <w:p>
            <w:pPr>
              <w:pStyle w:val="Compact"/>
              <w:jc w:val="left"/>
            </w:pPr>
            <w:r>
              <w:t xml:space="preserve">1=Major gaps; 5=No gaps</w:t>
            </w:r>
          </w:p>
        </w:tc>
        <w:tc>
          <w:tcPr/>
          <w:p>
            <w:pPr>
              <w:pStyle w:val="Compact"/>
              <w:jc w:val="left"/>
            </w:pPr>
            <w:r>
              <w:t xml:space="preserve">25%</w:t>
            </w:r>
          </w:p>
        </w:tc>
        <w:tc>
          <w:tcPr/>
          <w:p>
            <w:pPr>
              <w:pStyle w:val="Compact"/>
              <w:jc w:val="left"/>
            </w:pPr>
            <w:r>
              <w:t xml:space="preserve">(Score x 0.25)</w:t>
            </w:r>
          </w:p>
        </w:tc>
      </w:tr>
      <w:tr>
        <w:tc>
          <w:tcPr/>
          <w:p>
            <w:pPr>
              <w:pStyle w:val="Compact"/>
            </w:pPr>
          </w:p>
        </w:tc>
        <w:tc>
          <w:tcPr/>
          <w:p>
            <w:pPr>
              <w:pStyle w:val="Compact"/>
              <w:jc w:val="left"/>
            </w:pPr>
            <w:r>
              <w:t xml:space="preserve">3. Regulatory compliance (e.g., GDPR, HIPAA)</w:t>
            </w:r>
          </w:p>
        </w:tc>
        <w:tc>
          <w:tcPr/>
          <w:p>
            <w:pPr>
              <w:pStyle w:val="Compact"/>
              <w:jc w:val="left"/>
            </w:pPr>
            <w:r>
              <w:t xml:space="preserve">1=Non-compliant; 5=Fully compliant</w:t>
            </w:r>
          </w:p>
        </w:tc>
        <w:tc>
          <w:tcPr/>
          <w:p>
            <w:pPr>
              <w:pStyle w:val="Compact"/>
              <w:jc w:val="left"/>
            </w:pPr>
            <w:r>
              <w:t xml:space="preserve">20%</w:t>
            </w:r>
          </w:p>
        </w:tc>
        <w:tc>
          <w:tcPr/>
          <w:p>
            <w:pPr>
              <w:pStyle w:val="Compact"/>
              <w:jc w:val="left"/>
            </w:pPr>
            <w:r>
              <w:t xml:space="preserve">(Score x 0.20)</w:t>
            </w:r>
          </w:p>
        </w:tc>
      </w:tr>
      <w:tr>
        <w:tc>
          <w:tcPr/>
          <w:p>
            <w:pPr>
              <w:pStyle w:val="Compact"/>
            </w:pPr>
          </w:p>
        </w:tc>
        <w:tc>
          <w:tcPr/>
          <w:p>
            <w:pPr>
              <w:pStyle w:val="Compact"/>
              <w:jc w:val="left"/>
            </w:pPr>
            <w:r>
              <w:t xml:space="preserve">4. Stakeholder value (client ROI, end-user usability)</w:t>
            </w:r>
          </w:p>
        </w:tc>
        <w:tc>
          <w:tcPr/>
          <w:p>
            <w:pPr>
              <w:pStyle w:val="Compact"/>
              <w:jc w:val="left"/>
            </w:pPr>
            <w:r>
              <w:t xml:space="preserve">1=No clear value; 5=High, measurable value</w:t>
            </w:r>
          </w:p>
        </w:tc>
        <w:tc>
          <w:tcPr/>
          <w:p>
            <w:pPr>
              <w:pStyle w:val="Compact"/>
              <w:jc w:val="left"/>
            </w:pPr>
            <w:r>
              <w:t xml:space="preserve">30%</w:t>
            </w:r>
          </w:p>
        </w:tc>
        <w:tc>
          <w:tcPr/>
          <w:p>
            <w:pPr>
              <w:pStyle w:val="Compact"/>
              <w:jc w:val="left"/>
            </w:pPr>
            <w:r>
              <w:t xml:space="preserve">(Score x 0.30)</w:t>
            </w:r>
          </w:p>
        </w:tc>
      </w:tr>
      <w:tr>
        <w:tc>
          <w:tcPr/>
          <w:p>
            <w:pPr>
              <w:pStyle w:val="Compact"/>
              <w:jc w:val="left"/>
            </w:pPr>
            <w:r>
              <w:rPr>
                <w:bCs/>
                <w:b/>
              </w:rPr>
              <w:t xml:space="preserve">Difficulty</w:t>
            </w:r>
          </w:p>
        </w:tc>
        <w:tc>
          <w:tcPr/>
          <w:p>
            <w:pPr>
              <w:pStyle w:val="Compact"/>
              <w:jc w:val="left"/>
            </w:pPr>
            <w:r>
              <w:t xml:space="preserve">1. Technical complexity (architecture, integration, tool maturity)</w:t>
            </w:r>
          </w:p>
        </w:tc>
        <w:tc>
          <w:tcPr/>
          <w:p>
            <w:pPr>
              <w:pStyle w:val="Compact"/>
              <w:jc w:val="left"/>
            </w:pPr>
            <w:r>
              <w:t xml:space="preserve">1=Unmanageable; 5=Low complexity</w:t>
            </w:r>
          </w:p>
        </w:tc>
        <w:tc>
          <w:tcPr/>
          <w:p>
            <w:pPr>
              <w:pStyle w:val="Compact"/>
              <w:jc w:val="left"/>
            </w:pPr>
            <w:r>
              <w:t xml:space="preserve">35%</w:t>
            </w:r>
          </w:p>
        </w:tc>
        <w:tc>
          <w:tcPr/>
          <w:p>
            <w:pPr>
              <w:pStyle w:val="Compact"/>
              <w:jc w:val="left"/>
            </w:pPr>
            <w:r>
              <w:t xml:space="preserve">(Score x 0.35)</w:t>
            </w:r>
          </w:p>
        </w:tc>
      </w:tr>
      <w:tr>
        <w:tc>
          <w:tcPr/>
          <w:p>
            <w:pPr>
              <w:pStyle w:val="Compact"/>
            </w:pPr>
          </w:p>
        </w:tc>
        <w:tc>
          <w:tcPr/>
          <w:p>
            <w:pPr>
              <w:pStyle w:val="Compact"/>
              <w:jc w:val="left"/>
            </w:pPr>
            <w:r>
              <w:t xml:space="preserve">2. Managerial complexity (scope stability, team skills, timeline feasibility)</w:t>
            </w:r>
          </w:p>
        </w:tc>
        <w:tc>
          <w:tcPr/>
          <w:p>
            <w:pPr>
              <w:pStyle w:val="Compact"/>
              <w:jc w:val="left"/>
            </w:pPr>
            <w:r>
              <w:t xml:space="preserve">1=High risk of delays; 5=Low risk</w:t>
            </w:r>
          </w:p>
        </w:tc>
        <w:tc>
          <w:tcPr/>
          <w:p>
            <w:pPr>
              <w:pStyle w:val="Compact"/>
              <w:jc w:val="left"/>
            </w:pPr>
            <w:r>
              <w:t xml:space="preserve">30%</w:t>
            </w:r>
          </w:p>
        </w:tc>
        <w:tc>
          <w:tcPr/>
          <w:p>
            <w:pPr>
              <w:pStyle w:val="Compact"/>
              <w:jc w:val="left"/>
            </w:pPr>
            <w:r>
              <w:t xml:space="preserve">(Score x 0.30)</w:t>
            </w:r>
          </w:p>
        </w:tc>
      </w:tr>
      <w:tr>
        <w:tc>
          <w:tcPr/>
          <w:p>
            <w:pPr>
              <w:pStyle w:val="Compact"/>
            </w:pPr>
          </w:p>
        </w:tc>
        <w:tc>
          <w:tcPr/>
          <w:p>
            <w:pPr>
              <w:pStyle w:val="Compact"/>
              <w:jc w:val="left"/>
            </w:pPr>
            <w:r>
              <w:t xml:space="preserve">3. Environmental uncertainty (regulatory changes, market volatility)</w:t>
            </w:r>
          </w:p>
        </w:tc>
        <w:tc>
          <w:tcPr/>
          <w:p>
            <w:pPr>
              <w:pStyle w:val="Compact"/>
              <w:jc w:val="left"/>
            </w:pPr>
            <w:r>
              <w:t xml:space="preserve">1=High uncertainty; 5=Stable</w:t>
            </w:r>
          </w:p>
        </w:tc>
        <w:tc>
          <w:tcPr/>
          <w:p>
            <w:pPr>
              <w:pStyle w:val="Compact"/>
              <w:jc w:val="left"/>
            </w:pPr>
            <w:r>
              <w:t xml:space="preserve">20%</w:t>
            </w:r>
          </w:p>
        </w:tc>
        <w:tc>
          <w:tcPr/>
          <w:p>
            <w:pPr>
              <w:pStyle w:val="Compact"/>
              <w:jc w:val="left"/>
            </w:pPr>
            <w:r>
              <w:t xml:space="preserve">(Score x 0.20)</w:t>
            </w:r>
          </w:p>
        </w:tc>
      </w:tr>
      <w:tr>
        <w:tc>
          <w:tcPr/>
          <w:p>
            <w:pPr>
              <w:pStyle w:val="Compact"/>
            </w:pPr>
          </w:p>
        </w:tc>
        <w:tc>
          <w:tcPr/>
          <w:p>
            <w:pPr>
              <w:pStyle w:val="Compact"/>
              <w:jc w:val="left"/>
            </w:pPr>
            <w:r>
              <w:t xml:space="preserve">4. Risk mitigation plans (contingencies for gaps/ delays)</w:t>
            </w:r>
          </w:p>
        </w:tc>
        <w:tc>
          <w:tcPr/>
          <w:p>
            <w:pPr>
              <w:pStyle w:val="Compact"/>
              <w:jc w:val="left"/>
            </w:pPr>
            <w:r>
              <w:t xml:space="preserve">1=No plans; 5=Comprehensive plans</w:t>
            </w:r>
          </w:p>
        </w:tc>
        <w:tc>
          <w:tcPr/>
          <w:p>
            <w:pPr>
              <w:pStyle w:val="Compact"/>
              <w:jc w:val="left"/>
            </w:pPr>
            <w:r>
              <w:t xml:space="preserve">15%</w:t>
            </w:r>
          </w:p>
        </w:tc>
        <w:tc>
          <w:tcPr/>
          <w:p>
            <w:pPr>
              <w:pStyle w:val="Compact"/>
              <w:jc w:val="left"/>
            </w:pPr>
            <w:r>
              <w:t xml:space="preserve">(Score x 0.15)</w:t>
            </w:r>
          </w:p>
        </w:tc>
      </w:tr>
      <w:tr>
        <w:tc>
          <w:tcPr/>
          <w:p>
            <w:pPr>
              <w:pStyle w:val="Compact"/>
              <w:jc w:val="left"/>
            </w:pPr>
            <w:r>
              <w:rPr>
                <w:bCs/>
                <w:b/>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Sum of weighted scores</w:t>
            </w:r>
          </w:p>
        </w:tc>
      </w:tr>
    </w:tbl>
    <w:p>
      <w:pPr>
        <w:pStyle w:val="BodyText"/>
      </w:pPr>
      <w:r>
        <w:rPr>
          <w:iCs/>
          <w:i/>
        </w:rPr>
        <w:t xml:space="preserve">Table 1: IT Project Evaluation Checklist with Weighted Scoring</w:t>
      </w:r>
    </w:p>
    <w:p>
      <w:pPr>
        <w:pStyle w:val="BodyText"/>
      </w:pPr>
      <w:r>
        <w:rPr>
          <w:bCs/>
          <w:b/>
        </w:rPr>
        <w:t xml:space="preserve">Usage Example</w:t>
      </w:r>
      <w:r>
        <w:t xml:space="preserve">: For the fintech app project in Section 4.2.1:</w:t>
      </w:r>
    </w:p>
    <w:p>
      <w:pPr>
        <w:numPr>
          <w:ilvl w:val="0"/>
          <w:numId w:val="1001"/>
        </w:numPr>
        <w:pStyle w:val="Compact"/>
      </w:pPr>
      <w:r>
        <w:t xml:space="preserve">Suitability Scores: Strategic Alignment (4), Resource Fit (3), Compliance (4), Stakeholder Value (4) → Weighted Suitability = (4×0.25)+(3×0.25)+(4×0.20)+(4×0.30) = 3.85/5.</w:t>
      </w:r>
    </w:p>
    <w:p>
      <w:pPr>
        <w:numPr>
          <w:ilvl w:val="0"/>
          <w:numId w:val="1001"/>
        </w:numPr>
        <w:pStyle w:val="Compact"/>
      </w:pPr>
      <w:r>
        <w:t xml:space="preserve">Difficulty Scores: Technical Complexity (3), Managerial Complexity (3), Environmental Uncertainty (2), Risk Mitigation (4) → Weighted Difficulty = (3×0.35)+(3×0.30)+(2×0.20)+(4×0.15) = 2.95/5.</w:t>
      </w:r>
    </w:p>
    <w:p>
      <w:pPr>
        <w:numPr>
          <w:ilvl w:val="0"/>
          <w:numId w:val="1001"/>
        </w:numPr>
        <w:pStyle w:val="Compact"/>
      </w:pPr>
      <w:r>
        <w:rPr>
          <w:bCs/>
          <w:b/>
        </w:rPr>
        <w:t xml:space="preserve">Decision Threshold</w:t>
      </w:r>
      <w:r>
        <w:t xml:space="preserve">: The house approves projects with Weighted Suitability ≥3.0 and Weighted Difficulty ≤3.5—this project meets both criteria.</w:t>
      </w:r>
    </w:p>
    <w:p>
      <w:pPr>
        <w:pStyle w:val="FirstParagraph"/>
      </w:pPr>
      <w:r>
        <w:t xml:space="preserve">The checklist is customizable: for example, a house specializing in healthcare IT might increase the</w:t>
      </w:r>
      <w:r>
        <w:t xml:space="preserve"> </w:t>
      </w:r>
      <w:r>
        <w:t xml:space="preserve">“</w:t>
      </w:r>
      <w:r>
        <w:t xml:space="preserve">Regulatory Compliance</w:t>
      </w:r>
      <w:r>
        <w:t xml:space="preserve">”</w:t>
      </w:r>
      <w:r>
        <w:t xml:space="preserve"> </w:t>
      </w:r>
      <w:r>
        <w:t xml:space="preserve">weight to 30%, while a startup-focused house might prioritize</w:t>
      </w:r>
      <w:r>
        <w:t xml:space="preserve"> </w:t>
      </w:r>
      <w:r>
        <w:t xml:space="preserve">“</w:t>
      </w:r>
      <w:r>
        <w:t xml:space="preserve">Stakeholder Value</w:t>
      </w:r>
      <w:r>
        <w:t xml:space="preserve">”</w:t>
      </w:r>
      <w:r>
        <w:t xml:space="preserve"> </w:t>
      </w:r>
      <w:r>
        <w:t xml:space="preserve">(40%) to ensure client retention.</w:t>
      </w:r>
    </w:p>
    <w:p>
      <w:pPr>
        <w:pStyle w:val="BodyText"/>
      </w:pPr>
      <w:r>
        <w:rPr>
          <w:bCs/>
          <w:b/>
        </w:rPr>
        <w:t xml:space="preserve">6.1.2 Developing a Decision Matrix for Project Prioritization</w:t>
      </w:r>
    </w:p>
    <w:p>
      <w:pPr>
        <w:pStyle w:val="BodyText"/>
      </w:pPr>
      <w:r>
        <w:t xml:space="preserve">When evaluating multiple projects (e.g., 5 client requests at once), a</w:t>
      </w:r>
      <w:r>
        <w:t xml:space="preserve"> </w:t>
      </w:r>
      <w:r>
        <w:rPr>
          <w:bCs/>
          <w:b/>
        </w:rPr>
        <w:t xml:space="preserve">prioritization matrix</w:t>
      </w:r>
      <w:r>
        <w:t xml:space="preserve"> </w:t>
      </w:r>
      <w:r>
        <w:t xml:space="preserve">ranks projects based on two key metrics:</w:t>
      </w:r>
    </w:p>
    <w:p>
      <w:pPr>
        <w:numPr>
          <w:ilvl w:val="0"/>
          <w:numId w:val="1002"/>
        </w:numPr>
        <w:pStyle w:val="Compact"/>
      </w:pPr>
      <w:r>
        <w:rPr>
          <w:bCs/>
          <w:b/>
        </w:rPr>
        <w:t xml:space="preserve">Strategic Value</w:t>
      </w:r>
      <w:r>
        <w:t xml:space="preserve">: Weighted Suitability Score (from Table 1).</w:t>
      </w:r>
    </w:p>
    <w:p>
      <w:pPr>
        <w:numPr>
          <w:ilvl w:val="0"/>
          <w:numId w:val="1002"/>
        </w:numPr>
        <w:pStyle w:val="Compact"/>
      </w:pPr>
      <w:r>
        <w:rPr>
          <w:bCs/>
          <w:b/>
        </w:rPr>
        <w:t xml:space="preserve">Resource Efficiency</w:t>
      </w:r>
      <w:r>
        <w:t xml:space="preserve">: (Estimated Profit / Estimated Labor Hours) — measures revenue generated per hour of team time.</w:t>
      </w:r>
    </w:p>
    <w:p>
      <w:pPr>
        <w:pStyle w:val="FirstParagraph"/>
      </w:pPr>
      <w:r>
        <w:rPr>
          <w:bCs/>
          <w:b/>
        </w:rPr>
        <w:t xml:space="preserve">Example Matrix</w:t>
      </w:r>
      <w:r>
        <w:t xml:space="preserve">: A development house evaluating 4 projects uses the matrix below to prioritize: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Project</w:t>
            </w:r>
          </w:p>
        </w:tc>
        <w:tc>
          <w:tcPr/>
          <w:p>
            <w:pPr>
              <w:pStyle w:val="Compact"/>
              <w:jc w:val="left"/>
            </w:pPr>
            <w:r>
              <w:t xml:space="preserve">Weighted Suitability</w:t>
            </w:r>
          </w:p>
        </w:tc>
        <w:tc>
          <w:tcPr/>
          <w:p>
            <w:pPr>
              <w:pStyle w:val="Compact"/>
              <w:jc w:val="left"/>
            </w:pPr>
            <w:r>
              <w:t xml:space="preserve">Resource Efficiency ($/hour)</w:t>
            </w:r>
          </w:p>
        </w:tc>
        <w:tc>
          <w:tcPr/>
          <w:p>
            <w:pPr>
              <w:pStyle w:val="Compact"/>
              <w:jc w:val="left"/>
            </w:pPr>
            <w:r>
              <w:t xml:space="preserve">Priority</w:t>
            </w:r>
          </w:p>
        </w:tc>
      </w:tr>
      <w:tr>
        <w:tc>
          <w:tcPr/>
          <w:p>
            <w:pPr>
              <w:pStyle w:val="Compact"/>
              <w:jc w:val="left"/>
            </w:pPr>
            <w:r>
              <w:t xml:space="preserve">Healthcare EHR</w:t>
            </w:r>
          </w:p>
        </w:tc>
        <w:tc>
          <w:tcPr/>
          <w:p>
            <w:pPr>
              <w:pStyle w:val="Compact"/>
              <w:jc w:val="left"/>
            </w:pPr>
            <w:r>
              <w:t xml:space="preserve">4.2</w:t>
            </w:r>
          </w:p>
        </w:tc>
        <w:tc>
          <w:tcPr/>
          <w:p>
            <w:pPr>
              <w:pStyle w:val="Compact"/>
              <w:jc w:val="left"/>
            </w:pPr>
            <w:r>
              <w:t xml:space="preserve">$85</w:t>
            </w:r>
          </w:p>
        </w:tc>
        <w:tc>
          <w:tcPr/>
          <w:p>
            <w:pPr>
              <w:pStyle w:val="Compact"/>
              <w:jc w:val="left"/>
            </w:pPr>
            <w:r>
              <w:t xml:space="preserve">1 (High strategic value + high efficiency)</w:t>
            </w:r>
          </w:p>
        </w:tc>
      </w:tr>
      <w:tr>
        <w:tc>
          <w:tcPr/>
          <w:p>
            <w:pPr>
              <w:pStyle w:val="Compact"/>
              <w:jc w:val="left"/>
            </w:pPr>
            <w:r>
              <w:t xml:space="preserve">Fintech Chatbot</w:t>
            </w:r>
          </w:p>
        </w:tc>
        <w:tc>
          <w:tcPr/>
          <w:p>
            <w:pPr>
              <w:pStyle w:val="Compact"/>
              <w:jc w:val="left"/>
            </w:pPr>
            <w:r>
              <w:t xml:space="preserve">3.8</w:t>
            </w:r>
          </w:p>
        </w:tc>
        <w:tc>
          <w:tcPr/>
          <w:p>
            <w:pPr>
              <w:pStyle w:val="Compact"/>
              <w:jc w:val="left"/>
            </w:pPr>
            <w:r>
              <w:t xml:space="preserve">$70</w:t>
            </w:r>
          </w:p>
        </w:tc>
        <w:tc>
          <w:tcPr/>
          <w:p>
            <w:pPr>
              <w:pStyle w:val="Compact"/>
              <w:jc w:val="left"/>
            </w:pPr>
            <w:r>
              <w:t xml:space="preserve">2</w:t>
            </w:r>
          </w:p>
        </w:tc>
      </w:tr>
      <w:tr>
        <w:tc>
          <w:tcPr/>
          <w:p>
            <w:pPr>
              <w:pStyle w:val="Compact"/>
              <w:jc w:val="left"/>
            </w:pPr>
            <w:r>
              <w:t xml:space="preserve">E-Commerce App</w:t>
            </w:r>
          </w:p>
        </w:tc>
        <w:tc>
          <w:tcPr/>
          <w:p>
            <w:pPr>
              <w:pStyle w:val="Compact"/>
              <w:jc w:val="left"/>
            </w:pPr>
            <w:r>
              <w:t xml:space="preserve">3.5</w:t>
            </w:r>
          </w:p>
        </w:tc>
        <w:tc>
          <w:tcPr/>
          <w:p>
            <w:pPr>
              <w:pStyle w:val="Compact"/>
              <w:jc w:val="left"/>
            </w:pPr>
            <w:r>
              <w:t xml:space="preserve">$60</w:t>
            </w:r>
          </w:p>
        </w:tc>
        <w:tc>
          <w:tcPr/>
          <w:p>
            <w:pPr>
              <w:pStyle w:val="Compact"/>
              <w:jc w:val="left"/>
            </w:pPr>
            <w:r>
              <w:t xml:space="preserve">3</w:t>
            </w:r>
          </w:p>
        </w:tc>
      </w:tr>
      <w:tr>
        <w:tc>
          <w:tcPr/>
          <w:p>
            <w:pPr>
              <w:pStyle w:val="Compact"/>
              <w:jc w:val="left"/>
            </w:pPr>
            <w:r>
              <w:t xml:space="preserve">Local Business Website</w:t>
            </w:r>
          </w:p>
        </w:tc>
        <w:tc>
          <w:tcPr/>
          <w:p>
            <w:pPr>
              <w:pStyle w:val="Compact"/>
              <w:jc w:val="left"/>
            </w:pPr>
            <w:r>
              <w:t xml:space="preserve">2.9</w:t>
            </w:r>
          </w:p>
        </w:tc>
        <w:tc>
          <w:tcPr/>
          <w:p>
            <w:pPr>
              <w:pStyle w:val="Compact"/>
              <w:jc w:val="left"/>
            </w:pPr>
            <w:r>
              <w:t xml:space="preserve">$45</w:t>
            </w:r>
          </w:p>
        </w:tc>
        <w:tc>
          <w:tcPr/>
          <w:p>
            <w:pPr>
              <w:pStyle w:val="Compact"/>
              <w:jc w:val="left"/>
            </w:pPr>
            <w:r>
              <w:t xml:space="preserve">4 (Low suitability + low efficiency)</w:t>
            </w:r>
          </w:p>
        </w:tc>
      </w:tr>
    </w:tbl>
    <w:p>
      <w:pPr>
        <w:pStyle w:val="BodyText"/>
      </w:pPr>
      <w:r>
        <w:rPr>
          <w:iCs/>
          <w:i/>
        </w:rPr>
        <w:t xml:space="preserve">Table 2: Project Prioritization Matrix</w:t>
      </w:r>
    </w:p>
    <w:p>
      <w:pPr>
        <w:pStyle w:val="BodyText"/>
      </w:pPr>
      <w:r>
        <w:rPr>
          <w:bCs/>
          <w:b/>
        </w:rPr>
        <w:t xml:space="preserve">Rationale</w:t>
      </w:r>
      <w:r>
        <w:t xml:space="preserve">: The EHR project is prioritized because it aligns with the house’s healthcare growth goal and generates more revenue per hour than other projects. The local business website is deprioritized—even though it has low difficulty—to avoid diverting resources from higher-value work.</w:t>
      </w:r>
    </w:p>
    <w:p>
      <w:pPr>
        <w:pStyle w:val="BodyText"/>
      </w:pPr>
      <w:r>
        <w:rPr>
          <w:bCs/>
          <w:b/>
        </w:rPr>
        <w:t xml:space="preserve">6.2 Post-Project Review and Knowledge Management</w:t>
      </w:r>
    </w:p>
    <w:p>
      <w:pPr>
        <w:pStyle w:val="BodyText"/>
      </w:pPr>
      <w:r>
        <w:t xml:space="preserve">The true value of evaluation lies in learning from experience. A</w:t>
      </w:r>
      <w:r>
        <w:t xml:space="preserve"> </w:t>
      </w:r>
      <w:r>
        <w:rPr>
          <w:bCs/>
          <w:b/>
        </w:rPr>
        <w:t xml:space="preserve">post-project review (PPR) process</w:t>
      </w:r>
      <w:r>
        <w:t xml:space="preserve"> </w:t>
      </w:r>
      <w:r>
        <w:t xml:space="preserve">captures gaps between predicted and actual outcomes, while a knowledge management system ensures these insights inform future evaluations.</w:t>
      </w:r>
    </w:p>
    <w:p>
      <w:pPr>
        <w:pStyle w:val="BodyText"/>
      </w:pPr>
      <w:r>
        <w:rPr>
          <w:bCs/>
          <w:b/>
        </w:rPr>
        <w:t xml:space="preserve">6.2.1 Conducting Structured Post-Project Reviews</w:t>
      </w:r>
    </w:p>
    <w:p>
      <w:pPr>
        <w:pStyle w:val="BodyText"/>
      </w:pPr>
      <w:r>
        <w:t xml:space="preserve">The PPR is held 4–6 weeks after project launch (allowing time to measure real-world performance) and follows the</w:t>
      </w:r>
      <w:r>
        <w:t xml:space="preserve"> </w:t>
      </w:r>
      <w:r>
        <w:rPr>
          <w:bCs/>
          <w:b/>
        </w:rPr>
        <w:t xml:space="preserve">4-A Framework</w:t>
      </w:r>
      <w:r>
        <w:t xml:space="preserve">:</w:t>
      </w:r>
    </w:p>
    <w:p>
      <w:pPr>
        <w:numPr>
          <w:ilvl w:val="0"/>
          <w:numId w:val="1003"/>
        </w:numPr>
        <w:pStyle w:val="Compact"/>
      </w:pPr>
      <w:r>
        <w:rPr>
          <w:bCs/>
          <w:b/>
        </w:rPr>
        <w:t xml:space="preserve">Align on Objectives</w:t>
      </w:r>
      <w:r>
        <w:t xml:space="preserve">:</w:t>
      </w:r>
    </w:p>
    <w:p>
      <w:pPr>
        <w:numPr>
          <w:ilvl w:val="0"/>
          <w:numId w:val="1004"/>
        </w:numPr>
        <w:pStyle w:val="Compact"/>
      </w:pPr>
      <w:r>
        <w:t xml:space="preserve">Review the original evaluation goals (e.g.,</w:t>
      </w:r>
      <w:r>
        <w:t xml:space="preserve"> </w:t>
      </w:r>
      <w:r>
        <w:t xml:space="preserve">“</w:t>
      </w:r>
      <w:r>
        <w:t xml:space="preserve">Reduce client support costs by 40%</w:t>
      </w:r>
      <w:r>
        <w:t xml:space="preserve">”</w:t>
      </w:r>
      <w:r>
        <w:t xml:space="preserve">) and compare them to actual outcomes (e.g., 45% cost reduction).</w:t>
      </w:r>
    </w:p>
    <w:p>
      <w:pPr>
        <w:numPr>
          <w:ilvl w:val="0"/>
          <w:numId w:val="1004"/>
        </w:numPr>
        <w:pStyle w:val="Compact"/>
      </w:pPr>
      <w:r>
        <w:t xml:space="preserve">Document variances: For example, the generative AI chatbot exceeded cost savings targets but fell short of user adoption (68% vs. 70%).</w:t>
      </w:r>
    </w:p>
    <w:p>
      <w:pPr>
        <w:numPr>
          <w:ilvl w:val="0"/>
          <w:numId w:val="1005"/>
        </w:numPr>
        <w:pStyle w:val="Compact"/>
      </w:pPr>
      <w:r>
        <w:rPr>
          <w:bCs/>
          <w:b/>
        </w:rPr>
        <w:t xml:space="preserve">Analyze Gaps</w:t>
      </w:r>
      <w:r>
        <w:t xml:space="preserve">:</w:t>
      </w:r>
    </w:p>
    <w:p>
      <w:pPr>
        <w:numPr>
          <w:ilvl w:val="0"/>
          <w:numId w:val="1006"/>
        </w:numPr>
      </w:pPr>
      <w:r>
        <w:t xml:space="preserve">For</w:t>
      </w:r>
      <w:r>
        <w:t xml:space="preserve"> </w:t>
      </w:r>
      <w:r>
        <w:rPr>
          <w:iCs/>
          <w:i/>
        </w:rPr>
        <w:t xml:space="preserve">suitability gaps</w:t>
      </w:r>
      <w:r>
        <w:t xml:space="preserve">: Did the project align with long-term goals as expected? For example, the EHR project in Case Study 1 increased the house’s healthcare portfolio by 40%—exceeding the 25% target—but required more AWS support costs (12k estimated).</w:t>
      </w:r>
    </w:p>
    <w:p>
      <w:pPr>
        <w:numPr>
          <w:ilvl w:val="0"/>
          <w:numId w:val="1000"/>
        </w:numPr>
      </w:pPr>
      <w:r>
        <w:t xml:space="preserve">15</w:t>
      </w:r>
      <w:r>
        <w:rPr>
          <w:iCs/>
          <w:i/>
        </w:rPr>
        <w:t xml:space="preserve">k</w:t>
      </w:r>
      <w:r>
        <w:t xml:space="preserve">/</w:t>
      </w:r>
      <w:r>
        <w:rPr>
          <w:iCs/>
          <w:i/>
        </w:rPr>
        <w:t xml:space="preserve">monthvs</w:t>
      </w:r>
      <w:r>
        <w:t xml:space="preserve">.</w:t>
      </w:r>
    </w:p>
    <w:p>
      <w:pPr>
        <w:numPr>
          <w:ilvl w:val="0"/>
          <w:numId w:val="1006"/>
        </w:numPr>
      </w:pPr>
      <w:r>
        <w:t xml:space="preserve">For</w:t>
      </w:r>
      <w:r>
        <w:t xml:space="preserve"> </w:t>
      </w:r>
      <w:r>
        <w:rPr>
          <w:iCs/>
          <w:i/>
        </w:rPr>
        <w:t xml:space="preserve">difficulty gaps</w:t>
      </w:r>
      <w:r>
        <w:t xml:space="preserve">: Were technical/managerial challenges accurately predicted? For example, the chatbot project’s LLM fine-tuning took 200 hours (vs. 150 estimated) due to unforeseen data cleaning needs.</w:t>
      </w:r>
    </w:p>
    <w:p>
      <w:pPr>
        <w:numPr>
          <w:ilvl w:val="0"/>
          <w:numId w:val="1006"/>
        </w:numPr>
      </w:pPr>
      <w:r>
        <w:t xml:space="preserve">Root cause analysis uses the</w:t>
      </w:r>
      <w:r>
        <w:t xml:space="preserve"> </w:t>
      </w:r>
      <w:r>
        <w:rPr>
          <w:bCs/>
          <w:b/>
        </w:rPr>
        <w:t xml:space="preserve">5 Whys Technique</w:t>
      </w:r>
      <w:r>
        <w:t xml:space="preserve">:</w:t>
      </w:r>
    </w:p>
    <w:p>
      <w:pPr>
        <w:numPr>
          <w:ilvl w:val="0"/>
          <w:numId w:val="1006"/>
        </w:numPr>
      </w:pPr>
      <w:r>
        <w:t xml:space="preserve">Why did LLM fine-tuning take longer? → Data had duplicate tickets.</w:t>
      </w:r>
    </w:p>
    <w:p>
      <w:pPr>
        <w:numPr>
          <w:ilvl w:val="0"/>
          <w:numId w:val="1006"/>
        </w:numPr>
      </w:pPr>
      <w:r>
        <w:t xml:space="preserve">Why were tickets duplicated? → Client’s Zendesk export included test tickets.</w:t>
      </w:r>
    </w:p>
    <w:p>
      <w:pPr>
        <w:numPr>
          <w:ilvl w:val="0"/>
          <w:numId w:val="1006"/>
        </w:numPr>
      </w:pPr>
      <w:r>
        <w:t xml:space="preserve">Why weren’t test tickets removed? → No data validation step in the evaluation process.</w:t>
      </w:r>
    </w:p>
    <w:p>
      <w:pPr>
        <w:numPr>
          <w:ilvl w:val="0"/>
          <w:numId w:val="1007"/>
        </w:numPr>
        <w:pStyle w:val="Compact"/>
      </w:pPr>
      <w:r>
        <w:rPr>
          <w:bCs/>
          <w:b/>
        </w:rPr>
        <w:t xml:space="preserve">Actionable Insights</w:t>
      </w:r>
      <w:r>
        <w:t xml:space="preserve">:</w:t>
      </w:r>
    </w:p>
    <w:p>
      <w:pPr>
        <w:numPr>
          <w:ilvl w:val="0"/>
          <w:numId w:val="1008"/>
        </w:numPr>
        <w:pStyle w:val="Compact"/>
      </w:pPr>
      <w:r>
        <w:t xml:space="preserve">Translate gaps into specific improvements for future evaluations. For example:</w:t>
      </w:r>
    </w:p>
    <w:p>
      <w:pPr>
        <w:numPr>
          <w:ilvl w:val="0"/>
          <w:numId w:val="1008"/>
        </w:numPr>
        <w:pStyle w:val="Compact"/>
      </w:pPr>
      <w:r>
        <w:t xml:space="preserve">“</w:t>
      </w:r>
      <w:r>
        <w:t xml:space="preserve">Add a data validation step to client data exports (e.g., filter out test tickets) to reduce LLM fine-tuning time.</w:t>
      </w:r>
      <w:r>
        <w:t xml:space="preserve">”</w:t>
      </w:r>
    </w:p>
    <w:p>
      <w:pPr>
        <w:numPr>
          <w:ilvl w:val="0"/>
          <w:numId w:val="1008"/>
        </w:numPr>
        <w:pStyle w:val="Compact"/>
      </w:pPr>
      <w:r>
        <w:t xml:space="preserve">“</w:t>
      </w:r>
      <w:r>
        <w:t xml:space="preserve">Increase AWS support cost estimates by 20% for healthcare projects to account for HIPAA monitoring requirements.</w:t>
      </w:r>
      <w:r>
        <w:t xml:space="preserve">”</w:t>
      </w:r>
    </w:p>
    <w:p>
      <w:pPr>
        <w:numPr>
          <w:ilvl w:val="0"/>
          <w:numId w:val="1009"/>
        </w:numPr>
        <w:pStyle w:val="Compact"/>
      </w:pPr>
      <w:r>
        <w:rPr>
          <w:bCs/>
          <w:b/>
        </w:rPr>
        <w:t xml:space="preserve">Assign Accountability</w:t>
      </w:r>
      <w:r>
        <w:t xml:space="preserve">:</w:t>
      </w:r>
    </w:p>
    <w:p>
      <w:pPr>
        <w:numPr>
          <w:ilvl w:val="0"/>
          <w:numId w:val="1010"/>
        </w:numPr>
        <w:pStyle w:val="Compact"/>
      </w:pPr>
      <w:r>
        <w:t xml:space="preserve">Assign an owner to each action item (e.g.,</w:t>
      </w:r>
      <w:r>
        <w:t xml:space="preserve"> </w:t>
      </w:r>
      <w:r>
        <w:t xml:space="preserve">“</w:t>
      </w:r>
      <w:r>
        <w:t xml:space="preserve">Technical Lead will update the evaluation checklist to include data validation</w:t>
      </w:r>
      <w:r>
        <w:t xml:space="preserve">”</w:t>
      </w:r>
      <w:r>
        <w:t xml:space="preserve">).</w:t>
      </w:r>
    </w:p>
    <w:p>
      <w:pPr>
        <w:numPr>
          <w:ilvl w:val="0"/>
          <w:numId w:val="1010"/>
        </w:numPr>
        <w:pStyle w:val="Compact"/>
      </w:pPr>
      <w:r>
        <w:t xml:space="preserve">Set deadlines (e.g.,</w:t>
      </w:r>
      <w:r>
        <w:t xml:space="preserve"> </w:t>
      </w:r>
      <w:r>
        <w:t xml:space="preserve">“</w:t>
      </w:r>
      <w:r>
        <w:t xml:space="preserve">Complete checklist update by end of quarter</w:t>
      </w:r>
      <w:r>
        <w:t xml:space="preserve">”</w:t>
      </w:r>
      <w:r>
        <w:t xml:space="preserve">) and track progress in the house’s project management tool (e.g., Jira).</w:t>
      </w:r>
    </w:p>
    <w:p>
      <w:pPr>
        <w:pStyle w:val="FirstParagraph"/>
      </w:pPr>
      <w:r>
        <w:rPr>
          <w:bCs/>
          <w:b/>
        </w:rPr>
        <w:t xml:space="preserve">6.2.2 Building a Knowledge Repository</w:t>
      </w:r>
    </w:p>
    <w:p>
      <w:pPr>
        <w:pStyle w:val="BodyText"/>
      </w:pPr>
      <w:r>
        <w:t xml:space="preserve">A</w:t>
      </w:r>
      <w:r>
        <w:t xml:space="preserve"> </w:t>
      </w:r>
      <w:r>
        <w:rPr>
          <w:bCs/>
          <w:b/>
        </w:rPr>
        <w:t xml:space="preserve">centralized knowledge repository</w:t>
      </w:r>
      <w:r>
        <w:t xml:space="preserve"> </w:t>
      </w:r>
      <w:r>
        <w:t xml:space="preserve">(using tools like Confluence, SharePoint, or Notion) stores PPR findings, evaluation templates, and case studies—making insights accessible to all team members. The repository is organized into three sections:</w:t>
      </w:r>
    </w:p>
    <w:p>
      <w:pPr>
        <w:numPr>
          <w:ilvl w:val="0"/>
          <w:numId w:val="1011"/>
        </w:numPr>
        <w:pStyle w:val="Compact"/>
      </w:pPr>
      <w:r>
        <w:rPr>
          <w:bCs/>
          <w:b/>
        </w:rPr>
        <w:t xml:space="preserve">Evaluation Toolkit</w:t>
      </w:r>
      <w:r>
        <w:t xml:space="preserve">:</w:t>
      </w:r>
    </w:p>
    <w:p>
      <w:pPr>
        <w:numPr>
          <w:ilvl w:val="0"/>
          <w:numId w:val="1012"/>
        </w:numPr>
        <w:pStyle w:val="Compact"/>
      </w:pPr>
      <w:r>
        <w:t xml:space="preserve">Standardized checklist (Table 1), decision matrix (Table 2), and risk register template (Section 4.1.2).</w:t>
      </w:r>
    </w:p>
    <w:p>
      <w:pPr>
        <w:numPr>
          <w:ilvl w:val="0"/>
          <w:numId w:val="1012"/>
        </w:numPr>
        <w:pStyle w:val="Compact"/>
      </w:pPr>
      <w:r>
        <w:t xml:space="preserve">Tool guides: Step-by-step documents for using tools like AWS Cost Explorer (for infrastructure fit) or Google Cloud’s Vertex AI (for LLM assessment).</w:t>
      </w:r>
    </w:p>
    <w:p>
      <w:pPr>
        <w:numPr>
          <w:ilvl w:val="0"/>
          <w:numId w:val="1013"/>
        </w:numPr>
        <w:pStyle w:val="Compact"/>
      </w:pPr>
      <w:r>
        <w:rPr>
          <w:bCs/>
          <w:b/>
        </w:rPr>
        <w:t xml:space="preserve">Lessons Learned Library</w:t>
      </w:r>
      <w:r>
        <w:t xml:space="preserve">:</w:t>
      </w:r>
    </w:p>
    <w:p>
      <w:pPr>
        <w:numPr>
          <w:ilvl w:val="0"/>
          <w:numId w:val="1014"/>
        </w:numPr>
        <w:pStyle w:val="Compact"/>
      </w:pPr>
      <w:r>
        <w:t xml:space="preserve">Categorized insights (e.g.,</w:t>
      </w:r>
      <w:r>
        <w:t xml:space="preserve"> </w:t>
      </w:r>
      <w:r>
        <w:t xml:space="preserve">“</w:t>
      </w:r>
      <w:r>
        <w:t xml:space="preserve">Healthcare Projects,</w:t>
      </w:r>
      <w:r>
        <w:t xml:space="preserve">”</w:t>
      </w:r>
      <w:r>
        <w:t xml:space="preserve"> </w:t>
      </w:r>
      <w:r>
        <w:t xml:space="preserve">“</w:t>
      </w:r>
      <w:r>
        <w:t xml:space="preserve">AI/ML Projects</w:t>
      </w:r>
      <w:r>
        <w:t xml:space="preserve">”</w:t>
      </w:r>
      <w:r>
        <w:t xml:space="preserve">) with real examples:</w:t>
      </w:r>
    </w:p>
    <w:p>
      <w:pPr>
        <w:numPr>
          <w:ilvl w:val="0"/>
          <w:numId w:val="1014"/>
        </w:numPr>
        <w:pStyle w:val="Compact"/>
      </w:pPr>
      <w:r>
        <w:t xml:space="preserve">“</w:t>
      </w:r>
      <w:r>
        <w:t xml:space="preserve">Insight: Legacy mainframe integration takes 30% longer than estimated for healthcare clients. Mitigation: Add a 1-week buffer to WBS for mainframe tasks.</w:t>
      </w:r>
      <w:r>
        <w:t xml:space="preserve">”</w:t>
      </w:r>
    </w:p>
    <w:p>
      <w:pPr>
        <w:numPr>
          <w:ilvl w:val="0"/>
          <w:numId w:val="1014"/>
        </w:numPr>
        <w:pStyle w:val="Compact"/>
      </w:pPr>
      <w:r>
        <w:t xml:space="preserve">“</w:t>
      </w:r>
      <w:r>
        <w:t xml:space="preserve">Insight: Generative AI chatbots require 2x more testing than rule-based chatbots. Mitigation: Allocate 30% of sprint time to accuracy testing.</w:t>
      </w:r>
      <w:r>
        <w:t xml:space="preserve">”</w:t>
      </w:r>
    </w:p>
    <w:p>
      <w:pPr>
        <w:numPr>
          <w:ilvl w:val="0"/>
          <w:numId w:val="1015"/>
        </w:numPr>
        <w:pStyle w:val="Compact"/>
      </w:pPr>
      <w:r>
        <w:rPr>
          <w:bCs/>
          <w:b/>
        </w:rPr>
        <w:t xml:space="preserve">Case Study Database</w:t>
      </w:r>
      <w:r>
        <w:t xml:space="preserve">:</w:t>
      </w:r>
    </w:p>
    <w:p>
      <w:pPr>
        <w:numPr>
          <w:ilvl w:val="0"/>
          <w:numId w:val="1016"/>
        </w:numPr>
        <w:pStyle w:val="Compact"/>
      </w:pPr>
      <w:r>
        <w:t xml:space="preserve">Detailed write-ups of past projects (like Cases 1 and 2), including:</w:t>
      </w:r>
    </w:p>
    <w:p>
      <w:pPr>
        <w:numPr>
          <w:ilvl w:val="0"/>
          <w:numId w:val="1016"/>
        </w:numPr>
        <w:pStyle w:val="Compact"/>
      </w:pPr>
      <w:r>
        <w:t xml:space="preserve">Original evaluation scores vs. actual outcomes.</w:t>
      </w:r>
    </w:p>
    <w:p>
      <w:pPr>
        <w:numPr>
          <w:ilvl w:val="0"/>
          <w:numId w:val="1016"/>
        </w:numPr>
        <w:pStyle w:val="Compact"/>
      </w:pPr>
      <w:r>
        <w:t xml:space="preserve">Screenshots of tools used (e.g., PERT charts, API integration dashboards).</w:t>
      </w:r>
    </w:p>
    <w:p>
      <w:pPr>
        <w:numPr>
          <w:ilvl w:val="0"/>
          <w:numId w:val="1016"/>
        </w:numPr>
        <w:pStyle w:val="Compact"/>
      </w:pPr>
      <w:r>
        <w:t xml:space="preserve">Client feedback (e.g.,</w:t>
      </w:r>
      <w:r>
        <w:t xml:space="preserve"> </w:t>
      </w:r>
      <w:r>
        <w:t xml:space="preserve">“</w:t>
      </w:r>
      <w:r>
        <w:t xml:space="preserve">90% clinician satisfaction with EHR system</w:t>
      </w:r>
      <w:r>
        <w:t xml:space="preserve">”</w:t>
      </w:r>
      <w:r>
        <w:t xml:space="preserve">).</w:t>
      </w:r>
    </w:p>
    <w:p>
      <w:pPr>
        <w:pStyle w:val="FirstParagraph"/>
      </w:pPr>
      <w:r>
        <w:rPr>
          <w:bCs/>
          <w:b/>
        </w:rPr>
        <w:t xml:space="preserve">Usage Example</w:t>
      </w:r>
      <w:r>
        <w:t xml:space="preserve">: A new project manager evaluating a dental clinic’s patient portal project uses the repository to:</w:t>
      </w:r>
    </w:p>
    <w:p>
      <w:pPr>
        <w:numPr>
          <w:ilvl w:val="0"/>
          <w:numId w:val="1017"/>
        </w:numPr>
        <w:pStyle w:val="Compact"/>
      </w:pPr>
      <w:r>
        <w:t xml:space="preserve">Access the</w:t>
      </w:r>
      <w:r>
        <w:t xml:space="preserve"> </w:t>
      </w:r>
      <w:r>
        <w:t xml:space="preserve">“</w:t>
      </w:r>
      <w:r>
        <w:t xml:space="preserve">Healthcare Projects</w:t>
      </w:r>
      <w:r>
        <w:t xml:space="preserve">”</w:t>
      </w:r>
      <w:r>
        <w:t xml:space="preserve"> </w:t>
      </w:r>
      <w:r>
        <w:t xml:space="preserve">lessons learned (e.g.,</w:t>
      </w:r>
      <w:r>
        <w:t xml:space="preserve"> </w:t>
      </w:r>
      <w:r>
        <w:t xml:space="preserve">“</w:t>
      </w:r>
      <w:r>
        <w:t xml:space="preserve">HIPAA compliance requires 2 extra weeks of audit preparation</w:t>
      </w:r>
      <w:r>
        <w:t xml:space="preserve">”</w:t>
      </w:r>
      <w:r>
        <w:t xml:space="preserve">).</w:t>
      </w:r>
    </w:p>
    <w:p>
      <w:pPr>
        <w:numPr>
          <w:ilvl w:val="0"/>
          <w:numId w:val="1017"/>
        </w:numPr>
        <w:pStyle w:val="Compact"/>
      </w:pPr>
      <w:r>
        <w:t xml:space="preserve">Reference the EHR case study to estimate infrastructure costs for a similar cloud-based system.</w:t>
      </w:r>
    </w:p>
    <w:p>
      <w:pPr>
        <w:numPr>
          <w:ilvl w:val="0"/>
          <w:numId w:val="1017"/>
        </w:numPr>
        <w:pStyle w:val="Compact"/>
      </w:pPr>
      <w:r>
        <w:t xml:space="preserve">Use the standardized checklist to ensure no regulatory requirements are missed.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2026-10-09T09:58:32Z</dcterms:created>
  <dcterms:modified xsi:type="dcterms:W3CDTF">2026-10-09T09:58:32Z</dcterms:modified>
</cp:coreProperties>
</file>

<file path=docProps/custom.xml><?xml version="1.0" encoding="utf-8"?>
<Properties xmlns="http://schemas.openxmlformats.org/officeDocument/2006/custom-properties" xmlns:vt="http://schemas.openxmlformats.org/officeDocument/2006/docPropsVTypes"/>
</file>