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ecurity-and-compliance-requirements"/>
    <w:p>
      <w:pPr>
        <w:pStyle w:val="Heading1"/>
      </w:pPr>
      <w:r>
        <w:t xml:space="preserve">Security and Compliance Requirements</w:t>
      </w:r>
    </w:p>
    <w:p>
      <w:pPr>
        <w:pStyle w:val="FirstParagraph"/>
      </w:pPr>
      <w:r>
        <w:t xml:space="preserve">In an era of rising cyber threats (e.g., ransomware, data breaches) and strict regulations (e.g., GDPR, PCI DSS), security and compliance NFRs are non-negotiable for IT development houses. These requirements protect the client’s data, mitigate legal risk, and preserve the development house’s reputation. For the IMS project, security NFRs focus on data protection, access control, and threat mitigation, while compliance NFRs align with industry and regional regulations.</w:t>
      </w:r>
    </w:p>
    <w:p>
      <w:pPr>
        <w:pStyle w:val="BodyText"/>
      </w:pPr>
      <w:r>
        <w:rPr>
          <w:bCs/>
          <w:b/>
        </w:rPr>
        <w:t xml:space="preserve">4.2.1 Data Security Requirements</w:t>
      </w:r>
    </w:p>
    <w:p>
      <w:pPr>
        <w:pStyle w:val="BodyText"/>
      </w:pPr>
      <w:r>
        <w:t xml:space="preserve">Data security NFRs address how the system protects sensitive information—including inventory data, user credentials, and (if applicable) customer data. They are organized around three core principles:</w:t>
      </w:r>
      <w:r>
        <w:t xml:space="preserve"> </w:t>
      </w:r>
      <w:r>
        <w:rPr>
          <w:bCs/>
          <w:b/>
        </w:rPr>
        <w:t xml:space="preserve">confidentiality</w:t>
      </w:r>
      <w:r>
        <w:t xml:space="preserve"> </w:t>
      </w:r>
      <w:r>
        <w:t xml:space="preserve">(only authorized users access data),</w:t>
      </w:r>
      <w:r>
        <w:t xml:space="preserve"> </w:t>
      </w:r>
      <w:r>
        <w:rPr>
          <w:bCs/>
          <w:b/>
        </w:rPr>
        <w:t xml:space="preserve">integrity</w:t>
      </w:r>
      <w:r>
        <w:t xml:space="preserve"> </w:t>
      </w:r>
      <w:r>
        <w:t xml:space="preserve">(data is accurate and unaltered), and</w:t>
      </w:r>
      <w:r>
        <w:t xml:space="preserve"> </w:t>
      </w:r>
      <w:r>
        <w:rPr>
          <w:bCs/>
          <w:b/>
        </w:rPr>
        <w:t xml:space="preserve">availability</w:t>
      </w:r>
      <w:r>
        <w:t xml:space="preserve"> </w:t>
      </w:r>
      <w:r>
        <w:t xml:space="preserve">(data is accessible when needed).</w:t>
      </w:r>
    </w:p>
    <w:p>
      <w:pPr>
        <w:pStyle w:val="BodyText"/>
      </w:pPr>
      <w:r>
        <w:rPr>
          <w:bCs/>
          <w:b/>
        </w:rPr>
        <w:t xml:space="preserve">1. Data Classification and Protection</w:t>
      </w:r>
    </w:p>
    <w:p>
      <w:pPr>
        <w:pStyle w:val="BodyText"/>
      </w:pPr>
      <w:r>
        <w:t xml:space="preserve">First, the SRS must classify data based on sensitivity to apply tiered protection:</w:t>
      </w:r>
    </w:p>
    <w:p>
      <w:pPr>
        <w:numPr>
          <w:ilvl w:val="0"/>
          <w:numId w:val="1001"/>
        </w:numPr>
        <w:pStyle w:val="Compact"/>
      </w:pPr>
      <w:r>
        <w:rPr>
          <w:bCs/>
          <w:b/>
        </w:rPr>
        <w:t xml:space="preserve">Public Data</w:t>
      </w:r>
      <w:r>
        <w:t xml:space="preserve">: Non-sensitive information (e.g., public product names, store locations). No encryption required, but must be accessible via HTTPS.</w:t>
      </w:r>
    </w:p>
    <w:p>
      <w:pPr>
        <w:numPr>
          <w:ilvl w:val="0"/>
          <w:numId w:val="1001"/>
        </w:numPr>
        <w:pStyle w:val="Compact"/>
      </w:pPr>
      <w:r>
        <w:rPr>
          <w:bCs/>
          <w:b/>
        </w:rPr>
        <w:t xml:space="preserve">Internal Data</w:t>
      </w:r>
      <w:r>
        <w:t xml:space="preserve">: Confidential but non-critical data (e.g., daily stock levels for non-sensitive products). Protected via role-based access control (RBAC) and encrypted at rest (AES-128).</w:t>
      </w:r>
    </w:p>
    <w:p>
      <w:pPr>
        <w:numPr>
          <w:ilvl w:val="0"/>
          <w:numId w:val="1001"/>
        </w:numPr>
        <w:pStyle w:val="Compact"/>
      </w:pPr>
      <w:r>
        <w:rPr>
          <w:bCs/>
          <w:b/>
        </w:rPr>
        <w:t xml:space="preserve">Sensitive Data</w:t>
      </w:r>
      <w:r>
        <w:t xml:space="preserve">: High-risk information (e.g., user passwords, payment details if integrated with POS). Requires end-to-end encryption and strict access controls.</w:t>
      </w:r>
    </w:p>
    <w:p>
      <w:pPr>
        <w:pStyle w:val="FirstParagraph"/>
      </w:pPr>
      <w:r>
        <w:t xml:space="preserve">For the IMS, sensitive data includes:</w:t>
      </w:r>
    </w:p>
    <w:p>
      <w:pPr>
        <w:numPr>
          <w:ilvl w:val="0"/>
          <w:numId w:val="1002"/>
        </w:numPr>
        <w:pStyle w:val="Compact"/>
      </w:pPr>
      <w:r>
        <w:t xml:space="preserve">Warehouse Staff/Store Manager credentials (passwords, 2FA secrets).</w:t>
      </w:r>
    </w:p>
    <w:p>
      <w:pPr>
        <w:numPr>
          <w:ilvl w:val="0"/>
          <w:numId w:val="1002"/>
        </w:numPr>
        <w:pStyle w:val="Compact"/>
      </w:pPr>
      <w:r>
        <w:t xml:space="preserve">Integration API keys (e.g., Square POS API, AWS access keys).</w:t>
      </w:r>
    </w:p>
    <w:p>
      <w:pPr>
        <w:pStyle w:val="FirstParagraph"/>
      </w:pPr>
      <w:r>
        <w:t xml:space="preserve">Corresponding NFRs:</w:t>
      </w:r>
    </w:p>
    <w:p>
      <w:pPr>
        <w:numPr>
          <w:ilvl w:val="0"/>
          <w:numId w:val="1003"/>
        </w:numPr>
        <w:pStyle w:val="Compact"/>
      </w:pPr>
      <w:r>
        <w:t xml:space="preserve">“</w:t>
      </w:r>
      <w:r>
        <w:t xml:space="preserve">All sensitive data shall be encrypted at rest using AES-256 (e.g., passwords stored as bcrypt hashes with a work factor of 12).</w:t>
      </w:r>
      <w:r>
        <w:t xml:space="preserve">”</w:t>
      </w:r>
    </w:p>
    <w:p>
      <w:pPr>
        <w:numPr>
          <w:ilvl w:val="0"/>
          <w:numId w:val="1003"/>
        </w:numPr>
        <w:pStyle w:val="Compact"/>
      </w:pPr>
      <w:r>
        <w:t xml:space="preserve">“</w:t>
      </w:r>
      <w:r>
        <w:t xml:space="preserve">Sensitive data in transit shall be encrypted using TLS 1.3—no unencrypted HTTP connections shall be allowed for user logins or API calls.</w:t>
      </w:r>
      <w:r>
        <w:t xml:space="preserve">”</w:t>
      </w:r>
    </w:p>
    <w:p>
      <w:pPr>
        <w:numPr>
          <w:ilvl w:val="0"/>
          <w:numId w:val="1003"/>
        </w:numPr>
        <w:pStyle w:val="Compact"/>
      </w:pPr>
      <w:r>
        <w:t xml:space="preserve">“</w:t>
      </w:r>
      <w:r>
        <w:t xml:space="preserve">API keys shall be stored in AWS Secrets Manager (not hard-coded in application code) and rotated every 90 days.</w:t>
      </w:r>
      <w:r>
        <w:t xml:space="preserve">”</w:t>
      </w:r>
    </w:p>
    <w:p>
      <w:pPr>
        <w:pStyle w:val="FirstParagraph"/>
      </w:pPr>
      <w:r>
        <w:rPr>
          <w:bCs/>
          <w:b/>
        </w:rPr>
        <w:t xml:space="preserve">2. Access Control and Authentication</w:t>
      </w:r>
    </w:p>
    <w:p>
      <w:pPr>
        <w:pStyle w:val="BodyText"/>
      </w:pPr>
      <w:r>
        <w:t xml:space="preserve">Access control ensures users only access data relevant to their role—critical for preventing internal data breaches. Key NFRs include:</w:t>
      </w:r>
    </w:p>
    <w:p>
      <w:pPr>
        <w:numPr>
          <w:ilvl w:val="0"/>
          <w:numId w:val="1004"/>
        </w:numPr>
        <w:pStyle w:val="Compact"/>
      </w:pPr>
      <w:r>
        <w:rPr>
          <w:bCs/>
          <w:b/>
        </w:rPr>
        <w:t xml:space="preserve">Role-Based Access Control (RBAC)</w:t>
      </w:r>
      <w:r>
        <w:t xml:space="preserve">:</w:t>
      </w:r>
    </w:p>
    <w:p>
      <w:pPr>
        <w:numPr>
          <w:ilvl w:val="0"/>
          <w:numId w:val="1004"/>
        </w:numPr>
        <w:pStyle w:val="Compact"/>
      </w:pPr>
      <w:r>
        <w:t xml:space="preserve">“</w:t>
      </w:r>
      <w:r>
        <w:t xml:space="preserve">The system shall implement RBAC with four predefined roles: Admin (full access), Store Manager (access to all store data), Warehouse Staff (access to assigned store data), and Read-Only User (access to reports only).</w:t>
      </w:r>
      <w:r>
        <w:t xml:space="preserve">”</w:t>
      </w:r>
    </w:p>
    <w:p>
      <w:pPr>
        <w:numPr>
          <w:ilvl w:val="0"/>
          <w:numId w:val="1004"/>
        </w:numPr>
        <w:pStyle w:val="Compact"/>
      </w:pPr>
      <w:r>
        <w:t xml:space="preserve">“</w:t>
      </w:r>
      <w:r>
        <w:t xml:space="preserve">Warehouse Staff shall not modify stock levels for stores other than their assigned location—access attempts shall be logged and alert the Admin.</w:t>
      </w:r>
      <w:r>
        <w:t xml:space="preserve">”</w:t>
      </w:r>
    </w:p>
    <w:p>
      <w:pPr>
        <w:numPr>
          <w:ilvl w:val="0"/>
          <w:numId w:val="1004"/>
        </w:numPr>
        <w:pStyle w:val="Compact"/>
      </w:pPr>
      <w:r>
        <w:rPr>
          <w:bCs/>
          <w:b/>
        </w:rPr>
        <w:t xml:space="preserve">Authentication Requirements</w:t>
      </w:r>
      <w:r>
        <w:t xml:space="preserve">:</w:t>
      </w:r>
    </w:p>
    <w:p>
      <w:pPr>
        <w:numPr>
          <w:ilvl w:val="0"/>
          <w:numId w:val="1004"/>
        </w:numPr>
        <w:pStyle w:val="Compact"/>
      </w:pPr>
      <w:r>
        <w:t xml:space="preserve">“</w:t>
      </w:r>
      <w:r>
        <w:t xml:space="preserve">All users shall authenticate using a combination of username/password and time-based one-time passwords (TOTP) via Google Authenticator (2FA).</w:t>
      </w:r>
      <w:r>
        <w:t xml:space="preserve">”</w:t>
      </w:r>
    </w:p>
    <w:p>
      <w:pPr>
        <w:numPr>
          <w:ilvl w:val="0"/>
          <w:numId w:val="1004"/>
        </w:numPr>
        <w:pStyle w:val="Compact"/>
      </w:pPr>
      <w:r>
        <w:t xml:space="preserve">“</w:t>
      </w:r>
      <w:r>
        <w:t xml:space="preserve">The system shall lock user accounts after 5 consecutive failed login attempts—unlocking only via Admin approval or 24-hour cooldown.</w:t>
      </w:r>
      <w:r>
        <w:t xml:space="preserve">”</w:t>
      </w:r>
    </w:p>
    <w:p>
      <w:pPr>
        <w:numPr>
          <w:ilvl w:val="0"/>
          <w:numId w:val="1004"/>
        </w:numPr>
        <w:pStyle w:val="Compact"/>
      </w:pPr>
      <w:r>
        <w:t xml:space="preserve">“</w:t>
      </w:r>
      <w:r>
        <w:t xml:space="preserve">Passwords shall meet complexity requirements: minimum 12 characters, including uppercase, lowercase, numbers, and special symbols.</w:t>
      </w:r>
      <w:r>
        <w:t xml:space="preserve">”</w:t>
      </w:r>
    </w:p>
    <w:p>
      <w:pPr>
        <w:pStyle w:val="FirstParagraph"/>
      </w:pPr>
      <w:r>
        <w:rPr>
          <w:bCs/>
          <w:b/>
        </w:rPr>
        <w:t xml:space="preserve">3. Data Backup and Disaster Recovery</w:t>
      </w:r>
    </w:p>
    <w:p>
      <w:pPr>
        <w:pStyle w:val="BodyText"/>
      </w:pPr>
      <w:r>
        <w:t xml:space="preserve">Data loss (due to hardware failure, ransomware, or human error) can cripple operations—making backup and recovery NFRs essential. For the IMS:</w:t>
      </w:r>
    </w:p>
    <w:p>
      <w:pPr>
        <w:numPr>
          <w:ilvl w:val="0"/>
          <w:numId w:val="1005"/>
        </w:numPr>
        <w:pStyle w:val="Compact"/>
      </w:pPr>
      <w:r>
        <w:t xml:space="preserve">“</w:t>
      </w:r>
      <w:r>
        <w:t xml:space="preserve">The system shall perform daily incremental backups of the database at 2 AM UTC and weekly full backups at 1 AM UTC on Sundays.</w:t>
      </w:r>
      <w:r>
        <w:t xml:space="preserve">”</w:t>
      </w:r>
    </w:p>
    <w:p>
      <w:pPr>
        <w:numPr>
          <w:ilvl w:val="0"/>
          <w:numId w:val="1005"/>
        </w:numPr>
        <w:pStyle w:val="Compact"/>
      </w:pPr>
      <w:r>
        <w:t xml:space="preserve">“</w:t>
      </w:r>
      <w:r>
        <w:t xml:space="preserve">Backups shall be stored in AWS S3 with cross-region replication (primary: us-east-1, secondary: eu-west-1) to mitigate regional outages.</w:t>
      </w:r>
      <w:r>
        <w:t xml:space="preserve">”</w:t>
      </w:r>
    </w:p>
    <w:p>
      <w:pPr>
        <w:numPr>
          <w:ilvl w:val="0"/>
          <w:numId w:val="1005"/>
        </w:numPr>
        <w:pStyle w:val="Compact"/>
      </w:pPr>
      <w:r>
        <w:t xml:space="preserve">“</w:t>
      </w:r>
      <w:r>
        <w:t xml:space="preserve">The system shall meet a Recovery Point Objective (RPO) of ≤1 hour (maximum data loss) and a Recovery Time Objective (RTO) of ≤4 hours (maximum downtime) for database failures.</w:t>
      </w:r>
      <w:r>
        <w:t xml:space="preserve">”</w:t>
      </w:r>
    </w:p>
    <w:p>
      <w:pPr>
        <w:pStyle w:val="FirstParagraph"/>
      </w:pPr>
      <w:r>
        <w:t xml:space="preserve">To validate these requirements, the SRS should specify quarterly disaster recovery drills:</w:t>
      </w:r>
      <w:r>
        <w:t xml:space="preserve"> </w:t>
      </w:r>
      <w:r>
        <w:t xml:space="preserve">“</w:t>
      </w:r>
      <w:r>
        <w:t xml:space="preserve">The development house shall conduct a disaster recovery drill every 3 months—simulating a database failure and verifying that RPO/RTO targets are met.</w:t>
      </w:r>
      <w:r>
        <w:t xml:space="preserve">”</w:t>
      </w:r>
    </w:p>
    <w:p>
      <w:pPr>
        <w:pStyle w:val="BodyText"/>
      </w:pPr>
      <w:r>
        <w:rPr>
          <w:bCs/>
          <w:b/>
        </w:rPr>
        <w:t xml:space="preserve">4.2.2 Compliance with Industry and Regional Regulations</w:t>
      </w:r>
    </w:p>
    <w:p>
      <w:pPr>
        <w:pStyle w:val="BodyText"/>
      </w:pPr>
      <w:r>
        <w:t xml:space="preserve">Compliance NFRs ensure the system adheres to laws and standards relevant to the client’s industry and geography. For XYZ Retail (a multi-location retailer), key regulations include:</w:t>
      </w:r>
    </w:p>
    <w:p>
      <w:pPr>
        <w:pStyle w:val="BodyText"/>
      </w:pPr>
      <w:r>
        <w:rPr>
          <w:bCs/>
          <w:b/>
        </w:rPr>
        <w:t xml:space="preserve">1. General Data Protection Regulation (GDPR)</w:t>
      </w:r>
    </w:p>
    <w:p>
      <w:pPr>
        <w:pStyle w:val="BodyText"/>
      </w:pPr>
      <w:r>
        <w:t xml:space="preserve">If XYZ Retail serves EU customers, the IMS must comply with GDPR—focused on user data rights and transparency. Relevant NFRs:</w:t>
      </w:r>
    </w:p>
    <w:p>
      <w:pPr>
        <w:numPr>
          <w:ilvl w:val="0"/>
          <w:numId w:val="1006"/>
        </w:numPr>
        <w:pStyle w:val="Compact"/>
      </w:pPr>
      <w:r>
        <w:t xml:space="preserve">“</w:t>
      </w:r>
      <w:r>
        <w:t xml:space="preserve">The system shall allow users (e.g., Store Managers) to request a copy of their personal data (e.g., login history, role assignments) in a machine-readable format (CSV/JSON) within 72 hours of the request.</w:t>
      </w:r>
      <w:r>
        <w:t xml:space="preserve">”</w:t>
      </w:r>
    </w:p>
    <w:p>
      <w:pPr>
        <w:numPr>
          <w:ilvl w:val="0"/>
          <w:numId w:val="1006"/>
        </w:numPr>
        <w:pStyle w:val="Compact"/>
      </w:pPr>
      <w:r>
        <w:t xml:space="preserve">“</w:t>
      </w:r>
      <w:r>
        <w:t xml:space="preserve">The system shall support the</w:t>
      </w:r>
      <w:r>
        <w:t xml:space="preserve"> </w:t>
      </w:r>
      <w:r>
        <w:t xml:space="preserve">‘</w:t>
      </w:r>
      <w:r>
        <w:t xml:space="preserve">right to be forgotten</w:t>
      </w:r>
      <w:r>
        <w:t xml:space="preserve">’</w:t>
      </w:r>
      <w:r>
        <w:t xml:space="preserve">—Admin users shall be able to permanently delete a user’s data (with a 30-day retention period for audit logs) upon written request.</w:t>
      </w:r>
      <w:r>
        <w:t xml:space="preserve">”</w:t>
      </w:r>
    </w:p>
    <w:p>
      <w:pPr>
        <w:numPr>
          <w:ilvl w:val="0"/>
          <w:numId w:val="1006"/>
        </w:numPr>
        <w:pStyle w:val="Compact"/>
      </w:pPr>
      <w:r>
        <w:t xml:space="preserve">“</w:t>
      </w:r>
      <w:r>
        <w:t xml:space="preserve">The system shall log all data access events (e.g.,</w:t>
      </w:r>
      <w:r>
        <w:t xml:space="preserve"> </w:t>
      </w:r>
      <w:r>
        <w:t xml:space="preserve">‘</w:t>
      </w:r>
      <w:r>
        <w:t xml:space="preserve">User X viewed Store Y’s stock levels</w:t>
      </w:r>
      <w:r>
        <w:t xml:space="preserve">’</w:t>
      </w:r>
      <w:r>
        <w:t xml:space="preserve">) for 1 year to facilitate GDPR audit trails.</w:t>
      </w:r>
      <w:r>
        <w:t xml:space="preserve">”</w:t>
      </w:r>
    </w:p>
    <w:p>
      <w:pPr>
        <w:pStyle w:val="FirstParagraph"/>
      </w:pPr>
      <w:r>
        <w:rPr>
          <w:bCs/>
          <w:b/>
        </w:rPr>
        <w:t xml:space="preserve">2. Payment Card Industry Data Security Standard (PCI DSS)</w:t>
      </w:r>
    </w:p>
    <w:p>
      <w:pPr>
        <w:pStyle w:val="BodyText"/>
      </w:pPr>
      <w:r>
        <w:t xml:space="preserve">If the IMS integrates with the Square POS system to process payments, it must comply with PCI DSS (for cardholder data protection). NFRs:</w:t>
      </w:r>
    </w:p>
    <w:p>
      <w:pPr>
        <w:numPr>
          <w:ilvl w:val="0"/>
          <w:numId w:val="1007"/>
        </w:numPr>
        <w:pStyle w:val="Compact"/>
      </w:pPr>
      <w:r>
        <w:t xml:space="preserve">“</w:t>
      </w:r>
      <w:r>
        <w:t xml:space="preserve">The system shall not store full credit card numbers—only the last 4 digits and expiration date (per PCI DSS Requirement 3).</w:t>
      </w:r>
      <w:r>
        <w:t xml:space="preserve">”</w:t>
      </w:r>
    </w:p>
    <w:p>
      <w:pPr>
        <w:numPr>
          <w:ilvl w:val="0"/>
          <w:numId w:val="1007"/>
        </w:numPr>
        <w:pStyle w:val="Compact"/>
      </w:pPr>
      <w:r>
        <w:t xml:space="preserve">“</w:t>
      </w:r>
      <w:r>
        <w:t xml:space="preserve">All payment-related API calls to Square shall use TLS 1.3 and include tokenized card data (not raw card details) per Square’s API specifications.</w:t>
      </w:r>
      <w:r>
        <w:t xml:space="preserve">”</w:t>
      </w:r>
    </w:p>
    <w:p>
      <w:pPr>
        <w:numPr>
          <w:ilvl w:val="0"/>
          <w:numId w:val="1007"/>
        </w:numPr>
        <w:pStyle w:val="Compact"/>
      </w:pPr>
      <w:r>
        <w:t xml:space="preserve">“</w:t>
      </w:r>
      <w:r>
        <w:t xml:space="preserve">The development house shall conduct an annual PCI DSS Self-Assessment Questionnaire (SAQ A) to validate compliance.</w:t>
      </w:r>
      <w:r>
        <w:t xml:space="preserve">”</w:t>
      </w:r>
    </w:p>
    <w:p>
      <w:pPr>
        <w:pStyle w:val="FirstParagraph"/>
      </w:pPr>
      <w:r>
        <w:rPr>
          <w:bCs/>
          <w:b/>
        </w:rPr>
        <w:t xml:space="preserve">3. ISO 27001 (Information Security Management System)</w:t>
      </w:r>
    </w:p>
    <w:p>
      <w:pPr>
        <w:pStyle w:val="BodyText"/>
      </w:pPr>
      <w:r>
        <w:t xml:space="preserve">For clients prioritizing enterprise-grade security, aligning with ISO 27001 (a global information security standard) is a competitive advantage. NFRs:</w:t>
      </w:r>
    </w:p>
    <w:p>
      <w:pPr>
        <w:numPr>
          <w:ilvl w:val="0"/>
          <w:numId w:val="1008"/>
        </w:numPr>
        <w:pStyle w:val="Compact"/>
      </w:pPr>
      <w:r>
        <w:t xml:space="preserve">“</w:t>
      </w:r>
      <w:r>
        <w:t xml:space="preserve">The system shall undergo annual ISO 27001 compliance audits by a third-party certification body.</w:t>
      </w:r>
      <w:r>
        <w:t xml:space="preserve">”</w:t>
      </w:r>
    </w:p>
    <w:p>
      <w:pPr>
        <w:numPr>
          <w:ilvl w:val="0"/>
          <w:numId w:val="1008"/>
        </w:numPr>
        <w:pStyle w:val="Compact"/>
      </w:pPr>
      <w:r>
        <w:t xml:space="preserve">“</w:t>
      </w:r>
      <w:r>
        <w:t xml:space="preserve">The development house shall maintain a risk register documenting security threats (e.g., ransomware, phishing) and mitigation strategies (e.g., employee training, endpoint protection).</w:t>
      </w:r>
      <w:r>
        <w:t xml:space="preserve">”</w:t>
      </w:r>
    </w:p>
    <w:p>
      <w:pPr>
        <w:pStyle w:val="FirstParagraph"/>
      </w:pPr>
      <w:r>
        <w:rPr>
          <w:bCs/>
          <w:b/>
        </w:rPr>
        <w:t xml:space="preserve">4.2.3 Security Testing and Vulnerability Management</w:t>
      </w:r>
    </w:p>
    <w:p>
      <w:pPr>
        <w:pStyle w:val="BodyText"/>
      </w:pPr>
      <w:r>
        <w:t xml:space="preserve">Security NFRs are only effective if they are validated through rigorous testing and maintained via ongoing vulnerability management. The SRS must outline:</w:t>
      </w:r>
    </w:p>
    <w:p>
      <w:pPr>
        <w:pStyle w:val="BodyText"/>
      </w:pPr>
      <w:r>
        <w:rPr>
          <w:bCs/>
          <w:b/>
        </w:rPr>
        <w:t xml:space="preserve">1. Security Testing Requirements</w:t>
      </w:r>
    </w:p>
    <w:p>
      <w:pPr>
        <w:numPr>
          <w:ilvl w:val="0"/>
          <w:numId w:val="1009"/>
        </w:numPr>
        <w:pStyle w:val="Compact"/>
      </w:pPr>
      <w:r>
        <w:rPr>
          <w:bCs/>
          <w:b/>
        </w:rPr>
        <w:t xml:space="preserve">Penetration Testing</w:t>
      </w:r>
      <w:r>
        <w:t xml:space="preserve">:</w:t>
      </w:r>
      <w:r>
        <w:t xml:space="preserve"> </w:t>
      </w:r>
      <w:r>
        <w:t xml:space="preserve">“</w:t>
      </w:r>
      <w:r>
        <w:t xml:space="preserve">The system shall undergo annual penetration testing by a CREST-accredited firm—testing for OWASP Top 10 vulnerabilities (e.g., injection attacks, broken authentication).</w:t>
      </w:r>
      <w:r>
        <w:t xml:space="preserve">”</w:t>
      </w:r>
    </w:p>
    <w:p>
      <w:pPr>
        <w:numPr>
          <w:ilvl w:val="0"/>
          <w:numId w:val="1009"/>
        </w:numPr>
        <w:pStyle w:val="Compact"/>
      </w:pPr>
      <w:r>
        <w:t xml:space="preserve">Example: A penetration test for the IMS might simulate a SQL injection attack on the barcode search field to verify input validation works.</w:t>
      </w:r>
    </w:p>
    <w:p>
      <w:pPr>
        <w:numPr>
          <w:ilvl w:val="0"/>
          <w:numId w:val="1009"/>
        </w:numPr>
        <w:pStyle w:val="Compact"/>
      </w:pPr>
      <w:r>
        <w:rPr>
          <w:bCs/>
          <w:b/>
        </w:rPr>
        <w:t xml:space="preserve">Vulnerability Scanning</w:t>
      </w:r>
      <w:r>
        <w:t xml:space="preserve">:</w:t>
      </w:r>
      <w:r>
        <w:t xml:space="preserve"> </w:t>
      </w:r>
      <w:r>
        <w:t xml:space="preserve">“</w:t>
      </w:r>
      <w:r>
        <w:t xml:space="preserve">The system shall be scanned weekly for vulnerabilities using tools like OWASP ZAP (for application-level flaws) and Nessus (for infrastructure flaws)—high-severity vulnerabilities (CVSS score ≥9.0) shall be remediated within 24 hours.</w:t>
      </w:r>
      <w:r>
        <w:t xml:space="preserve">”</w:t>
      </w:r>
    </w:p>
    <w:p>
      <w:pPr>
        <w:numPr>
          <w:ilvl w:val="0"/>
          <w:numId w:val="1009"/>
        </w:numPr>
        <w:pStyle w:val="Compact"/>
      </w:pPr>
      <w:r>
        <w:rPr>
          <w:bCs/>
          <w:b/>
        </w:rPr>
        <w:t xml:space="preserve">Security Code Review</w:t>
      </w:r>
      <w:r>
        <w:t xml:space="preserve">:</w:t>
      </w:r>
      <w:r>
        <w:t xml:space="preserve"> </w:t>
      </w:r>
      <w:r>
        <w:t xml:space="preserve">“</w:t>
      </w:r>
      <w:r>
        <w:t xml:space="preserve">All custom code shall undergo automated security review using SonarQube (checking for insecure coding practices) and manual review by a security engineer before deployment.</w:t>
      </w:r>
      <w:r>
        <w:t xml:space="preserve">”</w:t>
      </w:r>
    </w:p>
    <w:p>
      <w:pPr>
        <w:pStyle w:val="FirstParagraph"/>
      </w:pPr>
      <w:r>
        <w:rPr>
          <w:bCs/>
          <w:b/>
        </w:rPr>
        <w:t xml:space="preserve">2. Vulnerability Response Process</w:t>
      </w:r>
    </w:p>
    <w:p>
      <w:pPr>
        <w:numPr>
          <w:ilvl w:val="0"/>
          <w:numId w:val="1010"/>
        </w:numPr>
        <w:pStyle w:val="Compact"/>
      </w:pPr>
      <w:r>
        <w:t xml:space="preserve">“</w:t>
      </w:r>
      <w:r>
        <w:t xml:space="preserve">The development house shall maintain a vulnerability response team (VRT) with 24/7 availability for critical security incidents.</w:t>
      </w:r>
      <w:r>
        <w:t xml:space="preserve">”</w:t>
      </w:r>
    </w:p>
    <w:p>
      <w:pPr>
        <w:numPr>
          <w:ilvl w:val="0"/>
          <w:numId w:val="1010"/>
        </w:numPr>
        <w:pStyle w:val="Compact"/>
      </w:pPr>
      <w:r>
        <w:t xml:space="preserve">“Vulnerabilities shall be classified by CVSS score:</w:t>
      </w:r>
    </w:p>
    <w:p>
      <w:pPr>
        <w:numPr>
          <w:ilvl w:val="0"/>
          <w:numId w:val="1010"/>
        </w:numPr>
        <w:pStyle w:val="Compact"/>
      </w:pPr>
      <w:r>
        <w:t xml:space="preserve">Critical (≥9.0): Fix within 24 hours, notify client within 4 hours.</w:t>
      </w:r>
    </w:p>
    <w:p>
      <w:pPr>
        <w:numPr>
          <w:ilvl w:val="0"/>
          <w:numId w:val="1010"/>
        </w:numPr>
        <w:pStyle w:val="Compact"/>
      </w:pPr>
      <w:r>
        <w:t xml:space="preserve">High (7.0–8.9): Fix within 7 days, notify client within 24 hours.</w:t>
      </w:r>
    </w:p>
    <w:p>
      <w:pPr>
        <w:numPr>
          <w:ilvl w:val="0"/>
          <w:numId w:val="1010"/>
        </w:numPr>
        <w:pStyle w:val="Compact"/>
      </w:pPr>
      <w:r>
        <w:t xml:space="preserve">Medium (4.0–6.9): Fix within 30 days.</w:t>
      </w:r>
    </w:p>
    <w:p>
      <w:pPr>
        <w:numPr>
          <w:ilvl w:val="0"/>
          <w:numId w:val="1010"/>
        </w:numPr>
        <w:pStyle w:val="Compact"/>
      </w:pPr>
      <w:r>
        <w:t xml:space="preserve">Low (0.1–3.9): Fix in next scheduled release.”</w:t>
      </w:r>
    </w:p>
    <w:p>
      <w:pPr>
        <w:pStyle w:val="FirstParagraph"/>
      </w:pPr>
      <w:r>
        <w:t xml:space="preserve">A 2022 report by Verizon found that organizations with structured vulnerability management processes experienced 58% fewer data breaches—justifying the inclusion of these requirements in the SRS.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2026-10-09T09:58:34Z</dcterms:created>
  <dcterms:modified xsi:type="dcterms:W3CDTF">2026-10-09T09:58:34Z</dcterms:modified>
</cp:coreProperties>
</file>

<file path=docProps/custom.xml><?xml version="1.0" encoding="utf-8"?>
<Properties xmlns="http://schemas.openxmlformats.org/officeDocument/2006/custom-properties" xmlns:vt="http://schemas.openxmlformats.org/officeDocument/2006/docPropsVTypes"/>
</file>