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fae050d459c913e01aeb0a9bf568d6f36dbde2"/>
    <w:p>
      <w:pPr>
        <w:pStyle w:val="Heading1"/>
      </w:pPr>
      <w:r>
        <w:t xml:space="preserve">Usability, Reliability, and Maintainability Goals</w:t>
      </w:r>
    </w:p>
    <w:p>
      <w:pPr>
        <w:pStyle w:val="FirstParagraph"/>
      </w:pPr>
      <w:r>
        <w:t xml:space="preserve">While performance and security focus on</w:t>
      </w:r>
      <w:r>
        <w:t xml:space="preserve"> </w:t>
      </w:r>
      <w:r>
        <w:t xml:space="preserve">“</w:t>
      </w:r>
      <w:r>
        <w:t xml:space="preserve">how well the system works,</w:t>
      </w:r>
      <w:r>
        <w:t xml:space="preserve">”</w:t>
      </w:r>
      <w:r>
        <w:t xml:space="preserve"> </w:t>
      </w:r>
      <w:r>
        <w:t xml:space="preserve">usability, reliability, and maintainability focus on</w:t>
      </w:r>
      <w:r>
        <w:t xml:space="preserve"> </w:t>
      </w:r>
      <w:r>
        <w:t xml:space="preserve">“</w:t>
      </w:r>
      <w:r>
        <w:t xml:space="preserve">how easy the system is to use, trust, and maintain.</w:t>
      </w:r>
      <w:r>
        <w:t xml:space="preserve">”</w:t>
      </w:r>
      <w:r>
        <w:t xml:space="preserve"> </w:t>
      </w:r>
      <w:r>
        <w:t xml:space="preserve">For IT development houses, these NFRs reduce user training costs, minimize post-deployment support, and enable long-term system evolution.</w:t>
      </w:r>
    </w:p>
    <w:p>
      <w:pPr>
        <w:pStyle w:val="BodyText"/>
      </w:pPr>
      <w:r>
        <w:rPr>
          <w:bCs/>
          <w:b/>
        </w:rPr>
        <w:t xml:space="preserve">4.3.1 Usability Requirements (ISO 9241-11)</w:t>
      </w:r>
    </w:p>
    <w:p>
      <w:pPr>
        <w:pStyle w:val="BodyText"/>
      </w:pPr>
      <w:r>
        <w:t xml:space="preserve">Usability is defined by ISO 9241-11 as</w:t>
      </w:r>
      <w:r>
        <w:t xml:space="preserve"> </w:t>
      </w:r>
      <w:r>
        <w:t xml:space="preserve">“</w:t>
      </w:r>
      <w:r>
        <w:t xml:space="preserve">the extent to which a system can be used by specified users to achieve specified goals with effectiveness, efficiency, and satisfaction in a specified context of use.</w:t>
      </w:r>
      <w:r>
        <w:t xml:space="preserve">”</w:t>
      </w:r>
      <w:r>
        <w:t xml:space="preserve"> </w:t>
      </w:r>
      <w:r>
        <w:t xml:space="preserve">For the IMS, usability NFRs target both technical and non-technical users (e.g., Warehouse Staff with basic tech skills, Store Managers with intermediate skills).</w:t>
      </w:r>
    </w:p>
    <w:p>
      <w:pPr>
        <w:pStyle w:val="BodyText"/>
      </w:pPr>
      <w:r>
        <w:rPr>
          <w:bCs/>
          <w:b/>
        </w:rPr>
        <w:t xml:space="preserve">1. Effectiveness (Task Success)</w:t>
      </w:r>
    </w:p>
    <w:p>
      <w:pPr>
        <w:pStyle w:val="BodyText"/>
      </w:pPr>
      <w:r>
        <w:t xml:space="preserve">Effectiveness measures whether users can complete tasks accurately. NFRs:</w:t>
      </w:r>
    </w:p>
    <w:p>
      <w:pPr>
        <w:numPr>
          <w:ilvl w:val="0"/>
          <w:numId w:val="1001"/>
        </w:numPr>
        <w:pStyle w:val="Compact"/>
      </w:pPr>
      <w:r>
        <w:t xml:space="preserve">“</w:t>
      </w:r>
      <w:r>
        <w:t xml:space="preserve">New Warehouse Staff shall be able to successfully scan a product barcode and update stock levels on their first attempt with ≥95% accuracy (after 1 hour of training).</w:t>
      </w:r>
      <w:r>
        <w:t xml:space="preserve">”</w:t>
      </w:r>
    </w:p>
    <w:p>
      <w:pPr>
        <w:numPr>
          <w:ilvl w:val="0"/>
          <w:numId w:val="1001"/>
        </w:numPr>
        <w:pStyle w:val="Compact"/>
      </w:pPr>
      <w:r>
        <w:t xml:space="preserve">“</w:t>
      </w:r>
      <w:r>
        <w:t xml:space="preserve">Store Managers shall be able to generate a Low Stock Report and export it to Excel in ≤3 steps—task failure rate (e.g., unable to find export button) shall be ≤2%.</w:t>
      </w:r>
      <w:r>
        <w:t xml:space="preserve">”</w:t>
      </w:r>
    </w:p>
    <w:p>
      <w:pPr>
        <w:pStyle w:val="FirstParagraph"/>
      </w:pPr>
      <w:r>
        <w:rPr>
          <w:bCs/>
          <w:b/>
        </w:rPr>
        <w:t xml:space="preserve">2. Efficiency (Task Speed)</w:t>
      </w:r>
    </w:p>
    <w:p>
      <w:pPr>
        <w:pStyle w:val="BodyText"/>
      </w:pPr>
      <w:r>
        <w:t xml:space="preserve">Efficiency measures how quickly users complete tasks. NFRs:</w:t>
      </w:r>
    </w:p>
    <w:p>
      <w:pPr>
        <w:numPr>
          <w:ilvl w:val="0"/>
          <w:numId w:val="1002"/>
        </w:numPr>
        <w:pStyle w:val="Compact"/>
      </w:pPr>
      <w:r>
        <w:t xml:space="preserve">“</w:t>
      </w:r>
      <w:r>
        <w:t xml:space="preserve">熟练 Warehouse Staff (≥6 months of experience) shall be able to scan 100 barcodes per hour—averaging ≤36 seconds per scan (including quantity entry).</w:t>
      </w:r>
      <w:r>
        <w:t xml:space="preserve">”</w:t>
      </w:r>
    </w:p>
    <w:p>
      <w:pPr>
        <w:numPr>
          <w:ilvl w:val="0"/>
          <w:numId w:val="1002"/>
        </w:numPr>
        <w:pStyle w:val="Compact"/>
      </w:pPr>
      <w:r>
        <w:t xml:space="preserve">“</w:t>
      </w:r>
      <w:r>
        <w:t xml:space="preserve">Store Managers shall be able to approve a stock adjustment request in ≤60 seconds (from receiving the alert to clicking</w:t>
      </w:r>
      <w:r>
        <w:t xml:space="preserve"> </w:t>
      </w:r>
      <w:r>
        <w:t xml:space="preserve">‘</w:t>
      </w:r>
      <w:r>
        <w:t xml:space="preserve">Approve</w:t>
      </w:r>
      <w:r>
        <w:t xml:space="preserve">’</w:t>
      </w:r>
      <w:r>
        <w:t xml:space="preserve">).</w:t>
      </w:r>
      <w:r>
        <w:t xml:space="preserve">”</w:t>
      </w:r>
    </w:p>
    <w:p>
      <w:pPr>
        <w:pStyle w:val="FirstParagraph"/>
      </w:pPr>
      <w:r>
        <w:rPr>
          <w:bCs/>
          <w:b/>
        </w:rPr>
        <w:t xml:space="preserve">3. User Satisfaction (Perceived Usability)</w:t>
      </w:r>
    </w:p>
    <w:p>
      <w:pPr>
        <w:pStyle w:val="BodyText"/>
      </w:pPr>
      <w:r>
        <w:t xml:space="preserve">Satisfaction is measured via user feedback tools. NFRs:</w:t>
      </w:r>
    </w:p>
    <w:p>
      <w:pPr>
        <w:numPr>
          <w:ilvl w:val="0"/>
          <w:numId w:val="1003"/>
        </w:numPr>
        <w:pStyle w:val="Compact"/>
      </w:pPr>
      <w:r>
        <w:t xml:space="preserve">“</w:t>
      </w:r>
      <w:r>
        <w:t xml:space="preserve">Post-training user satisfaction (measured via the System Usability Scale, SUS) shall be ≥80/100 for all user roles.</w:t>
      </w:r>
      <w:r>
        <w:t xml:space="preserve">”</w:t>
      </w:r>
    </w:p>
    <w:p>
      <w:pPr>
        <w:numPr>
          <w:ilvl w:val="0"/>
          <w:numId w:val="1003"/>
        </w:numPr>
        <w:pStyle w:val="Compact"/>
      </w:pPr>
      <w:r>
        <w:t xml:space="preserve">“</w:t>
      </w:r>
      <w:r>
        <w:t xml:space="preserve">The development house shall conduct quarterly usability surveys—addressing feedback with UI/UX updates if satisfaction scores drop below 75/100.</w:t>
      </w:r>
      <w:r>
        <w:t xml:space="preserve">”</w:t>
      </w:r>
    </w:p>
    <w:p>
      <w:pPr>
        <w:pStyle w:val="FirstParagraph"/>
      </w:pPr>
      <w:r>
        <w:rPr>
          <w:bCs/>
          <w:b/>
        </w:rPr>
        <w:t xml:space="preserve">4. Accessibility (WCAG 2.1 AA)</w:t>
      </w:r>
    </w:p>
    <w:p>
      <w:pPr>
        <w:pStyle w:val="BodyText"/>
      </w:pPr>
      <w:r>
        <w:t xml:space="preserve">Accessibility ensures the system is usable by people with disabilities (e.g., visual, motor impairments)—a legal requirement in many regions (e.g., ADA in the U.S., EN 301 549 in the EU). NFRs:</w:t>
      </w:r>
    </w:p>
    <w:p>
      <w:pPr>
        <w:numPr>
          <w:ilvl w:val="0"/>
          <w:numId w:val="1004"/>
        </w:numPr>
        <w:pStyle w:val="Compact"/>
      </w:pPr>
      <w:r>
        <w:t xml:space="preserve">“The system’s UI shall comply with WCAG 2.1 AA standards:</w:t>
      </w:r>
    </w:p>
    <w:p>
      <w:pPr>
        <w:numPr>
          <w:ilvl w:val="0"/>
          <w:numId w:val="1004"/>
        </w:numPr>
        <w:pStyle w:val="Compact"/>
      </w:pPr>
      <w:r>
        <w:t xml:space="preserve">All text shall have a contrast ratio of ≥4.5:1 (for normal text) or ≥3:1 (for large text).</w:t>
      </w:r>
    </w:p>
    <w:p>
      <w:pPr>
        <w:numPr>
          <w:ilvl w:val="0"/>
          <w:numId w:val="1004"/>
        </w:numPr>
        <w:pStyle w:val="Compact"/>
      </w:pPr>
      <w:r>
        <w:t xml:space="preserve">All interactive elements (buttons, forms) shall be accessible via keyboard navigation (no mouse-only actions).</w:t>
      </w:r>
    </w:p>
    <w:p>
      <w:pPr>
        <w:numPr>
          <w:ilvl w:val="0"/>
          <w:numId w:val="1004"/>
        </w:numPr>
        <w:pStyle w:val="Compact"/>
      </w:pPr>
      <w:r>
        <w:t xml:space="preserve">Screen reader compatibility (e.g., NVDA, VoiceOver) for all UI elements—including alt text for images (e.g.,</w:t>
      </w:r>
      <w:r>
        <w:t xml:space="preserve"> </w:t>
      </w:r>
      <w:r>
        <w:t xml:space="preserve">‘</w:t>
      </w:r>
      <w:r>
        <w:t xml:space="preserve">Barcode scanner icon</w:t>
      </w:r>
      <w:r>
        <w:t xml:space="preserve">’</w:t>
      </w:r>
      <w:r>
        <w:t xml:space="preserve">).”</w:t>
      </w:r>
    </w:p>
    <w:p>
      <w:pPr>
        <w:pStyle w:val="FirstParagraph"/>
      </w:pPr>
      <w:r>
        <w:rPr>
          <w:bCs/>
          <w:b/>
        </w:rPr>
        <w:t xml:space="preserve">4.3.2 Reliability Requirements</w:t>
      </w:r>
    </w:p>
    <w:p>
      <w:pPr>
        <w:pStyle w:val="BodyText"/>
      </w:pPr>
      <w:r>
        <w:t xml:space="preserve">Reliability refers to the system’s ability to perform consistently without failures—critical for mission-critical workflows (e.g., inventory tracking during peak retail hours). Key metrics include Mean Time Between Failures (MTBF) and Mean Time to Repair (MTTR).</w:t>
      </w:r>
    </w:p>
    <w:p>
      <w:pPr>
        <w:pStyle w:val="BodyText"/>
      </w:pPr>
      <w:r>
        <w:rPr>
          <w:bCs/>
          <w:b/>
        </w:rPr>
        <w:t xml:space="preserve">1. Fault Tolerance</w:t>
      </w:r>
    </w:p>
    <w:p>
      <w:pPr>
        <w:pStyle w:val="BodyText"/>
      </w:pPr>
      <w:r>
        <w:t xml:space="preserve">Fault tolerance ensures the system continues operating despite component failures. NFRs for the IMS:</w:t>
      </w:r>
    </w:p>
    <w:p>
      <w:pPr>
        <w:numPr>
          <w:ilvl w:val="0"/>
          <w:numId w:val="1005"/>
        </w:numPr>
        <w:pStyle w:val="Compact"/>
      </w:pPr>
      <w:r>
        <w:t xml:space="preserve">“</w:t>
      </w:r>
      <w:r>
        <w:t xml:space="preserve">The system’s database shall use AWS RDS Multi-AZ deployment—if the primary database fails, the standby database shall take over within ≤30 seconds (no data loss).</w:t>
      </w:r>
      <w:r>
        <w:t xml:space="preserve">”</w:t>
      </w:r>
    </w:p>
    <w:p>
      <w:pPr>
        <w:numPr>
          <w:ilvl w:val="0"/>
          <w:numId w:val="1005"/>
        </w:numPr>
        <w:pStyle w:val="Compact"/>
      </w:pPr>
      <w:r>
        <w:t xml:space="preserve">“</w:t>
      </w:r>
      <w:r>
        <w:t xml:space="preserve">The barcode scanning feature shall support offline mode—Warehouse Staff shall be able to scan up to 50 barcodes without internet connectivity, with data synced automatically once connectivity is restored.</w:t>
      </w:r>
      <w:r>
        <w:t xml:space="preserve">”</w:t>
      </w:r>
    </w:p>
    <w:p>
      <w:pPr>
        <w:pStyle w:val="FirstParagraph"/>
      </w:pPr>
      <w:r>
        <w:rPr>
          <w:bCs/>
          <w:b/>
        </w:rPr>
        <w:t xml:space="preserve">2. Failure Metrics</w:t>
      </w:r>
    </w:p>
    <w:p>
      <w:pPr>
        <w:numPr>
          <w:ilvl w:val="0"/>
          <w:numId w:val="1006"/>
        </w:numPr>
        <w:pStyle w:val="Compact"/>
      </w:pPr>
      <w:r>
        <w:t xml:space="preserve">“</w:t>
      </w:r>
      <w:r>
        <w:t xml:space="preserve">The system shall achieve an MTBF of ≥10,000 hours for user-facing workflows (e.g., barcode scanning, report generation).</w:t>
      </w:r>
      <w:r>
        <w:t xml:space="preserve">”</w:t>
      </w:r>
    </w:p>
    <w:p>
      <w:pPr>
        <w:numPr>
          <w:ilvl w:val="0"/>
          <w:numId w:val="1006"/>
        </w:numPr>
        <w:pStyle w:val="Compact"/>
      </w:pPr>
      <w:r>
        <w:t xml:space="preserve">“</w:t>
      </w:r>
      <w:r>
        <w:t xml:space="preserve">The system shall achieve an MTTR of ≤1 hour for critical failures (e.g., database outage)—supported by 24/7 technical support and automated alerting (e.g., PagerDuty notifications for Admin users).</w:t>
      </w:r>
      <w:r>
        <w:t xml:space="preserve">”</w:t>
      </w:r>
    </w:p>
    <w:p>
      <w:pPr>
        <w:pStyle w:val="FirstParagraph"/>
      </w:pPr>
      <w:r>
        <w:rPr>
          <w:bCs/>
          <w:b/>
        </w:rPr>
        <w:t xml:space="preserve">3. Error Handling and Logging</w:t>
      </w:r>
    </w:p>
    <w:p>
      <w:pPr>
        <w:pStyle w:val="BodyText"/>
      </w:pPr>
      <w:r>
        <w:t xml:space="preserve">Clear error handling reduces user frustration, while comprehensive logging enables faster troubleshooting. NFRs:</w:t>
      </w:r>
    </w:p>
    <w:p>
      <w:pPr>
        <w:numPr>
          <w:ilvl w:val="0"/>
          <w:numId w:val="1007"/>
        </w:numPr>
        <w:pStyle w:val="Compact"/>
      </w:pPr>
      <w:r>
        <w:t xml:space="preserve">“</w:t>
      </w:r>
      <w:r>
        <w:t xml:space="preserve">All errors shall display user-friendly messages (e.g.,</w:t>
      </w:r>
      <w:r>
        <w:t xml:space="preserve"> </w:t>
      </w:r>
      <w:r>
        <w:t xml:space="preserve">‘</w:t>
      </w:r>
      <w:r>
        <w:t xml:space="preserve">Unable to connect to the server—please check your internet connection</w:t>
      </w:r>
      <w:r>
        <w:t xml:space="preserve">’</w:t>
      </w:r>
      <w:r>
        <w:t xml:space="preserve">) instead of technical stack traces.</w:t>
      </w:r>
      <w:r>
        <w:t xml:space="preserve">”</w:t>
      </w:r>
    </w:p>
    <w:p>
      <w:pPr>
        <w:numPr>
          <w:ilvl w:val="0"/>
          <w:numId w:val="1007"/>
        </w:numPr>
        <w:pStyle w:val="Compact"/>
      </w:pPr>
      <w:r>
        <w:t xml:space="preserve">“</w:t>
      </w:r>
      <w:r>
        <w:t xml:space="preserve">The system shall log all errors (with severity levels: Info, Warning, Error, Critical) to AWS CloudWatch—Critical errors (e.g., database connection failures) shall trigger immediate alerts to the development team.</w:t>
      </w:r>
      <w:r>
        <w:t xml:space="preserve">”</w:t>
      </w:r>
    </w:p>
    <w:p>
      <w:pPr>
        <w:pStyle w:val="FirstParagraph"/>
      </w:pPr>
      <w:r>
        <w:rPr>
          <w:bCs/>
          <w:b/>
        </w:rPr>
        <w:t xml:space="preserve">4.3.3 Maintainability Requirements</w:t>
      </w:r>
    </w:p>
    <w:p>
      <w:pPr>
        <w:pStyle w:val="BodyText"/>
      </w:pPr>
      <w:r>
        <w:t xml:space="preserve">Maintainability refers to how easy it is to modify, update, or fix the system—critical for IT development houses tasked with long-term support. It includes code maintainability, documentation maintainability, and deployment maintainability.</w:t>
      </w:r>
    </w:p>
    <w:p>
      <w:pPr>
        <w:pStyle w:val="BodyText"/>
      </w:pPr>
      <w:r>
        <w:rPr>
          <w:bCs/>
          <w:b/>
        </w:rPr>
        <w:t xml:space="preserve">1. Code Maintainability</w:t>
      </w:r>
    </w:p>
    <w:p>
      <w:pPr>
        <w:numPr>
          <w:ilvl w:val="0"/>
          <w:numId w:val="1008"/>
        </w:numPr>
        <w:pStyle w:val="Compact"/>
      </w:pPr>
      <w:r>
        <w:t xml:space="preserve">“All custom code shall adhere to industry standards:</w:t>
      </w:r>
    </w:p>
    <w:p>
      <w:pPr>
        <w:numPr>
          <w:ilvl w:val="0"/>
          <w:numId w:val="1008"/>
        </w:numPr>
        <w:pStyle w:val="Compact"/>
      </w:pPr>
      <w:r>
        <w:t xml:space="preserve">Python code shall follow PEP 8 guidelines.</w:t>
      </w:r>
    </w:p>
    <w:p>
      <w:pPr>
        <w:numPr>
          <w:ilvl w:val="0"/>
          <w:numId w:val="1008"/>
        </w:numPr>
        <w:pStyle w:val="Compact"/>
      </w:pPr>
      <w:r>
        <w:t xml:space="preserve">JavaScript code shall follow ESLint rules (Airbnb style guide).</w:t>
      </w:r>
    </w:p>
    <w:p>
      <w:pPr>
        <w:numPr>
          <w:ilvl w:val="0"/>
          <w:numId w:val="1008"/>
        </w:numPr>
        <w:pStyle w:val="Compact"/>
      </w:pPr>
      <w:r>
        <w:t xml:space="preserve">Code shall include docstrings for all functions/classes (explaining purpose, parameters, return values) and inline comments for complex logic (e.g.,</w:t>
      </w:r>
      <w:r>
        <w:t xml:space="preserve"> </w:t>
      </w:r>
      <w:r>
        <w:t xml:space="preserve">‘</w:t>
      </w:r>
      <w:r>
        <w:t xml:space="preserve">Calculate reorder threshold based on 3-month sales average</w:t>
      </w:r>
      <w:r>
        <w:t xml:space="preserve">’</w:t>
      </w:r>
      <w:r>
        <w:t xml:space="preserve">).”</w:t>
      </w:r>
    </w:p>
    <w:p>
      <w:pPr>
        <w:numPr>
          <w:ilvl w:val="0"/>
          <w:numId w:val="1008"/>
        </w:numPr>
        <w:pStyle w:val="Compact"/>
      </w:pPr>
      <w:r>
        <w:t xml:space="preserve">“</w:t>
      </w:r>
      <w:r>
        <w:t xml:space="preserve">Unit test coverage for core modules (e.g., inventory tracking, barcode scanning) shall be ≥80%—ensuring changes do not break existing functionality.</w:t>
      </w:r>
      <w:r>
        <w:t xml:space="preserve">”</w:t>
      </w:r>
    </w:p>
    <w:p>
      <w:pPr>
        <w:pStyle w:val="FirstParagraph"/>
      </w:pPr>
      <w:r>
        <w:rPr>
          <w:bCs/>
          <w:b/>
        </w:rPr>
        <w:t xml:space="preserve">2. Documentation Maintainability</w:t>
      </w:r>
    </w:p>
    <w:p>
      <w:pPr>
        <w:numPr>
          <w:ilvl w:val="0"/>
          <w:numId w:val="1009"/>
        </w:numPr>
        <w:pStyle w:val="Compact"/>
      </w:pPr>
      <w:r>
        <w:t xml:space="preserve">“The development house shall maintain three types of documentation:</w:t>
      </w:r>
    </w:p>
    <w:p>
      <w:pPr>
        <w:numPr>
          <w:ilvl w:val="0"/>
          <w:numId w:val="1009"/>
        </w:numPr>
        <w:pStyle w:val="Compact"/>
      </w:pPr>
      <w:r>
        <w:rPr>
          <w:bCs/>
          <w:b/>
        </w:rPr>
        <w:t xml:space="preserve">User Manual</w:t>
      </w:r>
      <w:r>
        <w:t xml:space="preserve">: Step-by-step guides for end-users (e.g.,</w:t>
      </w:r>
      <w:r>
        <w:t xml:space="preserve"> </w:t>
      </w:r>
      <w:r>
        <w:t xml:space="preserve">‘</w:t>
      </w:r>
      <w:r>
        <w:t xml:space="preserve">How to generate a Low Stock Report</w:t>
      </w:r>
      <w:r>
        <w:t xml:space="preserve">’</w:t>
      </w:r>
      <w:r>
        <w:t xml:space="preserve">), updated within 72 hours of system changes.</w:t>
      </w:r>
    </w:p>
    <w:p>
      <w:pPr>
        <w:numPr>
          <w:ilvl w:val="0"/>
          <w:numId w:val="1009"/>
        </w:numPr>
        <w:pStyle w:val="Compact"/>
      </w:pPr>
      <w:r>
        <w:rPr>
          <w:bCs/>
          <w:b/>
        </w:rPr>
        <w:t xml:space="preserve">Technical Documentation</w:t>
      </w:r>
      <w:r>
        <w:t xml:space="preserve">: Architecture diagrams, API specifications, and database schemas—stored in Confluence and version-controlled with the code.</w:t>
      </w:r>
    </w:p>
    <w:p>
      <w:pPr>
        <w:numPr>
          <w:ilvl w:val="0"/>
          <w:numId w:val="1009"/>
        </w:numPr>
        <w:pStyle w:val="Compact"/>
      </w:pPr>
      <w:r>
        <w:rPr>
          <w:bCs/>
          <w:b/>
        </w:rPr>
        <w:t xml:space="preserve">Support Documentation</w:t>
      </w:r>
      <w:r>
        <w:t xml:space="preserve">: Troubleshooting guides for common issues (e.g.,</w:t>
      </w:r>
      <w:r>
        <w:t xml:space="preserve"> </w:t>
      </w:r>
      <w:r>
        <w:t xml:space="preserve">‘</w:t>
      </w:r>
      <w:r>
        <w:t xml:space="preserve">Barcode scanner not connecting</w:t>
      </w:r>
      <w:r>
        <w:t xml:space="preserve">’</w:t>
      </w:r>
      <w:r>
        <w:t xml:space="preserve">), updated quarterly based on support tickets.”</w:t>
      </w:r>
    </w:p>
    <w:p>
      <w:pPr>
        <w:pStyle w:val="FirstParagraph"/>
      </w:pPr>
      <w:r>
        <w:rPr>
          <w:bCs/>
          <w:b/>
        </w:rPr>
        <w:t xml:space="preserve">3. Deployment Maintainability</w:t>
      </w:r>
    </w:p>
    <w:p>
      <w:pPr>
        <w:numPr>
          <w:ilvl w:val="0"/>
          <w:numId w:val="1010"/>
        </w:numPr>
        <w:pStyle w:val="Compact"/>
      </w:pPr>
      <w:r>
        <w:t xml:space="preserve">“</w:t>
      </w:r>
      <w:r>
        <w:t xml:space="preserve">The system shall support automated deployment via GitLab CI/CD—deploying code to staging environments with a single command and to production with Admin approval.</w:t>
      </w:r>
      <w:r>
        <w:t xml:space="preserve">”</w:t>
      </w:r>
    </w:p>
    <w:p>
      <w:pPr>
        <w:numPr>
          <w:ilvl w:val="0"/>
          <w:numId w:val="1010"/>
        </w:numPr>
        <w:pStyle w:val="Compact"/>
      </w:pPr>
      <w:r>
        <w:t xml:space="preserve">“</w:t>
      </w:r>
      <w:r>
        <w:t xml:space="preserve">The system shall support blue-green deployments—minimizing downtime during updates (≤5 minutes) and enabling instant rollbacks if issues are detected (e.g.,</w:t>
      </w:r>
      <w:r>
        <w:t xml:space="preserve"> </w:t>
      </w:r>
      <w:r>
        <w:t xml:space="preserve">‘</w:t>
      </w:r>
      <w:r>
        <w:t xml:space="preserve">Roll back to previous version if error rate exceeds 1% within 10 minutes of deployment</w:t>
      </w:r>
      <w:r>
        <w:t xml:space="preserve">’</w:t>
      </w:r>
      <w:r>
        <w:t xml:space="preserve">).</w:t>
      </w:r>
      <w:r>
        <w:t xml:space="preserv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2026-10-09T09:58:34Z</dcterms:created>
  <dcterms:modified xsi:type="dcterms:W3CDTF">2026-10-09T09:58:34Z</dcterms:modified>
</cp:coreProperties>
</file>

<file path=docProps/custom.xml><?xml version="1.0" encoding="utf-8"?>
<Properties xmlns="http://schemas.openxmlformats.org/officeDocument/2006/custom-properties" xmlns:vt="http://schemas.openxmlformats.org/officeDocument/2006/docPropsVTypes"/>
</file>