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535c3264eb0e4a7709524197c97cef28d47c66"/>
    <w:p>
      <w:pPr>
        <w:pStyle w:val="Heading1"/>
      </w:pPr>
      <w:r>
        <w:t xml:space="preserve">Technical Constraints and Interface Specifications: Bridging Design and Implementation</w:t>
      </w:r>
    </w:p>
    <w:p>
      <w:pPr>
        <w:pStyle w:val="FirstParagraph"/>
      </w:pPr>
      <w:r>
        <w:t xml:space="preserve">Technical constraints and interface specifications define the</w:t>
      </w:r>
      <w:r>
        <w:t xml:space="preserve"> </w:t>
      </w:r>
      <w:r>
        <w:t xml:space="preserve">“</w:t>
      </w:r>
      <w:r>
        <w:t xml:space="preserve">rules of the road</w:t>
      </w:r>
      <w:r>
        <w:t xml:space="preserve">”</w:t>
      </w:r>
      <w:r>
        <w:t xml:space="preserve"> </w:t>
      </w:r>
      <w:r>
        <w:t xml:space="preserve">for development—limiting technical choices (e.g., programming languages, infrastructure) and detailing how the system interacts with external tools (e.g., POS systems, APIs). For IT development houses, these requirements prevent scope creep, ensure compatibility with the client’s existing ecosystem, and align the technical team on implementation details.</w:t>
      </w:r>
    </w:p>
    <w:p>
      <w:pPr>
        <w:pStyle w:val="BodyText"/>
      </w:pPr>
      <w:r>
        <w:rPr>
          <w:bCs/>
          <w:b/>
        </w:rPr>
        <w:t xml:space="preserve">5.1 Architectural and Technological Constraints</w:t>
      </w:r>
    </w:p>
    <w:p>
      <w:pPr>
        <w:pStyle w:val="BodyText"/>
      </w:pPr>
      <w:r>
        <w:t xml:space="preserve">Architectural constraints define the system’s high-level structure (e.g., monolithic vs. microservices), while technological constraints specify the tools, frameworks, and infrastructure to be used. These are often imposed by the client (e.g.,</w:t>
      </w:r>
      <w:r>
        <w:t xml:space="preserve"> </w:t>
      </w:r>
      <w:r>
        <w:t xml:space="preserve">“</w:t>
      </w:r>
      <w:r>
        <w:t xml:space="preserve">We use AWS for all cloud services</w:t>
      </w:r>
      <w:r>
        <w:t xml:space="preserve">”</w:t>
      </w:r>
      <w:r>
        <w:t xml:space="preserve">) or driven by industry best practices.</w:t>
      </w:r>
    </w:p>
    <w:p>
      <w:pPr>
        <w:pStyle w:val="BodyText"/>
      </w:pPr>
      <w:r>
        <w:rPr>
          <w:bCs/>
          <w:b/>
        </w:rPr>
        <w:t xml:space="preserve">5.1.1 Architectural Constraints</w:t>
      </w:r>
    </w:p>
    <w:p>
      <w:pPr>
        <w:pStyle w:val="BodyText"/>
      </w:pPr>
      <w:r>
        <w:t xml:space="preserve">For the IMS, XYZ Retail’s IT team has specified a</w:t>
      </w:r>
      <w:r>
        <w:t xml:space="preserve"> </w:t>
      </w:r>
      <w:r>
        <w:rPr>
          <w:bCs/>
          <w:b/>
        </w:rPr>
        <w:t xml:space="preserve">three-tier architecture</w:t>
      </w:r>
      <w:r>
        <w:t xml:space="preserve"> </w:t>
      </w:r>
      <w:r>
        <w:t xml:space="preserve">(presentation, application, data) to align with their existing systems. Corresponding NFRs:</w:t>
      </w:r>
    </w:p>
    <w:p>
      <w:pPr>
        <w:numPr>
          <w:ilvl w:val="0"/>
          <w:numId w:val="1001"/>
        </w:numPr>
        <w:pStyle w:val="Compact"/>
      </w:pPr>
      <w:r>
        <w:t xml:space="preserve">“The system shall follow a three-tier architecture:</w:t>
      </w:r>
    </w:p>
    <w:p>
      <w:pPr>
        <w:numPr>
          <w:ilvl w:val="0"/>
          <w:numId w:val="1001"/>
        </w:numPr>
        <w:pStyle w:val="Compact"/>
      </w:pPr>
      <w:r>
        <w:rPr>
          <w:bCs/>
          <w:b/>
        </w:rPr>
        <w:t xml:space="preserve">Presentation Tier</w:t>
      </w:r>
      <w:r>
        <w:t xml:space="preserve">: Web-based UI (React.js) and mobile-responsive design (for warehouse staff using tablets).</w:t>
      </w:r>
    </w:p>
    <w:p>
      <w:pPr>
        <w:numPr>
          <w:ilvl w:val="0"/>
          <w:numId w:val="1001"/>
        </w:numPr>
        <w:pStyle w:val="Compact"/>
      </w:pPr>
      <w:r>
        <w:rPr>
          <w:bCs/>
          <w:b/>
        </w:rPr>
        <w:t xml:space="preserve">Application Tier</w:t>
      </w:r>
      <w:r>
        <w:t xml:space="preserve">: RESTful API (Django REST Framework) hosted on AWS ECS (Elastic Container Service).</w:t>
      </w:r>
    </w:p>
    <w:p>
      <w:pPr>
        <w:numPr>
          <w:ilvl w:val="0"/>
          <w:numId w:val="1001"/>
        </w:numPr>
        <w:pStyle w:val="Compact"/>
      </w:pPr>
      <w:r>
        <w:rPr>
          <w:bCs/>
          <w:b/>
        </w:rPr>
        <w:t xml:space="preserve">Data Tier</w:t>
      </w:r>
      <w:r>
        <w:t xml:space="preserve">: Relational database (PostgreSQL) hosted on AWS RDS (with Multi-AZ for fault tolerance).”</w:t>
      </w:r>
    </w:p>
    <w:p>
      <w:pPr>
        <w:numPr>
          <w:ilvl w:val="0"/>
          <w:numId w:val="1001"/>
        </w:numPr>
        <w:pStyle w:val="Compact"/>
      </w:pPr>
      <w:r>
        <w:t xml:space="preserve">“</w:t>
      </w:r>
      <w:r>
        <w:t xml:space="preserve">The system shall not use a microservices architecture—XYZ Retail’s IT team lacks the resources to manage distributed services.</w:t>
      </w:r>
      <w:r>
        <w:t xml:space="preserve">”</w:t>
      </w:r>
    </w:p>
    <w:p>
      <w:pPr>
        <w:pStyle w:val="FirstParagraph"/>
      </w:pPr>
      <w:r>
        <w:t xml:space="preserve">Other architectural constraints may include:</w:t>
      </w:r>
    </w:p>
    <w:p>
      <w:pPr>
        <w:numPr>
          <w:ilvl w:val="0"/>
          <w:numId w:val="1002"/>
        </w:numPr>
        <w:pStyle w:val="Compact"/>
      </w:pPr>
      <w:r>
        <w:t xml:space="preserve">“</w:t>
      </w:r>
      <w:r>
        <w:t xml:space="preserve">The system shall be stateless (no server-side session storage)—using JWT (JSON Web Tokens) for authentication to support horizontal scaling.</w:t>
      </w:r>
      <w:r>
        <w:t xml:space="preserve">”</w:t>
      </w:r>
    </w:p>
    <w:p>
      <w:pPr>
        <w:numPr>
          <w:ilvl w:val="0"/>
          <w:numId w:val="1002"/>
        </w:numPr>
        <w:pStyle w:val="Compact"/>
      </w:pPr>
      <w:r>
        <w:t xml:space="preserve">“</w:t>
      </w:r>
      <w:r>
        <w:t xml:space="preserve">All business logic (e.g., reorder threshold calculations, stock adjustment approvals) shall reside in the application tier—no business logic shall be implemented in the UI or database.</w:t>
      </w:r>
      <w:r>
        <w:t xml:space="preserve">”</w:t>
      </w:r>
    </w:p>
    <w:p>
      <w:pPr>
        <w:pStyle w:val="FirstParagraph"/>
      </w:pPr>
      <w:r>
        <w:rPr>
          <w:bCs/>
          <w:b/>
        </w:rPr>
        <w:t xml:space="preserve">5.1.2 Technological Constraints</w:t>
      </w:r>
    </w:p>
    <w:p>
      <w:pPr>
        <w:pStyle w:val="BodyText"/>
      </w:pPr>
      <w:r>
        <w:t xml:space="preserve">Technological constraints are often non-negotiable, as they ensure compatibility with the client’s IT stack. For the IMS:</w:t>
      </w:r>
    </w:p>
    <w:p>
      <w:pPr>
        <w:pStyle w:val="BodyText"/>
      </w:pPr>
      <w:r>
        <w:rPr>
          <w:bCs/>
          <w:b/>
        </w:rPr>
        <w:t xml:space="preserve">1. Programming Languages and Frameworks</w:t>
      </w:r>
    </w:p>
    <w:p>
      <w:pPr>
        <w:numPr>
          <w:ilvl w:val="0"/>
          <w:numId w:val="1003"/>
        </w:numPr>
        <w:pStyle w:val="Compact"/>
      </w:pPr>
      <w:r>
        <w:t xml:space="preserve">“</w:t>
      </w:r>
      <w:r>
        <w:t xml:space="preserve">The backend shall be developed using Python 3.10+ and Django 4.2+ (XYZ Retail’s IT team is proficient in these tools).</w:t>
      </w:r>
      <w:r>
        <w:t xml:space="preserve">”</w:t>
      </w:r>
    </w:p>
    <w:p>
      <w:pPr>
        <w:numPr>
          <w:ilvl w:val="0"/>
          <w:numId w:val="1003"/>
        </w:numPr>
        <w:pStyle w:val="Compact"/>
      </w:pPr>
      <w:r>
        <w:t xml:space="preserve">“</w:t>
      </w:r>
      <w:r>
        <w:t xml:space="preserve">The frontend shall be developed using React.js 18+ and Redux for state management—compatible with XYZ Retail’s existing React-based POS system.</w:t>
      </w:r>
      <w:r>
        <w:t xml:space="preserve">”</w:t>
      </w:r>
    </w:p>
    <w:p>
      <w:pPr>
        <w:numPr>
          <w:ilvl w:val="0"/>
          <w:numId w:val="1003"/>
        </w:numPr>
        <w:pStyle w:val="Compact"/>
      </w:pPr>
      <w:r>
        <w:t xml:space="preserve">“</w:t>
      </w:r>
      <w:r>
        <w:t xml:space="preserve">Mobile compatibility shall be achieved via responsive design (no native mobile app development) to reduce maintenance costs.</w:t>
      </w:r>
      <w:r>
        <w:t xml:space="preserve">”</w:t>
      </w:r>
    </w:p>
    <w:p>
      <w:pPr>
        <w:pStyle w:val="FirstParagraph"/>
      </w:pPr>
      <w:r>
        <w:rPr>
          <w:bCs/>
          <w:b/>
        </w:rPr>
        <w:t xml:space="preserve">2. Infrastructure and Cloud Services</w:t>
      </w:r>
    </w:p>
    <w:p>
      <w:pPr>
        <w:numPr>
          <w:ilvl w:val="0"/>
          <w:numId w:val="1004"/>
        </w:numPr>
        <w:pStyle w:val="Compact"/>
      </w:pPr>
      <w:r>
        <w:t xml:space="preserve">“</w:t>
      </w:r>
      <w:r>
        <w:t xml:space="preserve">All infrastructure shall be hosted on AWS—no other cloud providers (e.g., Azure, GCP) shall be used.</w:t>
      </w:r>
      <w:r>
        <w:t xml:space="preserve">”</w:t>
      </w:r>
    </w:p>
    <w:p>
      <w:pPr>
        <w:numPr>
          <w:ilvl w:val="0"/>
          <w:numId w:val="1004"/>
        </w:numPr>
        <w:pStyle w:val="Compact"/>
      </w:pPr>
      <w:r>
        <w:t xml:space="preserve">“</w:t>
      </w:r>
      <w:r>
        <w:t xml:space="preserve">Static assets (e.g., UI images, CSS files) shall be stored in AWS S3 and delivered via CloudFront (CDN) to reduce latency for remote store locations.</w:t>
      </w:r>
      <w:r>
        <w:t xml:space="preserve">”</w:t>
      </w:r>
    </w:p>
    <w:p>
      <w:pPr>
        <w:numPr>
          <w:ilvl w:val="0"/>
          <w:numId w:val="1004"/>
        </w:numPr>
        <w:pStyle w:val="Compact"/>
      </w:pPr>
      <w:r>
        <w:t xml:space="preserve">“</w:t>
      </w:r>
      <w:r>
        <w:t xml:space="preserve">The system shall use AWS CloudWatch for monitoring (CPU, memory, API latency) and AWS CloudTrail for audit logging (API calls, resource changes).</w:t>
      </w:r>
      <w:r>
        <w:t xml:space="preserve">”</w:t>
      </w:r>
    </w:p>
    <w:p>
      <w:pPr>
        <w:pStyle w:val="FirstParagraph"/>
      </w:pPr>
      <w:r>
        <w:rPr>
          <w:bCs/>
          <w:b/>
        </w:rPr>
        <w:t xml:space="preserve">3. Third-Party Tool Constraints</w:t>
      </w:r>
    </w:p>
    <w:p>
      <w:pPr>
        <w:numPr>
          <w:ilvl w:val="0"/>
          <w:numId w:val="1005"/>
        </w:numPr>
        <w:pStyle w:val="Compact"/>
      </w:pPr>
      <w:r>
        <w:t xml:space="preserve">“The system shall integrate with XYZ Retail’s existing tools:</w:t>
      </w:r>
    </w:p>
    <w:p>
      <w:pPr>
        <w:numPr>
          <w:ilvl w:val="0"/>
          <w:numId w:val="1005"/>
        </w:numPr>
        <w:pStyle w:val="Compact"/>
      </w:pPr>
      <w:r>
        <w:t xml:space="preserve">Square POS (API Version 2023-09) for real-time stock updates.</w:t>
      </w:r>
    </w:p>
    <w:p>
      <w:pPr>
        <w:numPr>
          <w:ilvl w:val="0"/>
          <w:numId w:val="1005"/>
        </w:numPr>
        <w:pStyle w:val="Compact"/>
      </w:pPr>
      <w:r>
        <w:t xml:space="preserve">QuickBooks Online (API Version 3) for inventory valuation exports.</w:t>
      </w:r>
    </w:p>
    <w:p>
      <w:pPr>
        <w:numPr>
          <w:ilvl w:val="0"/>
          <w:numId w:val="1005"/>
        </w:numPr>
        <w:pStyle w:val="Compact"/>
      </w:pPr>
      <w:r>
        <w:t xml:space="preserve">Google Workspace (Gmail) for sending low-stock alerts.”</w:t>
      </w:r>
    </w:p>
    <w:p>
      <w:pPr>
        <w:numPr>
          <w:ilvl w:val="0"/>
          <w:numId w:val="1005"/>
        </w:numPr>
        <w:pStyle w:val="Compact"/>
      </w:pPr>
      <w:r>
        <w:t xml:space="preserve">“</w:t>
      </w:r>
      <w:r>
        <w:t xml:space="preserve">No new third-party tools shall be introduced without prior approval from XYZ Retail’s IT director—each new tool requires a cost-benefit analysis.</w:t>
      </w:r>
      <w:r>
        <w:t xml:space="preserve">”</w:t>
      </w:r>
    </w:p>
    <w:p>
      <w:pPr>
        <w:pStyle w:val="FirstParagraph"/>
      </w:pPr>
      <w:r>
        <w:rPr>
          <w:bCs/>
          <w:b/>
        </w:rPr>
        <w:t xml:space="preserve">5.1.3 Regulatory and Compliance Constraints</w:t>
      </w:r>
    </w:p>
    <w:p>
      <w:pPr>
        <w:pStyle w:val="BodyText"/>
      </w:pPr>
      <w:r>
        <w:t xml:space="preserve">In addition to the compliance NFRs in Section 4.2, technical constraints may include:</w:t>
      </w:r>
    </w:p>
    <w:p>
      <w:pPr>
        <w:numPr>
          <w:ilvl w:val="0"/>
          <w:numId w:val="1006"/>
        </w:numPr>
        <w:pStyle w:val="Compact"/>
      </w:pPr>
      <w:r>
        <w:t xml:space="preserve">“</w:t>
      </w:r>
      <w:r>
        <w:t xml:space="preserve">The system shall not store data in regions with strict data residency laws (e.g., China) unless explicitly approved by XYZ Retail’s legal team.</w:t>
      </w:r>
      <w:r>
        <w:t xml:space="preserve">”</w:t>
      </w:r>
    </w:p>
    <w:p>
      <w:pPr>
        <w:numPr>
          <w:ilvl w:val="0"/>
          <w:numId w:val="1006"/>
        </w:numPr>
        <w:pStyle w:val="Compact"/>
      </w:pPr>
      <w:r>
        <w:t xml:space="preserve">“</w:t>
      </w:r>
      <w:r>
        <w:t xml:space="preserve">All code shall be scanned for open-source vulnerabilities using Snyk—no dependencies with Critical or High vulnerabilities (CVSS ≥7.0) shall be included in production.</w:t>
      </w:r>
      <w:r>
        <w:t xml:space="preserve">”</w:t>
      </w:r>
    </w:p>
    <w:p>
      <w:pPr>
        <w:pStyle w:val="FirstParagraph"/>
      </w:pPr>
      <w:r>
        <w:rPr>
          <w:bCs/>
          <w:b/>
        </w:rPr>
        <w:t xml:space="preserve">5.2 Internal and External Interface Specifications</w:t>
      </w:r>
    </w:p>
    <w:p>
      <w:pPr>
        <w:pStyle w:val="BodyText"/>
      </w:pPr>
      <w:r>
        <w:t xml:space="preserve">Interfaces define how the system interacts with external entities (e.g., POS systems, users) and internal components (e.g., application tier to data tier). Clear interface specifications eliminate ambiguity for developers and ensure seamless integration.</w:t>
      </w:r>
    </w:p>
    <w:p>
      <w:pPr>
        <w:pStyle w:val="BodyText"/>
      </w:pPr>
      <w:r>
        <w:rPr>
          <w:bCs/>
          <w:b/>
        </w:rPr>
        <w:t xml:space="preserve">5.2.1 User Interfaces (UI)</w:t>
      </w:r>
    </w:p>
    <w:p>
      <w:pPr>
        <w:pStyle w:val="BodyText"/>
      </w:pPr>
      <w:r>
        <w:t xml:space="preserve">User interfaces are the primary point of interaction for end-users—their design directly impacts usability. The SRS must include detailed UI specifications, including wireframes, layout rules, and interaction patterns.</w:t>
      </w:r>
    </w:p>
    <w:p>
      <w:pPr>
        <w:pStyle w:val="BodyText"/>
      </w:pPr>
      <w:r>
        <w:rPr>
          <w:bCs/>
          <w:b/>
        </w:rPr>
        <w:t xml:space="preserve">1. Web UI Specifications (React.js)</w:t>
      </w:r>
    </w:p>
    <w:p>
      <w:pPr>
        <w:pStyle w:val="BodyText"/>
      </w:pPr>
      <w:r>
        <w:t xml:space="preserve">For the IMS’s web-based UI:</w:t>
      </w:r>
    </w:p>
    <w:p>
      <w:pPr>
        <w:numPr>
          <w:ilvl w:val="0"/>
          <w:numId w:val="1007"/>
        </w:numPr>
        <w:pStyle w:val="Compact"/>
      </w:pPr>
      <w:r>
        <w:t xml:space="preserve">“</w:t>
      </w:r>
      <w:r>
        <w:t xml:space="preserve">The UI shall use XYZ Retail’s brand colors (primary: #2C3E50, secondary: #3498DB, accent: #E74C3C) and font (Arial, sans-serif) to maintain consistency with existing systems.</w:t>
      </w:r>
      <w:r>
        <w:t xml:space="preserve">”</w:t>
      </w:r>
    </w:p>
    <w:p>
      <w:pPr>
        <w:numPr>
          <w:ilvl w:val="0"/>
          <w:numId w:val="1007"/>
        </w:numPr>
        <w:pStyle w:val="Compact"/>
      </w:pPr>
      <w:r>
        <w:t xml:space="preserve">“Key screens shall follow these layout rules:</w:t>
      </w:r>
    </w:p>
    <w:p>
      <w:pPr>
        <w:numPr>
          <w:ilvl w:val="0"/>
          <w:numId w:val="1007"/>
        </w:numPr>
        <w:pStyle w:val="Compact"/>
      </w:pPr>
      <w:r>
        <w:rPr>
          <w:bCs/>
          <w:b/>
        </w:rPr>
        <w:t xml:space="preserve">Barcode Scanning Screen</w:t>
      </w:r>
      <w:r>
        <w:t xml:space="preserve">: Scanner preview (top 50% of screen), product details (middle 30%), quantity input (bottom 20%).</w:t>
      </w:r>
    </w:p>
    <w:p>
      <w:pPr>
        <w:numPr>
          <w:ilvl w:val="0"/>
          <w:numId w:val="1007"/>
        </w:numPr>
        <w:pStyle w:val="Compact"/>
      </w:pPr>
      <w:r>
        <w:rPr>
          <w:bCs/>
          <w:b/>
        </w:rPr>
        <w:t xml:space="preserve">Report Generation Screen</w:t>
      </w:r>
      <w:r>
        <w:t xml:space="preserve">: Date-range selector (top left), store-location dropdown (top right), report preview (middle), export buttons (bottom right).”</w:t>
      </w:r>
    </w:p>
    <w:p>
      <w:pPr>
        <w:numPr>
          <w:ilvl w:val="0"/>
          <w:numId w:val="1007"/>
        </w:numPr>
        <w:pStyle w:val="Compact"/>
      </w:pPr>
      <w:r>
        <w:t xml:space="preserve">“Interactive elements shall have consistent behavior:</w:t>
      </w:r>
    </w:p>
    <w:p>
      <w:pPr>
        <w:numPr>
          <w:ilvl w:val="0"/>
          <w:numId w:val="1007"/>
        </w:numPr>
        <w:pStyle w:val="Compact"/>
      </w:pPr>
      <w:r>
        <w:t xml:space="preserve">Buttons: Hover effect (darken by 10%), click effect (darken by 20%), disabled state (50% opacity).</w:t>
      </w:r>
    </w:p>
    <w:p>
      <w:pPr>
        <w:numPr>
          <w:ilvl w:val="0"/>
          <w:numId w:val="1007"/>
        </w:numPr>
        <w:pStyle w:val="Compact"/>
      </w:pPr>
      <w:r>
        <w:t xml:space="preserve">Forms: Real-time validation (e.g.,</w:t>
      </w:r>
      <w:r>
        <w:t xml:space="preserve"> </w:t>
      </w:r>
      <w:r>
        <w:t xml:space="preserve">‘</w:t>
      </w:r>
      <w:r>
        <w:t xml:space="preserve">Quantity must be ≥1</w:t>
      </w:r>
      <w:r>
        <w:t xml:space="preserve">’</w:t>
      </w:r>
      <w:r>
        <w:t xml:space="preserve"> </w:t>
      </w:r>
      <w:r>
        <w:t xml:space="preserve">displayed as the user types), required fields marked with a red asterisk (*).”</w:t>
      </w:r>
    </w:p>
    <w:p>
      <w:pPr>
        <w:pStyle w:val="FirstParagraph"/>
      </w:pPr>
      <w:r>
        <w:rPr>
          <w:bCs/>
          <w:b/>
        </w:rPr>
        <w:t xml:space="preserve">2. Mobile UI Specifications (Responsive Design)</w:t>
      </w:r>
    </w:p>
    <w:p>
      <w:pPr>
        <w:pStyle w:val="BodyText"/>
      </w:pPr>
      <w:r>
        <w:t xml:space="preserve">For warehouse staff using tablets:</w:t>
      </w:r>
    </w:p>
    <w:p>
      <w:pPr>
        <w:numPr>
          <w:ilvl w:val="0"/>
          <w:numId w:val="1008"/>
        </w:numPr>
        <w:pStyle w:val="Compact"/>
      </w:pPr>
      <w:r>
        <w:t xml:space="preserve">“</w:t>
      </w:r>
      <w:r>
        <w:t xml:space="preserve">The UI shall be responsive for screen sizes from 7-inch (tablet) to 27-inch (desktop)—no horizontal scrolling on 7-inch screens.</w:t>
      </w:r>
      <w:r>
        <w:t xml:space="preserve">”</w:t>
      </w:r>
    </w:p>
    <w:p>
      <w:pPr>
        <w:numPr>
          <w:ilvl w:val="0"/>
          <w:numId w:val="1008"/>
        </w:numPr>
        <w:pStyle w:val="Compact"/>
      </w:pPr>
      <w:r>
        <w:t xml:space="preserve">“</w:t>
      </w:r>
      <w:r>
        <w:t xml:space="preserve">Touch targets (buttons, input fields) shall be ≥44x44 pixels to accommodate finger interactions (per Apple’s iOS design guidelines).</w:t>
      </w:r>
      <w:r>
        <w:t xml:space="preserve">”</w:t>
      </w:r>
    </w:p>
    <w:p>
      <w:pPr>
        <w:numPr>
          <w:ilvl w:val="0"/>
          <w:numId w:val="1008"/>
        </w:numPr>
        <w:pStyle w:val="Compact"/>
      </w:pPr>
      <w:r>
        <w:t xml:space="preserve">“</w:t>
      </w:r>
      <w:r>
        <w:t xml:space="preserve">Offline mode indicator: A green</w:t>
      </w:r>
      <w:r>
        <w:t xml:space="preserve"> </w:t>
      </w:r>
      <w:r>
        <w:t xml:space="preserve">‘</w:t>
      </w:r>
      <w:r>
        <w:t xml:space="preserve">Online</w:t>
      </w:r>
      <w:r>
        <w:t xml:space="preserve">’</w:t>
      </w:r>
      <w:r>
        <w:t xml:space="preserve"> </w:t>
      </w:r>
      <w:r>
        <w:t xml:space="preserve">badge or red</w:t>
      </w:r>
      <w:r>
        <w:t xml:space="preserve"> </w:t>
      </w:r>
      <w:r>
        <w:t xml:space="preserve">‘</w:t>
      </w:r>
      <w:r>
        <w:t xml:space="preserve">Offline</w:t>
      </w:r>
      <w:r>
        <w:t xml:space="preserve">’</w:t>
      </w:r>
      <w:r>
        <w:t xml:space="preserve"> </w:t>
      </w:r>
      <w:r>
        <w:t xml:space="preserve">badge in the top-right corner—with a sync status (e.g.,</w:t>
      </w:r>
      <w:r>
        <w:t xml:space="preserve"> </w:t>
      </w:r>
      <w:r>
        <w:t xml:space="preserve">‘</w:t>
      </w:r>
      <w:r>
        <w:t xml:space="preserve">5 scans pending sync</w:t>
      </w:r>
      <w:r>
        <w:t xml:space="preserve">’</w:t>
      </w:r>
      <w:r>
        <w:t xml:space="preserve">) when offline.</w:t>
      </w:r>
      <w:r>
        <w:t xml:space="preserve">”</w:t>
      </w:r>
    </w:p>
    <w:p>
      <w:pPr>
        <w:pStyle w:val="FirstParagraph"/>
      </w:pPr>
      <w:r>
        <w:rPr>
          <w:bCs/>
          <w:b/>
        </w:rPr>
        <w:t xml:space="preserve">5.2.2 External System Interfaces</w:t>
      </w:r>
    </w:p>
    <w:p>
      <w:pPr>
        <w:pStyle w:val="BodyText"/>
      </w:pPr>
      <w:r>
        <w:t xml:space="preserve">External interfaces connect the IMS to third-party systems (e.g., Square POS, QuickBooks). The SRS must specify protocols, data formats, and error-handling rules for each integration.</w:t>
      </w:r>
    </w:p>
    <w:p>
      <w:pPr>
        <w:pStyle w:val="BodyText"/>
      </w:pPr>
      <w:r>
        <w:rPr>
          <w:bCs/>
          <w:b/>
        </w:rPr>
        <w:t xml:space="preserve">1. Square POS Integration</w:t>
      </w:r>
    </w:p>
    <w:p>
      <w:pPr>
        <w:numPr>
          <w:ilvl w:val="0"/>
          <w:numId w:val="1009"/>
        </w:numPr>
        <w:pStyle w:val="Compact"/>
      </w:pPr>
      <w:r>
        <w:rPr>
          <w:bCs/>
          <w:b/>
        </w:rPr>
        <w:t xml:space="preserve">Purpose</w:t>
      </w:r>
      <w:r>
        <w:t xml:space="preserve">: Sync stock levels between the IMS and Square POS (e.g., when a product is sold via POS, the IMS stock level is updated).</w:t>
      </w:r>
    </w:p>
    <w:p>
      <w:pPr>
        <w:numPr>
          <w:ilvl w:val="0"/>
          <w:numId w:val="1009"/>
        </w:numPr>
        <w:pStyle w:val="Compact"/>
      </w:pPr>
      <w:r>
        <w:rPr>
          <w:bCs/>
          <w:b/>
        </w:rPr>
        <w:t xml:space="preserve">Protocol</w:t>
      </w:r>
      <w:r>
        <w:t xml:space="preserve">: REST API (HTTPS).</w:t>
      </w:r>
    </w:p>
    <w:p>
      <w:pPr>
        <w:numPr>
          <w:ilvl w:val="0"/>
          <w:numId w:val="1009"/>
        </w:numPr>
        <w:pStyle w:val="Compact"/>
      </w:pPr>
      <w:r>
        <w:rPr>
          <w:bCs/>
          <w:b/>
        </w:rPr>
        <w:t xml:space="preserve">Data Format</w:t>
      </w:r>
      <w:r>
        <w:t xml:space="preserve">: JSON.</w:t>
      </w:r>
    </w:p>
    <w:p>
      <w:pPr>
        <w:numPr>
          <w:ilvl w:val="0"/>
          <w:numId w:val="1009"/>
        </w:numPr>
        <w:pStyle w:val="Compact"/>
      </w:pPr>
      <w:r>
        <w:rPr>
          <w:bCs/>
          <w:b/>
        </w:rPr>
        <w:t xml:space="preserve">Endpoints</w:t>
      </w:r>
      <w:r>
        <w:t xml:space="preserve">:</w:t>
      </w:r>
    </w:p>
    <w:p>
      <w:pPr>
        <w:numPr>
          <w:ilvl w:val="0"/>
          <w:numId w:val="1009"/>
        </w:numPr>
        <w:pStyle w:val="Compact"/>
      </w:pPr>
      <w:r>
        <w:t xml:space="preserve">GET /v2/catalog/products: Retrieve product details from Square.</w:t>
      </w:r>
    </w:p>
    <w:p>
      <w:pPr>
        <w:numPr>
          <w:ilvl w:val="0"/>
          <w:numId w:val="1009"/>
        </w:numPr>
        <w:pStyle w:val="Compact"/>
      </w:pPr>
      <w:r>
        <w:t xml:space="preserve">POST /v2/inventory/batch-update: Update stock levels in Square.</w:t>
      </w:r>
    </w:p>
    <w:p>
      <w:pPr>
        <w:numPr>
          <w:ilvl w:val="0"/>
          <w:numId w:val="1009"/>
        </w:numPr>
        <w:pStyle w:val="Compact"/>
      </w:pPr>
      <w:r>
        <w:rPr>
          <w:bCs/>
          <w:b/>
        </w:rPr>
        <w:t xml:space="preserve">Request/Response Example</w:t>
      </w:r>
      <w:r>
        <w:t xml:space="preserve">:</w:t>
      </w:r>
    </w:p>
    <w:p>
      <w:pPr>
        <w:pStyle w:val="FirstParagraph"/>
      </w:pPr>
      <w:r>
        <w:t xml:space="preserve">json</w:t>
      </w:r>
    </w:p>
    <w:p>
      <w:pPr>
        <w:pStyle w:val="BodyText"/>
      </w:pPr>
      <w:r>
        <w:t xml:space="preserve">// Request (IMS → Square: Update stock level)</w:t>
      </w:r>
    </w:p>
    <w:p>
      <w:pPr>
        <w:pStyle w:val="BodyText"/>
      </w:pPr>
      <w:r>
        <w:t xml:space="preserve">{</w:t>
      </w:r>
    </w:p>
    <w:p>
      <w:pPr>
        <w:pStyle w:val="BodyText"/>
      </w:pPr>
      <w:r>
        <w:t xml:space="preserve">“</w:t>
      </w:r>
      <w:r>
        <w:t xml:space="preserve">idempotency_key</w:t>
      </w:r>
      <w:r>
        <w:t xml:space="preserve">”</w:t>
      </w:r>
      <w:r>
        <w:t xml:space="preserve">:</w:t>
      </w:r>
      <w:r>
        <w:t xml:space="preserve"> </w:t>
      </w:r>
      <w:r>
        <w:t xml:space="preserve">“</w:t>
      </w:r>
      <w:r>
        <w:t xml:space="preserve">ims-stock-update-12345</w:t>
      </w:r>
      <w:r>
        <w:t xml:space="preserve">”</w:t>
      </w:r>
      <w:r>
        <w:t xml:space="preserve">,</w:t>
      </w:r>
    </w:p>
    <w:p>
      <w:pPr>
        <w:pStyle w:val="BodyText"/>
      </w:pPr>
      <w:r>
        <w:t xml:space="preserve">“</w:t>
      </w:r>
      <w:r>
        <w:t xml:space="preserve">inventory_updates</w:t>
      </w:r>
      <w:r>
        <w:t xml:space="preserve">”</w:t>
      </w:r>
      <w:r>
        <w:t xml:space="preserve">: [</w:t>
      </w:r>
    </w:p>
    <w:p>
      <w:pPr>
        <w:pStyle w:val="BodyText"/>
      </w:pPr>
      <w:r>
        <w:t xml:space="preserve">{</w:t>
      </w:r>
    </w:p>
    <w:p>
      <w:pPr>
        <w:pStyle w:val="BodyText"/>
      </w:pPr>
      <w:r>
        <w:t xml:space="preserve">“</w:t>
      </w:r>
      <w:r>
        <w:t xml:space="preserve">catalog_object_id</w:t>
      </w:r>
      <w:r>
        <w:t xml:space="preserve">”</w:t>
      </w:r>
      <w:r>
        <w:t xml:space="preserve">:</w:t>
      </w:r>
      <w:r>
        <w:t xml:space="preserve"> </w:t>
      </w:r>
      <w:r>
        <w:t xml:space="preserve">“</w:t>
      </w:r>
      <w:r>
        <w:t xml:space="preserve">SQ-PROD-789</w:t>
      </w:r>
      <w:r>
        <w:t xml:space="preserve">”</w:t>
      </w:r>
      <w:r>
        <w:t xml:space="preserve">,</w:t>
      </w:r>
    </w:p>
    <w:p>
      <w:pPr>
        <w:pStyle w:val="BodyText"/>
      </w:pPr>
      <w:r>
        <w:t xml:space="preserve">“</w:t>
      </w:r>
      <w:r>
        <w:t xml:space="preserve">location_id</w:t>
      </w:r>
      <w:r>
        <w:t xml:space="preserve">”</w:t>
      </w:r>
      <w:r>
        <w:t xml:space="preserve">:</w:t>
      </w:r>
      <w:r>
        <w:t xml:space="preserve"> </w:t>
      </w:r>
      <w:r>
        <w:t xml:space="preserve">“</w:t>
      </w:r>
      <w:r>
        <w:t xml:space="preserve">SQ-LOC-456</w:t>
      </w:r>
      <w:r>
        <w:t xml:space="preserve">”</w:t>
      </w:r>
      <w:r>
        <w:t xml:space="preserve">,</w:t>
      </w:r>
    </w:p>
    <w:p>
      <w:pPr>
        <w:pStyle w:val="BodyText"/>
      </w:pPr>
      <w:r>
        <w:t xml:space="preserve">“</w:t>
      </w:r>
      <w:r>
        <w:t xml:space="preserve">quantity</w:t>
      </w:r>
      <w:r>
        <w:t xml:space="preserve">”</w:t>
      </w:r>
      <w:r>
        <w:t xml:space="preserve">:</w:t>
      </w:r>
      <w:r>
        <w:t xml:space="preserve"> </w:t>
      </w:r>
      <w:r>
        <w:t xml:space="preserve">“</w:t>
      </w:r>
      <w:r>
        <w:t xml:space="preserve">15</w:t>
      </w:r>
      <w:r>
        <w:t xml:space="preserve">”</w:t>
      </w:r>
      <w:r>
        <w:t xml:space="preserve">,</w:t>
      </w:r>
    </w:p>
    <w:p>
      <w:pPr>
        <w:pStyle w:val="BodyText"/>
      </w:pPr>
      <w:r>
        <w:t xml:space="preserve">“</w:t>
      </w:r>
      <w:r>
        <w:t xml:space="preserve">type</w:t>
      </w:r>
      <w:r>
        <w:t xml:space="preserve">”</w:t>
      </w:r>
      <w:r>
        <w:t xml:space="preserve">:</w:t>
      </w:r>
      <w:r>
        <w:t xml:space="preserve"> </w:t>
      </w:r>
      <w:r>
        <w:t xml:space="preserve">“</w:t>
      </w:r>
      <w:r>
        <w:t xml:space="preserve">ADJUSTMENT</w:t>
      </w: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 Response (Square → IMS: Success)</w:t>
      </w:r>
    </w:p>
    <w:p>
      <w:pPr>
        <w:pStyle w:val="BodyText"/>
      </w:pPr>
      <w:r>
        <w:t xml:space="preserve">{</w:t>
      </w:r>
    </w:p>
    <w:p>
      <w:pPr>
        <w:pStyle w:val="BodyText"/>
      </w:pPr>
      <w:r>
        <w:t xml:space="preserve">“</w:t>
      </w:r>
      <w:r>
        <w:t xml:space="preserve">errors</w:t>
      </w:r>
      <w:r>
        <w:t xml:space="preserve">”</w:t>
      </w:r>
      <w:r>
        <w:t xml:space="preserve">: [],</w:t>
      </w:r>
    </w:p>
    <w:p>
      <w:pPr>
        <w:pStyle w:val="BodyText"/>
      </w:pPr>
      <w:r>
        <w:t xml:space="preserve">“</w:t>
      </w:r>
      <w:r>
        <w:t xml:space="preserve">inventory_updates</w:t>
      </w:r>
      <w:r>
        <w:t xml:space="preserve">”</w:t>
      </w:r>
      <w:r>
        <w:t xml:space="preserve">: [</w:t>
      </w:r>
    </w:p>
    <w:p>
      <w:pPr>
        <w:pStyle w:val="BodyText"/>
      </w:pPr>
      <w:r>
        <w:t xml:space="preserve">{</w:t>
      </w:r>
    </w:p>
    <w:p>
      <w:pPr>
        <w:pStyle w:val="BodyText"/>
      </w:pPr>
      <w:r>
        <w:t xml:space="preserve">“</w:t>
      </w:r>
      <w:r>
        <w:t xml:space="preserve">catalog_object_id</w:t>
      </w:r>
      <w:r>
        <w:t xml:space="preserve">”</w:t>
      </w:r>
      <w:r>
        <w:t xml:space="preserve">:</w:t>
      </w:r>
      <w:r>
        <w:t xml:space="preserve"> </w:t>
      </w:r>
      <w:r>
        <w:t xml:space="preserve">“</w:t>
      </w:r>
      <w:r>
        <w:t xml:space="preserve">SQ-PROD-789</w:t>
      </w:r>
      <w:r>
        <w:t xml:space="preserve">”</w:t>
      </w:r>
      <w:r>
        <w:t xml:space="preserve">,</w:t>
      </w:r>
    </w:p>
    <w:p>
      <w:pPr>
        <w:pStyle w:val="BodyText"/>
      </w:pPr>
      <w:r>
        <w:t xml:space="preserve">“</w:t>
      </w:r>
      <w:r>
        <w:t xml:space="preserve">location_id</w:t>
      </w:r>
      <w:r>
        <w:t xml:space="preserve">”</w:t>
      </w:r>
      <w:r>
        <w:t xml:space="preserve">:</w:t>
      </w:r>
      <w:r>
        <w:t xml:space="preserve"> </w:t>
      </w:r>
      <w:r>
        <w:t xml:space="preserve">“</w:t>
      </w:r>
      <w:r>
        <w:t xml:space="preserve">SQ-LOC-456</w:t>
      </w:r>
      <w:r>
        <w:t xml:space="preserve">”</w:t>
      </w:r>
      <w:r>
        <w:t xml:space="preserve">,</w:t>
      </w:r>
    </w:p>
    <w:p>
      <w:pPr>
        <w:pStyle w:val="BodyText"/>
      </w:pPr>
      <w:r>
        <w:t xml:space="preserve">“</w:t>
      </w:r>
      <w:r>
        <w:t xml:space="preserve">updated_at</w:t>
      </w:r>
      <w:r>
        <w:t xml:space="preserve">”</w:t>
      </w:r>
      <w:r>
        <w:t xml:space="preserve">:</w:t>
      </w:r>
      <w:r>
        <w:t xml:space="preserve"> </w:t>
      </w:r>
      <w:r>
        <w:t xml:space="preserve">“</w:t>
      </w:r>
      <w:r>
        <w:t xml:space="preserve">2024-05-20T14:30:00Z</w:t>
      </w:r>
      <w:r>
        <w:t xml:space="preserve">”</w:t>
      </w:r>
    </w:p>
    <w:p>
      <w:pPr>
        <w:pStyle w:val="BodyText"/>
      </w:pPr>
      <w:r>
        <w:t xml:space="preserve">}</w:t>
      </w:r>
    </w:p>
    <w:p>
      <w:pPr>
        <w:pStyle w:val="BodyText"/>
      </w:pPr>
      <w:r>
        <w:t xml:space="preserve">]</w:t>
      </w:r>
    </w:p>
    <w:p>
      <w:pPr>
        <w:pStyle w:val="BodyText"/>
      </w:pPr>
      <w:r>
        <w:t xml:space="preserve">}</w:t>
      </w:r>
    </w:p>
    <w:p>
      <w:pPr>
        <w:numPr>
          <w:ilvl w:val="0"/>
          <w:numId w:val="1010"/>
        </w:numPr>
        <w:pStyle w:val="Compact"/>
      </w:pPr>
      <w:r>
        <w:rPr>
          <w:bCs/>
          <w:b/>
        </w:rPr>
        <w:t xml:space="preserve">Error Handling</w:t>
      </w:r>
      <w:r>
        <w:t xml:space="preserve">:</w:t>
      </w:r>
    </w:p>
    <w:p>
      <w:pPr>
        <w:numPr>
          <w:ilvl w:val="0"/>
          <w:numId w:val="1010"/>
        </w:numPr>
        <w:pStyle w:val="Compact"/>
      </w:pPr>
      <w:r>
        <w:t xml:space="preserve">If Square returns a 401 (Unauthorized), the system shall log the error and alert the Admin (API key rotation required).</w:t>
      </w:r>
    </w:p>
    <w:p>
      <w:pPr>
        <w:numPr>
          <w:ilvl w:val="0"/>
          <w:numId w:val="1010"/>
        </w:numPr>
        <w:pStyle w:val="Compact"/>
      </w:pPr>
      <w:r>
        <w:t xml:space="preserve">If Square returns a 503 (Service Unavailable), the system shall retry the request 3 times (with 5-second delays) before failing.</w:t>
      </w:r>
    </w:p>
    <w:p>
      <w:pPr>
        <w:pStyle w:val="FirstParagraph"/>
      </w:pPr>
      <w:r>
        <w:rPr>
          <w:bCs/>
          <w:b/>
        </w:rPr>
        <w:t xml:space="preserve">2. QuickBooks Online Integration</w:t>
      </w:r>
    </w:p>
    <w:p>
      <w:pPr>
        <w:numPr>
          <w:ilvl w:val="0"/>
          <w:numId w:val="1011"/>
        </w:numPr>
        <w:pStyle w:val="Compact"/>
      </w:pPr>
      <w:r>
        <w:rPr>
          <w:bCs/>
          <w:b/>
        </w:rPr>
        <w:t xml:space="preserve">Purpose</w:t>
      </w:r>
      <w:r>
        <w:t xml:space="preserve">: Export monthly inventory valuations to QuickBooks for accounting.</w:t>
      </w:r>
    </w:p>
    <w:p>
      <w:pPr>
        <w:numPr>
          <w:ilvl w:val="0"/>
          <w:numId w:val="1011"/>
        </w:numPr>
        <w:pStyle w:val="Compact"/>
      </w:pPr>
      <w:r>
        <w:rPr>
          <w:bCs/>
          <w:b/>
        </w:rPr>
        <w:t xml:space="preserve">Protocol</w:t>
      </w:r>
      <w:r>
        <w:t xml:space="preserve">: REST API (HTTPS), OAuth 2.0 authentication.</w:t>
      </w:r>
    </w:p>
    <w:p>
      <w:pPr>
        <w:numPr>
          <w:ilvl w:val="0"/>
          <w:numId w:val="1011"/>
        </w:numPr>
        <w:pStyle w:val="Compact"/>
      </w:pPr>
      <w:r>
        <w:rPr>
          <w:bCs/>
          <w:b/>
        </w:rPr>
        <w:t xml:space="preserve">Data Format</w:t>
      </w:r>
      <w:r>
        <w:t xml:space="preserve">: JSON.</w:t>
      </w:r>
    </w:p>
    <w:p>
      <w:pPr>
        <w:numPr>
          <w:ilvl w:val="0"/>
          <w:numId w:val="1011"/>
        </w:numPr>
        <w:pStyle w:val="Compact"/>
      </w:pPr>
      <w:r>
        <w:rPr>
          <w:bCs/>
          <w:b/>
        </w:rPr>
        <w:t xml:space="preserve">Frequency</w:t>
      </w:r>
      <w:r>
        <w:t xml:space="preserve">: Monthly (1st day of the month, 2 AM UTC).</w:t>
      </w:r>
    </w:p>
    <w:p>
      <w:pPr>
        <w:numPr>
          <w:ilvl w:val="0"/>
          <w:numId w:val="1011"/>
        </w:numPr>
        <w:pStyle w:val="Compact"/>
      </w:pPr>
      <w:r>
        <w:rPr>
          <w:bCs/>
          <w:b/>
        </w:rPr>
        <w:t xml:space="preserve">Error Handling</w:t>
      </w:r>
      <w:r>
        <w:t xml:space="preserve">:</w:t>
      </w:r>
    </w:p>
    <w:p>
      <w:pPr>
        <w:numPr>
          <w:ilvl w:val="0"/>
          <w:numId w:val="1011"/>
        </w:numPr>
        <w:pStyle w:val="Compact"/>
      </w:pPr>
      <w:r>
        <w:t xml:space="preserve">If the export fails, the system shall send an email alert to the Store Manager and retry once daily for 3 days.</w:t>
      </w:r>
    </w:p>
    <w:p>
      <w:pPr>
        <w:pStyle w:val="FirstParagraph"/>
      </w:pPr>
      <w:r>
        <w:rPr>
          <w:bCs/>
          <w:b/>
        </w:rPr>
        <w:t xml:space="preserve">5.2.3 Internal Interfaces (Application ↔ Data Tier)</w:t>
      </w:r>
    </w:p>
    <w:p>
      <w:pPr>
        <w:pStyle w:val="BodyText"/>
      </w:pPr>
      <w:r>
        <w:t xml:space="preserve">Internal interfaces define how the application tier communicates with the data tier (PostgreSQL database). Specifications include:</w:t>
      </w:r>
    </w:p>
    <w:p>
      <w:pPr>
        <w:numPr>
          <w:ilvl w:val="0"/>
          <w:numId w:val="1012"/>
        </w:numPr>
        <w:pStyle w:val="Compact"/>
      </w:pPr>
      <w:r>
        <w:rPr>
          <w:bCs/>
          <w:b/>
        </w:rPr>
        <w:t xml:space="preserve">Protocol</w:t>
      </w:r>
      <w:r>
        <w:t xml:space="preserve">: JDBC (Java Database Connectivity) for Django-PostgreSQL communication.</w:t>
      </w:r>
    </w:p>
    <w:p>
      <w:pPr>
        <w:numPr>
          <w:ilvl w:val="0"/>
          <w:numId w:val="1012"/>
        </w:numPr>
        <w:pStyle w:val="Compact"/>
      </w:pPr>
      <w:r>
        <w:rPr>
          <w:bCs/>
          <w:b/>
        </w:rPr>
        <w:t xml:space="preserve">Connection Pooling</w:t>
      </w:r>
      <w:r>
        <w:t xml:space="preserve">:</w:t>
      </w:r>
      <w:r>
        <w:t xml:space="preserve"> </w:t>
      </w:r>
      <w:r>
        <w:t xml:space="preserve">“</w:t>
      </w:r>
      <w:r>
        <w:t xml:space="preserve">The system shall use PgBouncer for database connection pooling—maximizing 50 concurrent connections (per AWS RDS limits).</w:t>
      </w:r>
      <w:r>
        <w:t xml:space="preserve">”</w:t>
      </w:r>
    </w:p>
    <w:p>
      <w:pPr>
        <w:numPr>
          <w:ilvl w:val="0"/>
          <w:numId w:val="1012"/>
        </w:numPr>
        <w:pStyle w:val="Compact"/>
      </w:pPr>
      <w:r>
        <w:rPr>
          <w:bCs/>
          <w:b/>
        </w:rPr>
        <w:t xml:space="preserve">Query Optimization</w:t>
      </w:r>
      <w:r>
        <w:t xml:space="preserve">:</w:t>
      </w:r>
      <w:r>
        <w:t xml:space="preserve"> </w:t>
      </w:r>
      <w:r>
        <w:t xml:space="preserve">“</w:t>
      </w:r>
      <w:r>
        <w:t xml:space="preserve">All database queries shall have a maximum execution time of ≤2 seconds—long-running queries (e.g., complex reports) shall use database views or materialized views to precompute results.</w:t>
      </w:r>
      <w:r>
        <w:t xml:space="preserve">”</w:t>
      </w:r>
    </w:p>
    <w:p>
      <w:pPr>
        <w:numPr>
          <w:ilvl w:val="0"/>
          <w:numId w:val="1012"/>
        </w:numPr>
        <w:pStyle w:val="Compact"/>
      </w:pPr>
      <w:r>
        <w:rPr>
          <w:bCs/>
          <w:b/>
        </w:rPr>
        <w:t xml:space="preserve">Transaction Management</w:t>
      </w:r>
      <w:r>
        <w:t xml:space="preserve">:</w:t>
      </w:r>
      <w:r>
        <w:t xml:space="preserve"> </w:t>
      </w:r>
      <w:r>
        <w:t xml:space="preserve">“</w:t>
      </w:r>
      <w:r>
        <w:t xml:space="preserve">Stock updates (e.g., barcode scans) shall use database transactions—ensuring either all changes are committed (e.g., update stock level + log scan) or all are rolled back (no partial updates).</w:t>
      </w:r>
      <w:r>
        <w:t xml:space="preserve">”</w:t>
      </w:r>
    </w:p>
    <w:p>
      <w:pPr>
        <w:pStyle w:val="FirstParagraph"/>
      </w:pPr>
      <w:r>
        <w:rPr>
          <w:bCs/>
          <w:b/>
        </w:rPr>
        <w:t xml:space="preserve">5.3 Design Constraints and Trade-off Analysis</w:t>
      </w:r>
    </w:p>
    <w:p>
      <w:pPr>
        <w:pStyle w:val="BodyText"/>
      </w:pPr>
      <w:r>
        <w:t xml:space="preserve">Design constraints arise when competing priorities (e.g., performance vs. cost, scalability vs. complexity) require trade-offs. The SRS must document these trade-offs and their rationale to align stakeholders on technical decisions.</w:t>
      </w:r>
    </w:p>
    <w:p>
      <w:pPr>
        <w:pStyle w:val="BodyText"/>
      </w:pPr>
      <w:r>
        <w:rPr>
          <w:bCs/>
          <w:b/>
        </w:rPr>
        <w:t xml:space="preserve">5.3.1 Common Design Trade-offs for the IMS</w:t>
      </w:r>
    </w:p>
    <w:p>
      <w:pPr>
        <w:pStyle w:val="BodyText"/>
      </w:pPr>
      <w:r>
        <w:rPr>
          <w:bCs/>
          <w:b/>
        </w:rPr>
        <w:t xml:space="preserve">1. Performance vs. Cost</w:t>
      </w:r>
    </w:p>
    <w:p>
      <w:pPr>
        <w:numPr>
          <w:ilvl w:val="0"/>
          <w:numId w:val="1013"/>
        </w:numPr>
      </w:pPr>
      <w:r>
        <w:rPr>
          <w:bCs/>
          <w:b/>
        </w:rPr>
        <w:t xml:space="preserve">Scenario</w:t>
      </w:r>
      <w:r>
        <w:t xml:space="preserve">: XYZ Retail wants real-time stock updates but has a limited cloud budget.</w:t>
      </w:r>
    </w:p>
    <w:p>
      <w:pPr>
        <w:numPr>
          <w:ilvl w:val="0"/>
          <w:numId w:val="1013"/>
        </w:numPr>
      </w:pPr>
      <w:r>
        <w:rPr>
          <w:bCs/>
          <w:b/>
        </w:rPr>
        <w:t xml:space="preserve">Trade-off</w:t>
      </w:r>
      <w:r>
        <w:t xml:space="preserve">: Use near-real-time updates (15-minute delays) instead of true real-time.</w:t>
      </w:r>
    </w:p>
    <w:p>
      <w:pPr>
        <w:numPr>
          <w:ilvl w:val="0"/>
          <w:numId w:val="1013"/>
        </w:numPr>
      </w:pPr>
      <w:r>
        <w:rPr>
          <w:bCs/>
          <w:b/>
        </w:rPr>
        <w:t xml:space="preserve">Rationale</w:t>
      </w:r>
      <w:r>
        <w:t xml:space="preserve">:</w:t>
      </w:r>
      <w:r>
        <w:t xml:space="preserve"> </w:t>
      </w:r>
      <w:r>
        <w:t xml:space="preserve">“</w:t>
      </w:r>
      <w:r>
        <w:t xml:space="preserve">True real-time updates would require AWS Lambda triggers and DynamoDB (costing 500/month). The 15-minute delay does not impact business operations (peak sales occur during 9 AM–9 PM, and updates run every 15 minutes during these hours).</w:t>
      </w:r>
      <w:r>
        <w:t xml:space="preserve">”</w:t>
      </w:r>
    </w:p>
    <w:p>
      <w:pPr>
        <w:numPr>
          <w:ilvl w:val="0"/>
          <w:numId w:val="1000"/>
        </w:numPr>
      </w:pPr>
      <w:r>
        <w:t xml:space="preserve">2,000/</w:t>
      </w:r>
      <w:r>
        <w:rPr>
          <w:iCs/>
          <w:i/>
        </w:rPr>
        <w:t xml:space="preserve">month</w:t>
      </w:r>
      <w:r>
        <w:t xml:space="preserve">),</w:t>
      </w:r>
      <w:r>
        <w:rPr>
          <w:iCs/>
          <w:i/>
        </w:rPr>
        <w:t xml:space="preserve">whilenear</w:t>
      </w:r>
      <w:r>
        <w:t xml:space="preserve">−</w:t>
      </w:r>
      <w:r>
        <w:rPr>
          <w:iCs/>
          <w:i/>
        </w:rPr>
        <w:t xml:space="preserve">real</w:t>
      </w:r>
      <w:r>
        <w:t xml:space="preserve">−</w:t>
      </w:r>
      <w:r>
        <w:rPr>
          <w:iCs/>
          <w:i/>
        </w:rPr>
        <w:t xml:space="preserve">timeupdatesusescheduledDjangoCelerytasks</w:t>
      </w:r>
      <w:r>
        <w:t xml:space="preserve">(</w:t>
      </w:r>
      <w:r>
        <w:rPr>
          <w:iCs/>
          <w:i/>
        </w:rPr>
        <w:t xml:space="preserve">costing</w:t>
      </w:r>
    </w:p>
    <w:p>
      <w:pPr>
        <w:pStyle w:val="FirstParagraph"/>
      </w:pPr>
      <w:r>
        <w:rPr>
          <w:bCs/>
          <w:b/>
        </w:rPr>
        <w:t xml:space="preserve">2. Scalability vs. Complexity</w:t>
      </w:r>
    </w:p>
    <w:p>
      <w:pPr>
        <w:numPr>
          <w:ilvl w:val="0"/>
          <w:numId w:val="1014"/>
        </w:numPr>
        <w:pStyle w:val="Compact"/>
      </w:pPr>
      <w:r>
        <w:rPr>
          <w:bCs/>
          <w:b/>
        </w:rPr>
        <w:t xml:space="preserve">Scenario</w:t>
      </w:r>
      <w:r>
        <w:t xml:space="preserve">: XYZ Retail plans to expand to 25 stores but wants to avoid microservices complexity.</w:t>
      </w:r>
    </w:p>
    <w:p>
      <w:pPr>
        <w:numPr>
          <w:ilvl w:val="0"/>
          <w:numId w:val="1014"/>
        </w:numPr>
        <w:pStyle w:val="Compact"/>
      </w:pPr>
      <w:r>
        <w:rPr>
          <w:bCs/>
          <w:b/>
        </w:rPr>
        <w:t xml:space="preserve">Trade-off</w:t>
      </w:r>
      <w:r>
        <w:t xml:space="preserve">: Use database sharding (by store location) instead of microservices.</w:t>
      </w:r>
    </w:p>
    <w:p>
      <w:pPr>
        <w:numPr>
          <w:ilvl w:val="0"/>
          <w:numId w:val="1014"/>
        </w:numPr>
        <w:pStyle w:val="Compact"/>
      </w:pPr>
      <w:r>
        <w:rPr>
          <w:bCs/>
          <w:b/>
        </w:rPr>
        <w:t xml:space="preserve">Rationale</w:t>
      </w:r>
      <w:r>
        <w:t xml:space="preserve">:</w:t>
      </w:r>
      <w:r>
        <w:t xml:space="preserve"> </w:t>
      </w:r>
      <w:r>
        <w:t xml:space="preserve">“</w:t>
      </w:r>
      <w:r>
        <w:t xml:space="preserve">Database sharding reduces query latency for large datasets (15,000 SKUs) without the overhead of managing microservices (e.g., service discovery, inter-service communication). The development team can implement sharding using PostgreSQL’s table partitioning feature—minimizing learning curve.</w:t>
      </w:r>
      <w:r>
        <w:t xml:space="preserve">”</w:t>
      </w:r>
    </w:p>
    <w:p>
      <w:pPr>
        <w:pStyle w:val="FirstParagraph"/>
      </w:pPr>
      <w:r>
        <w:rPr>
          <w:bCs/>
          <w:b/>
        </w:rPr>
        <w:t xml:space="preserve">3. Usability vs. Security</w:t>
      </w:r>
    </w:p>
    <w:p>
      <w:pPr>
        <w:numPr>
          <w:ilvl w:val="0"/>
          <w:numId w:val="1015"/>
        </w:numPr>
        <w:pStyle w:val="Compact"/>
      </w:pPr>
      <w:r>
        <w:rPr>
          <w:bCs/>
          <w:b/>
        </w:rPr>
        <w:t xml:space="preserve">Scenario</w:t>
      </w:r>
      <w:r>
        <w:t xml:space="preserve">: Warehouse Staff want simplified logins, but security requires 2FA.</w:t>
      </w:r>
    </w:p>
    <w:p>
      <w:pPr>
        <w:numPr>
          <w:ilvl w:val="0"/>
          <w:numId w:val="1015"/>
        </w:numPr>
        <w:pStyle w:val="Compact"/>
      </w:pPr>
      <w:r>
        <w:rPr>
          <w:bCs/>
          <w:b/>
        </w:rPr>
        <w:t xml:space="preserve">Trade-off</w:t>
      </w:r>
      <w:r>
        <w:t xml:space="preserve">: Allow 2FA remember-me functionality (30-day session) for trusted devices.</w:t>
      </w:r>
    </w:p>
    <w:p>
      <w:pPr>
        <w:numPr>
          <w:ilvl w:val="0"/>
          <w:numId w:val="1015"/>
        </w:numPr>
        <w:pStyle w:val="Compact"/>
      </w:pPr>
      <w:r>
        <w:rPr>
          <w:bCs/>
          <w:b/>
        </w:rPr>
        <w:t xml:space="preserve">Rationale</w:t>
      </w:r>
      <w:r>
        <w:t xml:space="preserve">:</w:t>
      </w:r>
      <w:r>
        <w:t xml:space="preserve"> </w:t>
      </w:r>
      <w:r>
        <w:t xml:space="preserve">“</w:t>
      </w:r>
      <w:r>
        <w:t xml:space="preserve">2FA remember-me reduces login friction for staff using company-issued tablets (trusted devices) while maintaining security—untrusted devices (e.g., personal phones) require 2FA every login. This balances usability (faster logins) and security (no permanent 2FA bypass).</w:t>
      </w:r>
      <w:r>
        <w:t xml:space="preserve">”</w:t>
      </w:r>
    </w:p>
    <w:p>
      <w:pPr>
        <w:pStyle w:val="FirstParagraph"/>
      </w:pPr>
      <w:r>
        <w:rPr>
          <w:bCs/>
          <w:b/>
        </w:rPr>
        <w:t xml:space="preserve">5.3.2 Documenting Trade-offs in the SRS</w:t>
      </w:r>
    </w:p>
    <w:p>
      <w:pPr>
        <w:pStyle w:val="BodyText"/>
      </w:pPr>
      <w:r>
        <w:t xml:space="preserve">Each trade-off shall be documented in a</w:t>
      </w:r>
      <w:r>
        <w:t xml:space="preserve"> </w:t>
      </w:r>
      <w:r>
        <w:t xml:space="preserve">“</w:t>
      </w:r>
      <w:r>
        <w:t xml:space="preserve">Design Trade-off Register</w:t>
      </w:r>
      <w:r>
        <w:t xml:space="preserve">”</w:t>
      </w:r>
      <w:r>
        <w:t xml:space="preserve"> </w:t>
      </w:r>
      <w:r>
        <w:t xml:space="preserve">with the following fields: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Trade-off ID</w:t>
            </w:r>
          </w:p>
        </w:tc>
        <w:tc>
          <w:tcPr/>
          <w:p>
            <w:pPr>
              <w:pStyle w:val="Compact"/>
              <w:jc w:val="left"/>
            </w:pPr>
            <w:r>
              <w:t xml:space="preserve">Decision</w:t>
            </w:r>
          </w:p>
        </w:tc>
        <w:tc>
          <w:tcPr/>
          <w:p>
            <w:pPr>
              <w:pStyle w:val="Compact"/>
              <w:jc w:val="left"/>
            </w:pPr>
            <w:r>
              <w:t xml:space="preserve">Competing Priorities</w:t>
            </w:r>
          </w:p>
        </w:tc>
        <w:tc>
          <w:tcPr/>
          <w:p>
            <w:pPr>
              <w:pStyle w:val="Compact"/>
              <w:jc w:val="left"/>
            </w:pPr>
            <w:r>
              <w:t xml:space="preserve">Rationale</w:t>
            </w:r>
          </w:p>
        </w:tc>
        <w:tc>
          <w:tcPr/>
          <w:p>
            <w:pPr>
              <w:pStyle w:val="Compact"/>
              <w:jc w:val="left"/>
            </w:pPr>
            <w:r>
              <w:t xml:space="preserve">Stakeholder Approval</w:t>
            </w:r>
          </w:p>
        </w:tc>
      </w:tr>
      <w:tr>
        <w:tc>
          <w:tcPr/>
          <w:p>
            <w:pPr>
              <w:pStyle w:val="Compact"/>
              <w:jc w:val="left"/>
            </w:pPr>
            <w:r>
              <w:t xml:space="preserve">DT-001</w:t>
            </w:r>
          </w:p>
        </w:tc>
        <w:tc>
          <w:tcPr/>
          <w:p>
            <w:pPr>
              <w:pStyle w:val="Compact"/>
              <w:jc w:val="left"/>
            </w:pPr>
            <w:r>
              <w:t xml:space="preserve">Near-real-time updates (15min)</w:t>
            </w:r>
          </w:p>
        </w:tc>
        <w:tc>
          <w:tcPr/>
          <w:p>
            <w:pPr>
              <w:pStyle w:val="Compact"/>
              <w:jc w:val="left"/>
            </w:pPr>
            <w:r>
              <w:t xml:space="preserve">Performance vs. Cost</w:t>
            </w:r>
          </w:p>
        </w:tc>
        <w:tc>
          <w:tcPr/>
          <w:p>
            <w:pPr>
              <w:pStyle w:val="Compact"/>
              <w:jc w:val="left"/>
            </w:pPr>
            <w:r>
              <w:t xml:space="preserve">Reduces cloud costs by 75% without impacting operations</w:t>
            </w:r>
          </w:p>
        </w:tc>
        <w:tc>
          <w:tcPr/>
          <w:p>
            <w:pPr>
              <w:pStyle w:val="Compact"/>
              <w:jc w:val="left"/>
            </w:pPr>
            <w:r>
              <w:t xml:space="preserve">XYZ Retail CFO (May 15, 2024)</w:t>
            </w:r>
          </w:p>
        </w:tc>
      </w:tr>
      <w:tr>
        <w:tc>
          <w:tcPr/>
          <w:p>
            <w:pPr>
              <w:pStyle w:val="Compact"/>
              <w:jc w:val="left"/>
            </w:pPr>
            <w:r>
              <w:t xml:space="preserve">DT-002</w:t>
            </w:r>
          </w:p>
        </w:tc>
        <w:tc>
          <w:tcPr/>
          <w:p>
            <w:pPr>
              <w:pStyle w:val="Compact"/>
              <w:jc w:val="left"/>
            </w:pPr>
            <w:r>
              <w:t xml:space="preserve">Database sharding (by store)</w:t>
            </w:r>
          </w:p>
        </w:tc>
        <w:tc>
          <w:tcPr/>
          <w:p>
            <w:pPr>
              <w:pStyle w:val="Compact"/>
              <w:jc w:val="left"/>
            </w:pPr>
            <w:r>
              <w:t xml:space="preserve">Scalability vs. Complexity</w:t>
            </w:r>
          </w:p>
        </w:tc>
        <w:tc>
          <w:tcPr/>
          <w:p>
            <w:pPr>
              <w:pStyle w:val="Compact"/>
              <w:jc w:val="left"/>
            </w:pPr>
            <w:r>
              <w:t xml:space="preserve">Avoids microservices overhead; uses existing PostgreSQL skills</w:t>
            </w:r>
          </w:p>
        </w:tc>
        <w:tc>
          <w:tcPr/>
          <w:p>
            <w:pPr>
              <w:pStyle w:val="Compact"/>
              <w:jc w:val="left"/>
            </w:pPr>
            <w:r>
              <w:t xml:space="preserve">XYZ Retail IT Director (May 20, 2024)</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2026-10-09T09:58:34Z</dcterms:created>
  <dcterms:modified xsi:type="dcterms:W3CDTF">2026-10-09T09:58:34Z</dcterms:modified>
</cp:coreProperties>
</file>

<file path=docProps/custom.xml><?xml version="1.0" encoding="utf-8"?>
<Properties xmlns="http://schemas.openxmlformats.org/officeDocument/2006/custom-properties" xmlns:vt="http://schemas.openxmlformats.org/officeDocument/2006/docPropsVTypes"/>
</file>