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469bd5758b69ab1f01f6513a3eda0f92b33d770"/>
    <w:p>
      <w:pPr>
        <w:pStyle w:val="Heading1"/>
      </w:pPr>
      <w:r>
        <w:t xml:space="preserve">Core Components of the Technology Investigation Report</w:t>
      </w:r>
    </w:p>
    <w:p>
      <w:pPr>
        <w:pStyle w:val="FirstParagraph"/>
      </w:pPr>
      <w:r>
        <w:rPr>
          <w:bCs/>
          <w:b/>
        </w:rPr>
        <w:t xml:space="preserve">3.1 Technical Landscape Analysis</w:t>
      </w:r>
    </w:p>
    <w:p>
      <w:pPr>
        <w:pStyle w:val="BodyText"/>
      </w:pPr>
      <w:r>
        <w:rPr>
          <w:bCs/>
          <w:b/>
        </w:rPr>
        <w:t xml:space="preserve">3.1.1 Current Technology Assessment</w:t>
      </w:r>
    </w:p>
    <w:p>
      <w:pPr>
        <w:numPr>
          <w:ilvl w:val="0"/>
          <w:numId w:val="1001"/>
        </w:numPr>
        <w:pStyle w:val="Compact"/>
      </w:pPr>
      <w:r>
        <w:rPr>
          <w:bCs/>
          <w:b/>
        </w:rPr>
        <w:t xml:space="preserve">Legacy Systems</w:t>
      </w:r>
    </w:p>
    <w:p>
      <w:pPr>
        <w:numPr>
          <w:ilvl w:val="0"/>
          <w:numId w:val="1002"/>
        </w:numPr>
        <w:pStyle w:val="Compact"/>
      </w:pPr>
      <w:r>
        <w:t xml:space="preserve">When assessing legacy systems, it is crucial to first understand their architecture. For example, a large - scale enterprise may have a monolithic legacy system that has been in operation for decades. This monolithic system is often a single, self - contained unit where all the components are tightly coupled. The programming languages used in such systems could be COBOL (Common Business - Oriented Language), which was popular in the mid - 20th century for business - related data processing. COBOL was designed to be highly readable for business users, with its English - like syntax. However, it has significant limitations in the modern IT landscape.</w:t>
      </w:r>
    </w:p>
    <w:p>
      <w:pPr>
        <w:numPr>
          <w:ilvl w:val="0"/>
          <w:numId w:val="1002"/>
        </w:numPr>
        <w:pStyle w:val="Compact"/>
      </w:pPr>
      <w:r>
        <w:t xml:space="preserve">One major limitation of a monolithic legacy system is its inability to support microservices. Microservices have become a popular architectural style in modern software development, where an application is broken down into small, independent services that can be developed, deployed, and scaled independently. In a monolithic system, making a small change to one part of the application may require a complete redeployment of the entire system. For instance, if a company wants to add a new feature like real - time analytics to its e - commerce application running on a monolithic legacy system, the development process can be extremely complex and time - consuming. The tightly - coupled nature of the system means that any modification can have a cascading effect on other parts of the system, leading to potential system failures during the redeployment process.</w:t>
      </w:r>
    </w:p>
    <w:p>
      <w:pPr>
        <w:numPr>
          <w:ilvl w:val="0"/>
          <w:numId w:val="1002"/>
        </w:numPr>
        <w:pStyle w:val="Compact"/>
      </w:pPr>
      <w:r>
        <w:t xml:space="preserve">Another limitation of legacy systems is their poor performance in handling high - volume and high - velocity data. As the volume of data generated by businesses continues to grow exponentially, especially with the rise of IoT devices and big data applications, legacy systems struggle to keep up. For example, a manufacturing company that has a legacy inventory management system may face challenges when trying to integrate data from thousands of sensors installed on its production line. The legacy system may not be able to process the large amount of real - time data from these sensors fast enough, leading to delays in inventory updates and potentially affecting production schedules.</w:t>
      </w:r>
    </w:p>
    <w:p>
      <w:pPr>
        <w:numPr>
          <w:ilvl w:val="0"/>
          <w:numId w:val="1003"/>
        </w:numPr>
        <w:pStyle w:val="Compact"/>
      </w:pPr>
      <w:r>
        <w:rPr>
          <w:bCs/>
          <w:b/>
        </w:rPr>
        <w:t xml:space="preserve">Emerging Technologies</w:t>
      </w:r>
    </w:p>
    <w:p>
      <w:pPr>
        <w:numPr>
          <w:ilvl w:val="0"/>
          <w:numId w:val="1004"/>
        </w:numPr>
        <w:pStyle w:val="Compact"/>
      </w:pPr>
      <w:r>
        <w:t xml:space="preserve">Edge computing is an emerging technology that has gained significant attention, especially in the context of low - latency IoT applications. In traditional cloud - based computing models, data generated by IoT devices is sent to a centralized cloud data center for processing. However, this can introduce significant latency, especially for applications that require real - time decision - making. For example, in a self - driving car application, milliseconds can make a difference between a safe driving experience and a potential accident. Edge computing allows data to be processed closer to the source of data generation, i.e., at the edge of the network, which reduces latency.</w:t>
      </w:r>
    </w:p>
    <w:p>
      <w:pPr>
        <w:numPr>
          <w:ilvl w:val="0"/>
          <w:numId w:val="1004"/>
        </w:numPr>
        <w:pStyle w:val="Compact"/>
      </w:pPr>
      <w:r>
        <w:t xml:space="preserve">When assessing the maturity levels of emerging technologies like edge computing, the Gartner Hype Cycle can be a useful tool. The Gartner Hype Cycle maps the lifecycle of a technology from its initial innovation trigger to its eventual plateau of productivity. In the case of edge computing, it has moved beyond the initial hype phase. It is currently in the</w:t>
      </w:r>
      <w:r>
        <w:t xml:space="preserve"> </w:t>
      </w:r>
      <w:r>
        <w:t xml:space="preserve">“</w:t>
      </w:r>
      <w:r>
        <w:t xml:space="preserve">Slope of Enlightenment</w:t>
      </w:r>
      <w:r>
        <w:t xml:space="preserve">”</w:t>
      </w:r>
      <w:r>
        <w:t xml:space="preserve"> </w:t>
      </w:r>
      <w:r>
        <w:t xml:space="preserve">phase, where the technology’s true value is starting to be realized, and more practical applications are being developed. However, there are still challenges to overcome, such as ensuring seamless integration between edge devices and cloud - based services, and addressing security concerns at the edge.</w:t>
      </w:r>
    </w:p>
    <w:p>
      <w:pPr>
        <w:numPr>
          <w:ilvl w:val="0"/>
          <w:numId w:val="1004"/>
        </w:numPr>
        <w:pStyle w:val="Compact"/>
      </w:pPr>
      <w:r>
        <w:t xml:space="preserve">Another emerging technology is quantum computing, which has the potential to revolutionize many industries, including finance, healthcare, and logistics. Quantum computers use quantum bits (qubits) instead of traditional bits, allowing them to perform complex calculations at speeds that are orders of magnitude faster than classical computers. However, quantum computing is still in the early stages of development. According to the Gartner Hype Cycle, it is currently in the</w:t>
      </w:r>
      <w:r>
        <w:t xml:space="preserve"> </w:t>
      </w:r>
      <w:r>
        <w:t xml:space="preserve">“</w:t>
      </w:r>
      <w:r>
        <w:t xml:space="preserve">Innovation Trigger</w:t>
      </w:r>
      <w:r>
        <w:t xml:space="preserve">”</w:t>
      </w:r>
      <w:r>
        <w:t xml:space="preserve"> </w:t>
      </w:r>
      <w:r>
        <w:t xml:space="preserve">phase, with many theoretical concepts being explored, but practical, large - scale applications are still a long way off. There are significant challenges in building stable and reliable quantum computers, as qubits are extremely sensitive to environmental factors, and error correction in quantum computing is a complex problem.</w:t>
      </w:r>
    </w:p>
    <w:p>
      <w:pPr>
        <w:pStyle w:val="FirstParagraph"/>
      </w:pPr>
      <w:r>
        <w:rPr>
          <w:bCs/>
          <w:b/>
        </w:rPr>
        <w:t xml:space="preserve">3.1.2 Competitor Analysis</w:t>
      </w:r>
    </w:p>
    <w:p>
      <w:pPr>
        <w:numPr>
          <w:ilvl w:val="0"/>
          <w:numId w:val="1005"/>
        </w:numPr>
        <w:pStyle w:val="Compact"/>
      </w:pPr>
      <w:r>
        <w:rPr>
          <w:bCs/>
          <w:b/>
        </w:rPr>
        <w:t xml:space="preserve">Solution Benchmarking</w:t>
      </w:r>
    </w:p>
    <w:p>
      <w:pPr>
        <w:numPr>
          <w:ilvl w:val="0"/>
          <w:numId w:val="1006"/>
        </w:numPr>
        <w:pStyle w:val="Compact"/>
      </w:pPr>
      <w:r>
        <w:t xml:space="preserve">Comparing the scalability, security, and cost - efficiency of rival products is an essential part of competitor analysis. In the CRM (Customer Relationship Management) space, Salesforce is a well - known and widely used solution. When benchmarking a custom - built CRM solution against Salesforce, scalability is a key factor. Salesforce is designed to be highly scalable, able to handle a large number of customers, contacts, and transactions. It can scale horizontally by adding more servers in the cloud infrastructure, allowing it to serve enterprises of all sizes, from small startups to large multinational corporations.</w:t>
      </w:r>
    </w:p>
    <w:p>
      <w:pPr>
        <w:numPr>
          <w:ilvl w:val="0"/>
          <w:numId w:val="1006"/>
        </w:numPr>
        <w:pStyle w:val="Compact"/>
      </w:pPr>
      <w:r>
        <w:t xml:space="preserve">Security is another crucial aspect. Salesforce invests heavily in security measures, including data encryption, multi - factor authentication, and regular security audits. A custom - built CRM solution needs to be compared against these security features. For example, if the custom - built solution does not have strong encryption for customer data at rest and in transit, it may be at a significant disadvantage in terms of security. Cost - efficiency is also important. Salesforce typically charges a subscription - based fee, which includes software updates, maintenance, and support. A custom - built solution may have higher upfront development costs, including hiring developers, purchasing hardware (if it is an on - premise solution), and ongoing maintenance costs. However, in the long run, a custom - built solution may be more cost - effective for some companies if it can be tailored precisely to their unique business processes and requirements.</w:t>
      </w:r>
    </w:p>
    <w:p>
      <w:pPr>
        <w:numPr>
          <w:ilvl w:val="0"/>
          <w:numId w:val="1007"/>
        </w:numPr>
        <w:pStyle w:val="Compact"/>
      </w:pPr>
      <w:r>
        <w:rPr>
          <w:bCs/>
          <w:b/>
        </w:rPr>
        <w:t xml:space="preserve">Gap Identification</w:t>
      </w:r>
    </w:p>
    <w:p>
      <w:pPr>
        <w:numPr>
          <w:ilvl w:val="0"/>
          <w:numId w:val="1008"/>
        </w:numPr>
        <w:pStyle w:val="Compact"/>
      </w:pPr>
      <w:r>
        <w:t xml:space="preserve">Highlighting areas where the development house can differentiate is crucial for gaining a competitive edge. In the marketing automation tool space, many companies are vying for market share. If a development house can offer superior AI - driven analytics, it can set itself apart from competitors. For example, most marketing automation tools may offer basic analytics, such as click - through rates and conversion rates. However, a development house that can develop a marketing automation tool with advanced AI - driven analytics can provide more in - depth insights.</w:t>
      </w:r>
    </w:p>
    <w:p>
      <w:pPr>
        <w:numPr>
          <w:ilvl w:val="0"/>
          <w:numId w:val="1008"/>
        </w:numPr>
        <w:pStyle w:val="Compact"/>
      </w:pPr>
      <w:r>
        <w:t xml:space="preserve">The AI - driven analytics can analyze large volumes of customer data from multiple sources, such as social media, email interactions, and website behavior. It can then predict customer behavior, such as which customers are likely to make a purchase in the next few weeks or which customers are at risk of churning. This level of predictive analytics can help businesses make more informed decisions, such as which marketing campaigns to target at specific customer segments. By offering such unique and valuable features, the development house can attract more clients who are looking for a more advanced and effective marketing automation solution. Another area of differentiation could be in the user experience. If the development house can create a more intuitive and user - friendly interface for its marketing automation tool compared to competitors, it can also gain an edge in the market, as users are more likely to adopt and use a tool that is easy to navigate and understand.</w:t>
      </w:r>
    </w:p>
    <w:p>
      <w:pPr>
        <w:pStyle w:val="FirstParagraph"/>
      </w:pPr>
      <w:r>
        <w:rPr>
          <w:bCs/>
          <w:b/>
        </w:rPr>
        <w:t xml:space="preserve">3.2 Requirement Analysis and Specification</w:t>
      </w:r>
    </w:p>
    <w:p>
      <w:pPr>
        <w:pStyle w:val="BodyText"/>
      </w:pPr>
      <w:r>
        <w:rPr>
          <w:bCs/>
          <w:b/>
        </w:rPr>
        <w:t xml:space="preserve">3.2.1 Functional Requirements Mapping</w:t>
      </w:r>
    </w:p>
    <w:p>
      <w:pPr>
        <w:numPr>
          <w:ilvl w:val="0"/>
          <w:numId w:val="1009"/>
        </w:numPr>
        <w:pStyle w:val="Compact"/>
      </w:pPr>
      <w:r>
        <w:rPr>
          <w:bCs/>
          <w:b/>
        </w:rPr>
        <w:t xml:space="preserve">Use Cases</w:t>
      </w:r>
    </w:p>
    <w:p>
      <w:pPr>
        <w:numPr>
          <w:ilvl w:val="0"/>
          <w:numId w:val="1010"/>
        </w:numPr>
        <w:pStyle w:val="Compact"/>
      </w:pPr>
      <w:r>
        <w:t xml:space="preserve">Defining use cases is a fundamental step in mapping client needs to technical specifications. Consider a scenario in a business intelligence (BI) project. A common use case could be</w:t>
      </w:r>
      <w:r>
        <w:t xml:space="preserve"> </w:t>
      </w:r>
      <w:r>
        <w:t xml:space="preserve">“</w:t>
      </w:r>
      <w:r>
        <w:t xml:space="preserve">As a business analyst, I want to generate real - time reports.</w:t>
      </w:r>
      <w:r>
        <w:t xml:space="preserve">”</w:t>
      </w:r>
      <w:r>
        <w:t xml:space="preserve"> </w:t>
      </w:r>
      <w:r>
        <w:t xml:space="preserve">To translate this use case into technical specifications, the first step is to identify the data sources. The data may come from various databases, such as a relational database like MySQL that stores transactional data, or a data warehouse like Amazon Redshift that is optimized for analytics.</w:t>
      </w:r>
    </w:p>
    <w:p>
      <w:pPr>
        <w:numPr>
          <w:ilvl w:val="0"/>
          <w:numId w:val="1010"/>
        </w:numPr>
        <w:pStyle w:val="Compact"/>
      </w:pPr>
      <w:r>
        <w:t xml:space="preserve">The API requirements for generating real - time reports would involve APIs that can query the data sources efficiently. For example, if the data is in a MySQL database, the BI tool may need to use the MySQL API to retrieve the relevant data. The API should be able to handle complex queries, such as aggregating data over different time periods or filtering data based on specific criteria. In terms of the database schema, it needs to be designed in a way that supports the generation of real - time reports. This may involve having proper indexing on the columns that are frequently used in the report queries. For instance, if the reports often analyze sales data by region, the</w:t>
      </w:r>
      <w:r>
        <w:t xml:space="preserve"> </w:t>
      </w:r>
      <w:r>
        <w:t xml:space="preserve">“</w:t>
      </w:r>
      <w:r>
        <w:t xml:space="preserve">region</w:t>
      </w:r>
      <w:r>
        <w:t xml:space="preserve">”</w:t>
      </w:r>
      <w:r>
        <w:t xml:space="preserve"> </w:t>
      </w:r>
      <w:r>
        <w:t xml:space="preserve">column in the sales table should be indexed to speed up the query execution.</w:t>
      </w:r>
    </w:p>
    <w:p>
      <w:pPr>
        <w:numPr>
          <w:ilvl w:val="0"/>
          <w:numId w:val="1011"/>
        </w:numPr>
        <w:pStyle w:val="Compact"/>
      </w:pPr>
      <w:r>
        <w:rPr>
          <w:bCs/>
          <w:b/>
        </w:rPr>
        <w:t xml:space="preserve">Performance Metrics</w:t>
      </w:r>
    </w:p>
    <w:p>
      <w:pPr>
        <w:numPr>
          <w:ilvl w:val="0"/>
          <w:numId w:val="1012"/>
        </w:numPr>
        <w:pStyle w:val="Compact"/>
      </w:pPr>
      <w:r>
        <w:t xml:space="preserve">Specifying non - functional requirements, such as response time and system uptime, is crucial for ensuring the quality of the final product. In a high - traffic e - commerce application, response time is a critical performance metric. For critical operations like adding an item to the cart or proceeding to checkout, a response time of less than 200ms is often desirable. This ensures that users have a seamless and fast shopping experience. If the response time is too long, users may abandon their shopping carts, leading to a loss of potential sales for the e - commerce business.</w:t>
      </w:r>
    </w:p>
    <w:p>
      <w:pPr>
        <w:numPr>
          <w:ilvl w:val="0"/>
          <w:numId w:val="1012"/>
        </w:numPr>
        <w:pStyle w:val="Compact"/>
      </w:pPr>
      <w:r>
        <w:t xml:space="preserve">System uptime is another important metric. A goal of 99.95% availability means that the system can be down for only a maximum of 21.9 minutes per month. To achieve this level of availability, various strategies need to be in place. This may include having redundant servers, load - balancing techniques, and automated failover mechanisms. For example, in a cloud - based e - commerce application running on Amazon Web Services (AWS), multiple EC2 instances can be set up in different availability zones. If one instance fails, the load - balancer can automatically redirect traffic to another instance, ensuring that the application remains available to users.</w:t>
      </w:r>
    </w:p>
    <w:p>
      <w:pPr>
        <w:pStyle w:val="FirstParagraph"/>
      </w:pPr>
      <w:r>
        <w:rPr>
          <w:bCs/>
          <w:b/>
        </w:rPr>
        <w:t xml:space="preserve">3.2.2 Regulatory and Compliance Considerations</w:t>
      </w:r>
    </w:p>
    <w:p>
      <w:pPr>
        <w:numPr>
          <w:ilvl w:val="0"/>
          <w:numId w:val="1013"/>
        </w:numPr>
        <w:pStyle w:val="Compact"/>
      </w:pPr>
      <w:r>
        <w:rPr>
          <w:bCs/>
          <w:b/>
        </w:rPr>
        <w:t xml:space="preserve">Data Protection Laws</w:t>
      </w:r>
    </w:p>
    <w:p>
      <w:pPr>
        <w:numPr>
          <w:ilvl w:val="0"/>
          <w:numId w:val="1014"/>
        </w:numPr>
        <w:pStyle w:val="Compact"/>
      </w:pPr>
      <w:r>
        <w:t xml:space="preserve">In the digital age, data protection laws are becoming increasingly stringent. The California Consumer Privacy Act (CCPA) in the United States and the ISO 27001 standard globally are examples of regulations that businesses must comply with. When it comes to data storage, under CCPA, companies must disclose to consumers what personal information they are collecting, how it is being used, and with whom it is being shared. For example, if an e - commerce company is collecting customer names, addresses, and purchase history, it must clearly inform the customers about these data collection practices.</w:t>
      </w:r>
    </w:p>
    <w:p>
      <w:pPr>
        <w:numPr>
          <w:ilvl w:val="0"/>
          <w:numId w:val="1014"/>
        </w:numPr>
        <w:pStyle w:val="Compact"/>
      </w:pPr>
      <w:r>
        <w:t xml:space="preserve">In terms of data transmission, ISO 27001 requires the use of encryption to protect data as it travels over networks. A financial institution that is transmitting customer account information between its branches or to third - party service providers must use encryption protocols such as SSL/TLS (Secure Sockets Layer/Transport Layer Security) to ensure that the data is not intercepted or tampered with during transmission. Failure to comply with these data protection laws can result in significant financial penalties and damage to the company’s reputation.</w:t>
      </w:r>
    </w:p>
    <w:p>
      <w:pPr>
        <w:numPr>
          <w:ilvl w:val="0"/>
          <w:numId w:val="1015"/>
        </w:numPr>
        <w:pStyle w:val="Compact"/>
      </w:pPr>
      <w:r>
        <w:rPr>
          <w:bCs/>
          <w:b/>
        </w:rPr>
        <w:t xml:space="preserve">Accessibility Standards</w:t>
      </w:r>
    </w:p>
    <w:p>
      <w:pPr>
        <w:numPr>
          <w:ilvl w:val="0"/>
          <w:numId w:val="1016"/>
        </w:numPr>
        <w:pStyle w:val="Compact"/>
      </w:pPr>
      <w:r>
        <w:t xml:space="preserve">Addressing accessibility standards, such as the Americans with Disabilities Act (ADA) in the United States or the Web Content Accessibility Guidelines (WCAG) globally, is essential for ensuring that all users, including those with disabilities, can access and use digital products. For a government portal, screen reader compatibility is a crucial requirement under WCAG. Screen readers are software applications that allow visually impaired users to access the content of a website by reading it aloud.</w:t>
      </w:r>
    </w:p>
    <w:p>
      <w:pPr>
        <w:numPr>
          <w:ilvl w:val="0"/>
          <w:numId w:val="1016"/>
        </w:numPr>
        <w:pStyle w:val="Compact"/>
      </w:pPr>
      <w:r>
        <w:t xml:space="preserve">To ensure screen reader compatibility, web developers need to use proper HTML tags and provide alternative text for images. For example, if there is an image on the government portal that represents a particular service, an alt - text description should be provided so that screen readers can convey the meaning of the image to visually impaired users. The layout of the website should also be logical and easy to navigate using keyboard controls, as many users with disabilities rely on keyboards instead of mice. Additionally, the color contrast between text and its background should be sufficient to ensure readability for users with low vision.</w:t>
      </w:r>
    </w:p>
    <w:p>
      <w:pPr>
        <w:pStyle w:val="FirstParagraph"/>
      </w:pPr>
      <w:r>
        <w:rPr>
          <w:bCs/>
          <w:b/>
        </w:rPr>
        <w:t xml:space="preserve">3.3 Feasibility and Viability Assessment</w:t>
      </w:r>
    </w:p>
    <w:p>
      <w:pPr>
        <w:pStyle w:val="BodyText"/>
      </w:pPr>
      <w:r>
        <w:rPr>
          <w:bCs/>
          <w:b/>
        </w:rPr>
        <w:t xml:space="preserve">3.3.1 Technical Feasibility</w:t>
      </w:r>
    </w:p>
    <w:p>
      <w:pPr>
        <w:numPr>
          <w:ilvl w:val="0"/>
          <w:numId w:val="1017"/>
        </w:numPr>
        <w:pStyle w:val="Compact"/>
      </w:pPr>
      <w:r>
        <w:rPr>
          <w:bCs/>
          <w:b/>
        </w:rPr>
        <w:t xml:space="preserve">Skill Gap Analysis</w:t>
      </w:r>
    </w:p>
    <w:p>
      <w:pPr>
        <w:numPr>
          <w:ilvl w:val="0"/>
          <w:numId w:val="1018"/>
        </w:numPr>
        <w:pStyle w:val="Compact"/>
      </w:pPr>
      <w:r>
        <w:t xml:space="preserve">Identifying missing competencies within the development house is a key part of assessing technical feasibility. In the emerging field of quantum computing, many IT development houses may lack experience with quantum computing APIs. For example, if a client requests the development of a quantum - enhanced optimization algorithm for their supply chain management system, the development house may find that its developers do not have the necessary skills in quantum programming languages like Qiskit (developed by IBM) or Cirq (developed by Google).</w:t>
      </w:r>
    </w:p>
    <w:p>
      <w:pPr>
        <w:numPr>
          <w:ilvl w:val="0"/>
          <w:numId w:val="1018"/>
        </w:numPr>
        <w:pStyle w:val="Compact"/>
      </w:pPr>
      <w:r>
        <w:t xml:space="preserve">To address this skill gap, the development house can propose training programs for its existing developers. These training programs can be in - house workshops led by external quantum computing experts or online courses from reputable platforms. Another option is to form partnerships with research institutions or companies that have expertise in quantum computing. For example, the development house could partner with a university’s quantum computing research lab. This partnership can provide access to the latest research in the field, as well as the opportunity to collaborate with researchers who are at the forefront of quantum computing development.</w:t>
      </w:r>
    </w:p>
    <w:p>
      <w:pPr>
        <w:numPr>
          <w:ilvl w:val="0"/>
          <w:numId w:val="1019"/>
        </w:numPr>
        <w:pStyle w:val="Compact"/>
      </w:pPr>
      <w:r>
        <w:rPr>
          <w:bCs/>
          <w:b/>
        </w:rPr>
        <w:t xml:space="preserve">Interoperability Checks</w:t>
      </w:r>
    </w:p>
    <w:p>
      <w:pPr>
        <w:numPr>
          <w:ilvl w:val="0"/>
          <w:numId w:val="1020"/>
        </w:numPr>
        <w:pStyle w:val="Compact"/>
      </w:pPr>
      <w:r>
        <w:t xml:space="preserve">Ensuring that proposed technologies can integrate with existing systems is crucial for the success of any IT project. In a retail environment, consider the case of a new payment gateway. The new payment gateway needs to be able to integrate with the legacy Point - of - Sale (POS) systems. The legacy POS systems may have been developed using older technologies and may have their own proprietary data formats and communication protocols.</w:t>
      </w:r>
    </w:p>
    <w:p>
      <w:pPr>
        <w:numPr>
          <w:ilvl w:val="0"/>
          <w:numId w:val="1020"/>
        </w:numPr>
        <w:pStyle w:val="Compact"/>
      </w:pPr>
      <w:r>
        <w:t xml:space="preserve">To verify interoperability, the development house needs to conduct a series of tests. This may involve testing the data transfer between the new payment gateway and the legacy POS system. For example, when a customer makes a payment using the new payment gateway, the POS system should be able to receive the payment information accurately, update the inventory system (if applicable), and generate a receipt. The development house may need to develop middleware or use integration platforms to facilitate the communication between the two systems. Additionally, security aspects of the integration need to be considered, such as ensuring that the payment data is encrypted during transfer and that the systems are protected against common security threats like man - in - the - middle attacks.</w:t>
      </w:r>
    </w:p>
    <w:p>
      <w:pPr>
        <w:pStyle w:val="FirstParagraph"/>
      </w:pPr>
      <w:r>
        <w:rPr>
          <w:bCs/>
          <w:b/>
        </w:rPr>
        <w:t xml:space="preserve">3.3.2 Economic Viability</w:t>
      </w:r>
    </w:p>
    <w:p>
      <w:pPr>
        <w:numPr>
          <w:ilvl w:val="0"/>
          <w:numId w:val="1021"/>
        </w:numPr>
        <w:pStyle w:val="Compact"/>
      </w:pPr>
      <w:r>
        <w:rPr>
          <w:bCs/>
          <w:b/>
        </w:rPr>
        <w:t xml:space="preserve">Development Costs</w:t>
      </w:r>
    </w:p>
    <w:p>
      <w:pPr>
        <w:numPr>
          <w:ilvl w:val="0"/>
          <w:numId w:val="1022"/>
        </w:numPr>
      </w:pPr>
      <w:r>
        <w:t xml:space="preserve">Conducting a detailed breakdown of development costs is essential for assessing economic viability. In a project to develop a custom - built enterprise resource planning (ERP) system, there are several cost components. Licensing costs may be involved if the development house uses third - party software components, such as a database management system like Oracle Database. The cost of licensing Oracle Database can vary depending on the number of users, the edition of the software, and the support services required.</w:t>
      </w:r>
    </w:p>
    <w:p>
      <w:pPr>
        <w:numPr>
          <w:ilvl w:val="0"/>
          <w:numId w:val="1022"/>
        </w:numPr>
      </w:pPr>
      <w:r>
        <w:t xml:space="preserve">Hardware costs are also significant. If the ERP system is to be hosted on - premise, the development house may need to purchase servers, storage devices, and networking equipment. For example, setting up a cloud - based server infrastructure on AWS for a medium - sized company may cost around 150,000. This includes salaries, benefits, and any external consulting fees if needed.</w:t>
      </w:r>
    </w:p>
    <w:p>
      <w:pPr>
        <w:numPr>
          <w:ilvl w:val="0"/>
          <w:numId w:val="1000"/>
        </w:numPr>
      </w:pPr>
      <w:r>
        <w:t xml:space="preserve">50,000.</w:t>
      </w:r>
      <w:r>
        <w:rPr>
          <w:iCs/>
          <w:i/>
        </w:rPr>
        <w:t xml:space="preserve">ThisincludesthecostofEC</w:t>
      </w:r>
      <w:r>
        <w:t xml:space="preserve">2</w:t>
      </w:r>
      <w:r>
        <w:rPr>
          <w:iCs/>
          <w:i/>
        </w:rPr>
        <w:t xml:space="preserve">instances</w:t>
      </w:r>
      <w:r>
        <w:t xml:space="preserve">,</w:t>
      </w:r>
      <w:r>
        <w:rPr>
          <w:iCs/>
          <w:i/>
        </w:rPr>
        <w:t xml:space="preserve">S</w:t>
      </w:r>
      <w:r>
        <w:t xml:space="preserve">3</w:t>
      </w:r>
      <w:r>
        <w:rPr>
          <w:iCs/>
          <w:i/>
        </w:rPr>
        <w:t xml:space="preserve">storage</w:t>
      </w:r>
      <w:r>
        <w:t xml:space="preserve">,</w:t>
      </w:r>
      <w:r>
        <w:rPr>
          <w:iCs/>
          <w:i/>
        </w:rPr>
        <w:t xml:space="preserve">andotherrelatedservices</w:t>
      </w:r>
      <w:r>
        <w:t xml:space="preserve">.</w:t>
      </w:r>
      <w:r>
        <w:rPr>
          <w:iCs/>
          <w:i/>
        </w:rPr>
        <w:t xml:space="preserve">Humanresourcesareanothermajorcostfactor</w:t>
      </w:r>
      <w:r>
        <w:t xml:space="preserve">.</w:t>
      </w:r>
      <w:r>
        <w:rPr>
          <w:iCs/>
          <w:i/>
        </w:rPr>
        <w:t xml:space="preserve">A</w:t>
      </w:r>
      <w:r>
        <w:t xml:space="preserve">6−</w:t>
      </w:r>
      <w:r>
        <w:rPr>
          <w:iCs/>
          <w:i/>
        </w:rPr>
        <w:t xml:space="preserve">monthdevelopmentteamfortheERPsystem</w:t>
      </w:r>
      <w:r>
        <w:t xml:space="preserve">,</w:t>
      </w:r>
      <w:r>
        <w:rPr>
          <w:iCs/>
          <w:i/>
        </w:rPr>
        <w:t xml:space="preserve">consistingofsoftwaredevelopers</w:t>
      </w:r>
      <w:r>
        <w:t xml:space="preserve">,</w:t>
      </w:r>
      <w:r>
        <w:rPr>
          <w:iCs/>
          <w:i/>
        </w:rPr>
        <w:t xml:space="preserve">projectmanagers</w:t>
      </w:r>
      <w:r>
        <w:t xml:space="preserve">,</w:t>
      </w:r>
      <w:r>
        <w:rPr>
          <w:iCs/>
          <w:i/>
        </w:rPr>
        <w:t xml:space="preserve">andqualityassurancetesters</w:t>
      </w:r>
      <w:r>
        <w:t xml:space="preserve">,</w:t>
      </w:r>
      <w:r>
        <w:rPr>
          <w:iCs/>
          <w:i/>
        </w:rPr>
        <w:t xml:space="preserve">maycostaround</w:t>
      </w:r>
    </w:p>
    <w:p>
      <w:pPr>
        <w:numPr>
          <w:ilvl w:val="0"/>
          <w:numId w:val="1023"/>
        </w:numPr>
        <w:pStyle w:val="Compact"/>
      </w:pPr>
      <w:r>
        <w:rPr>
          <w:bCs/>
          <w:b/>
        </w:rPr>
        <w:t xml:space="preserve">ROI Projection</w:t>
      </w:r>
    </w:p>
    <w:p>
      <w:pPr>
        <w:numPr>
          <w:ilvl w:val="0"/>
          <w:numId w:val="1024"/>
        </w:numPr>
        <w:pStyle w:val="Compact"/>
      </w:pPr>
      <w:r>
        <w:t xml:space="preserve">Estimating the long - term benefits, such as reduced operational costs or increased client retention due to improved system performance, is crucial for justifying the investment in a new technology. In the case of a customer relationship management (CRM) system upgrade, the new system may lead to reduced operational costs. For example, the new CRM system may automate many manual tasks, such as lead qualification and customer follow - up. This can reduce the need for a large sales and marketing team, leading to cost savings in terms of salaries and training.</w:t>
      </w:r>
    </w:p>
    <w:p>
      <w:pPr>
        <w:numPr>
          <w:ilvl w:val="0"/>
          <w:numId w:val="1024"/>
        </w:numPr>
        <w:pStyle w:val="Compact"/>
      </w:pPr>
      <w:r>
        <w:t xml:space="preserve">Improved system performance can also lead to increased client retention. If the new CRM system provides better customer service, such as faster response times to customer inquiries and more personalized interactions, customers are more likely to stay with the company. For example, a study may show that for every 10% improvement in customer service due to the new CRM system, client retention increases by 5%. This increase in client retention can lead to higher revenues in the long run, as existing customers are more likely to make repeat purchases and recommend the company to others. By projecting these long - term benefits and comparing them to the development costs, the development house can assess the economic viability of the proposed technology.</w:t>
      </w:r>
    </w:p>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2026-10-09T09:58:34Z</dcterms:created>
  <dcterms:modified xsi:type="dcterms:W3CDTF">2026-10-09T09:58:34Z</dcterms:modified>
</cp:coreProperties>
</file>

<file path=docProps/custom.xml><?xml version="1.0" encoding="utf-8"?>
<Properties xmlns="http://schemas.openxmlformats.org/officeDocument/2006/custom-properties" xmlns:vt="http://schemas.openxmlformats.org/officeDocument/2006/docPropsVTypes"/>
</file>