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36a359851efcf6b8160d9a728caccfb9195134"/>
    <w:p>
      <w:pPr>
        <w:pStyle w:val="Heading1"/>
      </w:pPr>
      <w:r>
        <w:t xml:space="preserve">Case Studies: Successes and Challenges in Licensing Strategy</w:t>
      </w:r>
    </w:p>
    <w:p>
      <w:pPr>
        <w:pStyle w:val="FirstParagraph"/>
      </w:pPr>
      <w:r>
        <w:rPr>
          <w:bCs/>
          <w:b/>
        </w:rPr>
        <w:t xml:space="preserve">5.1 Success Story: Adobe’s Transition to Subscriptions</w:t>
      </w:r>
    </w:p>
    <w:p>
      <w:pPr>
        <w:pStyle w:val="BodyText"/>
      </w:pPr>
      <w:r>
        <w:t xml:space="preserve">Adobe’s shift from perpetual licenses to the Creative Cloud subscription model stands as a remarkable case study in the evolution of software licensing strategies. Historically, Adobe’s suite of creative software, including Photoshop, Illustrator, and InDesign, was sold primarily through perpetual licenses. Users paid a one - time, substantial fee to own a particular version of the software. However, this model presented several challenges. Firstly, piracy was a significant issue. The high cost of perpetual licenses made illegal copying an attractive option for some users, leading to revenue losses for Adobe. Secondly, the pace of technological change was such that keeping the software up - to - date with the latest features and improvements became a complex task. With perpetual licenses, users often had to purchase a new version of the software at a high cost to access new functionality.</w:t>
      </w:r>
    </w:p>
    <w:p>
      <w:pPr>
        <w:pStyle w:val="BodyText"/>
      </w:pPr>
      <w:r>
        <w:t xml:space="preserve">In response, Adobe made a bold move to transition to the Creative Cloud subscription model. Under this model, users pay a monthly or annual fee to access the entire suite of Adobe’s creative software. This change brought about several significant benefits.</w:t>
      </w:r>
    </w:p>
    <w:p>
      <w:pPr>
        <w:pStyle w:val="BodyText"/>
      </w:pPr>
      <w:r>
        <w:rPr>
          <w:bCs/>
          <w:b/>
        </w:rPr>
        <w:t xml:space="preserve">Revenue Transformation</w:t>
      </w:r>
    </w:p>
    <w:p>
      <w:pPr>
        <w:pStyle w:val="BodyText"/>
      </w:pPr>
      <w:r>
        <w:t xml:space="preserve">The subscription model has driven recurring revenue for Adobe. Instead of relying on large, intermittent sales of perpetual licenses, Adobe now has a steady stream of income from its subscribers. This has provided the company with greater financial stability and predictability. For example, in the first quarter of 2023, Adobe reported a significant increase in its subscription revenue, which accounted for a large portion of its overall earnings. This stable revenue source has allowed Adobe to invest more in research and development, further enhancing the features and capabilities of its software.</w:t>
      </w:r>
    </w:p>
    <w:p>
      <w:pPr>
        <w:pStyle w:val="BodyText"/>
      </w:pPr>
      <w:r>
        <w:rPr>
          <w:bCs/>
          <w:b/>
        </w:rPr>
        <w:t xml:space="preserve">Piracy Reduction</w:t>
      </w:r>
    </w:p>
    <w:p>
      <w:pPr>
        <w:pStyle w:val="BodyText"/>
      </w:pPr>
      <w:r>
        <w:t xml:space="preserve">One of the most notable successes of the Creative Cloud model is the reduction in piracy. Since the software is accessed through a subscription and is often cloud - based, it becomes more difficult for unauthorized users to copy and distribute the software. Adobe can also implement more robust digital rights management (DRM) measures as part of the subscription service. For instance, the software may require regular authentication with Adobe’s servers, ensuring that only legitimate subscribers can access it. This has led to a significant decrease in the number of pirated copies of Adobe software in circulation, protecting the company’s intellectual property and revenue streams.</w:t>
      </w:r>
    </w:p>
    <w:p>
      <w:pPr>
        <w:pStyle w:val="BodyText"/>
      </w:pPr>
      <w:r>
        <w:rPr>
          <w:bCs/>
          <w:b/>
        </w:rPr>
        <w:t xml:space="preserve">User - Behavior Alignment</w:t>
      </w:r>
    </w:p>
    <w:p>
      <w:pPr>
        <w:pStyle w:val="BodyText"/>
      </w:pPr>
      <w:r>
        <w:t xml:space="preserve">The shift to subscriptions aligns better with modern user behavior, especially in digital workflows. In today’s creative industries, where projects often require the use of the latest software features and seamless integration across different applications, users value access over ownership. For example, a graphic designer working on a high - profile advertising campaign may need to use the latest version of Photoshop with new features for advanced photo - manipulation and the ability to collaborate in real - time with other team members using cloud - based services. With the Creative Cloud subscription, the designer can easily access these features without having to worry about purchasing a new version of the software every time there is an update. This adaptability to user needs has not only increased user satisfaction but has also made Adobe’s software more competitive in the market.</w:t>
      </w:r>
    </w:p>
    <w:p>
      <w:pPr>
        <w:pStyle w:val="BodyText"/>
      </w:pPr>
      <w:r>
        <w:rPr>
          <w:bCs/>
          <w:b/>
        </w:rPr>
        <w:t xml:space="preserve">Key Takeaway</w:t>
      </w:r>
    </w:p>
    <w:p>
      <w:pPr>
        <w:pStyle w:val="BodyText"/>
      </w:pPr>
      <w:r>
        <w:t xml:space="preserve">Adobe’s experience highlights the importance of aligning licensing models with user behavior. By understanding that modern users in the creative space prefer continuous access to up - to - date software and are more willing to pay a recurring fee for this convenience, Adobe was able to transform its business model. IT development houses can learn from this example and consider how they can adapt their licensing models to better meet the evolving needs of their target users. Whether it’s in the creative, business, or other software - related industries, a licensing model that caters to user preferences for access, flexibility, and continuous improvement can be a key driver of success.</w:t>
      </w:r>
    </w:p>
    <w:p>
      <w:pPr>
        <w:pStyle w:val="BodyText"/>
      </w:pPr>
      <w:r>
        <w:rPr>
          <w:bCs/>
          <w:b/>
        </w:rPr>
        <w:t xml:space="preserve">5.2 Challenge: Open - Source Monetization Pitfalls</w:t>
      </w:r>
    </w:p>
    <w:p>
      <w:pPr>
        <w:pStyle w:val="BodyText"/>
      </w:pPr>
      <w:r>
        <w:t xml:space="preserve">MongoDB’s decision to change its license from the Affero General Public License (AGPL) to the Server - Side Public License (SSPL) serves as a cautionary tale about the challenges of open - source monetization.</w:t>
      </w:r>
    </w:p>
    <w:p>
      <w:pPr>
        <w:pStyle w:val="BodyText"/>
      </w:pPr>
      <w:r>
        <w:rPr>
          <w:bCs/>
          <w:b/>
        </w:rPr>
        <w:t xml:space="preserve">The AGPL - SSPL Shift</w:t>
      </w:r>
    </w:p>
    <w:p>
      <w:pPr>
        <w:pStyle w:val="BodyText"/>
      </w:pPr>
      <w:r>
        <w:t xml:space="preserve">MongoDB, a popular open - source NoSQL database, initially used the AGPL. The AGPL was designed to ensure that if the software was used in a server - side context, any changes made to the software had to be made available as open - source. However, as MongoDB’s popularity grew, especially in cloud - based deployments, the company faced an issue. Cloud providers were using MongoDB’s open - source code to offer database - as - a - service (DBaaS) offerings without contributing back to the open - source project. In essence, they were leveraging MongoDB’s technology to build profitable businesses without giving anything in return to the community or the development house.</w:t>
      </w:r>
    </w:p>
    <w:p>
      <w:pPr>
        <w:pStyle w:val="BodyText"/>
      </w:pPr>
      <w:r>
        <w:t xml:space="preserve">To address this, MongoDB switched to the SSPL. The SSPL was more restrictive in the context of cloud - based services. It required that if the software was used to provide a service over the network, the source code for that service had to be made available. This was aimed at protecting MongoDB from being exploited by cloud providers without proper contribution.</w:t>
      </w:r>
    </w:p>
    <w:p>
      <w:pPr>
        <w:pStyle w:val="BodyText"/>
      </w:pPr>
      <w:r>
        <w:rPr>
          <w:bCs/>
          <w:b/>
        </w:rPr>
        <w:t xml:space="preserve">Community Backlash and Market Response</w:t>
      </w:r>
    </w:p>
    <w:p>
      <w:pPr>
        <w:pStyle w:val="BodyText"/>
      </w:pPr>
      <w:r>
        <w:t xml:space="preserve">The change in license, however, was not well - received by the open - source community. Many developers and organizations saw it as a move away from the open - source principles. There was a fear that the more restrictive license would stifle innovation and community participation. Some developers started looking for alternative open - source databases, and there was a significant amount of negative publicity surrounding the license change.</w:t>
      </w:r>
    </w:p>
    <w:p>
      <w:pPr>
        <w:pStyle w:val="BodyText"/>
      </w:pPr>
      <w:r>
        <w:t xml:space="preserve">From a market perspective, while MongoDB aimed to protect its business interests, the license change also created some uncertainties for its customers. Businesses that were using MongoDB in their infrastructure had to re - evaluate their usage and licensing arrangements. Some were concerned about the long - term implications of the new license on their operations, especially if they were relying on cloud - based MongoDB services.</w:t>
      </w:r>
    </w:p>
    <w:p>
      <w:pPr>
        <w:pStyle w:val="BodyText"/>
      </w:pPr>
      <w:r>
        <w:rPr>
          <w:bCs/>
          <w:b/>
        </w:rPr>
        <w:t xml:space="preserve">Lesson Learned</w:t>
      </w:r>
    </w:p>
    <w:p>
      <w:pPr>
        <w:pStyle w:val="BodyText"/>
      </w:pPr>
      <w:r>
        <w:t xml:space="preserve">This case emphasizes the delicate balance that open - source development houses must strike between community benefits and business sustainability. On one hand, open - source projects rely on the contributions of the community to grow and improve. A license change that is perceived as too restrictive can drive away community members and harm the project’s long - term viability. On the other hand, development houses need to ensure that they can generate revenue to continue investing in the development of the software. When considering license updates, it is crucial to engage with the community early on, clearly communicate the reasons for the change, and try to find a solution that meets the needs of both the community and the business. For example, alternative approaches could have been explored, such as more collaborative partnerships with cloud providers or finding ways to incentivize contributions rather than relying solely on license changes.</w:t>
      </w:r>
    </w:p>
    <w:p>
      <w:pPr>
        <w:pStyle w:val="BodyText"/>
      </w:pPr>
      <w:r>
        <w:rPr>
          <w:bCs/>
          <w:b/>
        </w:rPr>
        <w:t xml:space="preserve">5.3 Enterprise Licensing Best Practice: IBM’s Customized Agreements</w:t>
      </w:r>
    </w:p>
    <w:p>
      <w:pPr>
        <w:pStyle w:val="BodyText"/>
      </w:pPr>
      <w:r>
        <w:t xml:space="preserve">IBM has long been recognized for its approach to enterprise licensing, which involves offering highly customized agreements to its large - scale clients. This strategy has been instrumental in building strong and long - lasting relationships with enterprise customers.</w:t>
      </w:r>
    </w:p>
    <w:p>
      <w:pPr>
        <w:pStyle w:val="BodyText"/>
      </w:pPr>
      <w:r>
        <w:rPr>
          <w:bCs/>
          <w:b/>
        </w:rPr>
        <w:t xml:space="preserve">Tailored Licensing Approach</w:t>
      </w:r>
    </w:p>
    <w:p>
      <w:pPr>
        <w:pStyle w:val="BodyText"/>
      </w:pPr>
      <w:r>
        <w:t xml:space="preserve">IBM understands that large enterprises have diverse and complex IT requirements. As such, it offers a wide range of customization options in its licensing agreements. For example, in multi - year contracts, IBM can negotiate terms that are specific to the client’s business cycle and budget. A large manufacturing company may sign a five - year license agreement with IBM for its enterprise software suite. The terms of the agreement can be structured in a way that the license fees are adjusted based on the company’s production levels or revenue growth over the years. This flexibility allows the client to manage its software costs more effectively and aligns the licensing agreement with its business performance.</w:t>
      </w:r>
    </w:p>
    <w:p>
      <w:pPr>
        <w:pStyle w:val="BodyText"/>
      </w:pPr>
      <w:r>
        <w:t xml:space="preserve">Hybrid cloud compatibility is another key aspect of IBM’s customized licensing. Many enterprises are adopting hybrid cloud strategies, which combine on - premise and cloud - based infrastructure. IBM’s software licensing agreements are designed to support such hybrid environments. For instance, a financial institution that uses IBM’s data analytics software can have a license that allows it to run the software on its on - premise servers for sensitive data processing and also scale up to cloud - based resources during peak periods for additional computational power. This seamless integration across different environments is highly valued by enterprise customers.</w:t>
      </w:r>
    </w:p>
    <w:p>
      <w:pPr>
        <w:pStyle w:val="BodyText"/>
      </w:pPr>
      <w:r>
        <w:rPr>
          <w:bCs/>
          <w:b/>
        </w:rPr>
        <w:t xml:space="preserve">Dedicated Support and Added Value</w:t>
      </w:r>
    </w:p>
    <w:p>
      <w:pPr>
        <w:pStyle w:val="BodyText"/>
      </w:pPr>
      <w:r>
        <w:t xml:space="preserve">In addition to the flexible licensing terms, IBM provides dedicated support to its enterprise clients. This includes having a team of technical experts who are available 24/7 to address any issues related to the software. For example, if a large telecommunications company encounters a problem with IBM’s network management software, a dedicated support team can be immediately dispatched to troubleshoot the issue. This high - level of support ensures that the client’s operations are not disrupted and that the software is always performing at its best.</w:t>
      </w:r>
    </w:p>
    <w:p>
      <w:pPr>
        <w:pStyle w:val="BodyText"/>
      </w:pPr>
      <w:r>
        <w:t xml:space="preserve">IBM also offers added - value services as part of its enterprise licensing agreements. These can include training programs for the client’s employees to ensure they can fully utilize the software’s capabilities, as well as consulting services to help the client optimize its IT infrastructure. A global enterprise that is implementing IBM’s enterprise resource planning (ERP) software may receive training for its different departments on how to use the software for inventory management, supply - chain optimization, and financial reporting. The consulting services can then help the enterprise integrate the ERP software with its existing systems and processes, maximizing the return on investment.</w:t>
      </w:r>
    </w:p>
    <w:p>
      <w:pPr>
        <w:pStyle w:val="BodyText"/>
      </w:pPr>
      <w:r>
        <w:rPr>
          <w:bCs/>
          <w:b/>
        </w:rPr>
        <w:t xml:space="preserve">Outcome: Strong Enterprise Retention</w:t>
      </w:r>
    </w:p>
    <w:p>
      <w:pPr>
        <w:pStyle w:val="BodyText"/>
      </w:pPr>
      <w:r>
        <w:t xml:space="preserve">The result of IBM’s customized licensing approach is strong enterprise retention. By offering flexible, scalable terms and high - quality support, IBM has been able to build long - term relationships with its enterprise customers. These customers are less likely to switch to competitors’ software due to the high level of customization and support they receive from IBM. For example, many Fortune 500 companies have been using IBM’s software for decades, renewing their licensing agreements year after year. This not only provides IBM with a stable revenue stream but also enhances its reputation in the enterprise software market as a reliable and customer - centric provider. Other IT development houses can learn from IBM’s example and focus on understanding the unique needs of their enterprise clients and tailoring licensing agreements and support services to meet those needs.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