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422e0b7d05f3f7289c9ce65d546dba0e6166e1"/>
    <w:p>
      <w:pPr>
        <w:pStyle w:val="Heading1"/>
      </w:pPr>
      <w:r>
        <w:t xml:space="preserve">Case Study: Practical Application of Handover Document Drafting</w:t>
      </w:r>
    </w:p>
    <w:p>
      <w:pPr>
        <w:pStyle w:val="FirstParagraph"/>
      </w:pPr>
      <w:r>
        <w:rPr>
          <w:bCs/>
          <w:b/>
        </w:rPr>
        <w:t xml:space="preserve">6.1 Scenario: Enterprise Resource Planning (ERP) System Handover</w:t>
      </w:r>
    </w:p>
    <w:p>
      <w:pPr>
        <w:pStyle w:val="BodyText"/>
      </w:pPr>
      <w:r>
        <w:rPr>
          <w:bCs/>
          <w:b/>
        </w:rPr>
        <w:t xml:space="preserve">6.1.1 Project Overview</w:t>
      </w:r>
    </w:p>
    <w:p>
      <w:pPr>
        <w:pStyle w:val="BodyText"/>
      </w:pPr>
      <w:r>
        <w:t xml:space="preserve">In this case, a well - established IT development house was tasked with delivering an Enterprise Resource Planning (ERP) system to a large - scale manufacturing client. The manufacturing client had a complex production process, involving multiple production lines, a vast supply chain network, and a large workforce. The ERP system was designed to integrate all aspects of the client’s business operations, from inventory management to production scheduling, and from human resources management to financial reporting.</w:t>
      </w:r>
    </w:p>
    <w:p>
      <w:pPr>
        <w:pStyle w:val="BodyText"/>
      </w:pPr>
      <w:r>
        <w:t xml:space="preserve">The technical section of the handover document was comprehensive. For the inventory management module, the development house had created custom - built modules to meet the unique needs of the manufacturing client. These modules were designed to track inventory levels in real - time, taking into account factors such as incoming raw materials, work - in - progress, and finished goods. The system also had the ability to generate automatic re - order alerts when inventory levels dropped below a certain threshold.</w:t>
      </w:r>
    </w:p>
    <w:p>
      <w:pPr>
        <w:pStyle w:val="BodyText"/>
      </w:pPr>
      <w:r>
        <w:t xml:space="preserve">Integration with legacy machinery APIs was another crucial aspect. The manufacturing client had a significant amount of legacy machinery that was still in use. The ERP system needed to communicate with these machines to collect data on production output, machine status, and maintenance requirements. The development house had to spend a considerable amount of time reverse - engineering the legacy APIs to ensure seamless integration. For example, they developed middleware that translated the data formats between the modern ERP system and the older, proprietary formats used by the legacy machinery.</w:t>
      </w:r>
    </w:p>
    <w:p>
      <w:pPr>
        <w:pStyle w:val="BodyText"/>
      </w:pPr>
      <w:r>
        <w:t xml:space="preserve">The operational section of the handover document was equally detailed. A step - by - step guide for monthly system backups was provided. This guide included instructions on using the backup software, specifying the storage location for the backups, and how to verify the integrity of the backups. For instance, it stated that the backup process should be initiated on the first Sunday of every month at 2:00 AM, using the client - approved backup software, and the backups should be stored in a secure off - site location with a redundant copy stored on - premise for quick access in case of emergencies.</w:t>
      </w:r>
    </w:p>
    <w:p>
      <w:pPr>
        <w:pStyle w:val="BodyText"/>
      </w:pPr>
      <w:r>
        <w:t xml:space="preserve">User role configuration was also carefully documented. The manufacturing client had a diverse range of user roles, from production line workers to managers, each with different access levels and permissions. The handover document detailed how to create, modify, and delete user roles in the ERP system. It also explained which functions and data each role could access. For example, production line workers were only allowed to view and update production - related data, such as the quantity of products produced and any quality - control issues, while managers had access to all aspects of the system, including financial reports and strategic planning tools.</w:t>
      </w:r>
    </w:p>
    <w:p>
      <w:pPr>
        <w:pStyle w:val="BodyText"/>
      </w:pPr>
      <w:r>
        <w:t xml:space="preserve">The legal section of the handover document addressed critical compliance and licensing issues. Compliance with ISO 27001 for data security was a top priority. The development house had implemented a series of security measures to meet this standard, such as data encryption both at rest and in transit, user authentication and authorization mechanisms, and regular security audits. The handover document provided details about these security measures, including the encryption algorithms used (e.g., AES - 256 for data at rest), how user passwords were hashed and salted for security, and the frequency of security audits (quarterly).</w:t>
      </w:r>
    </w:p>
    <w:p>
      <w:pPr>
        <w:pStyle w:val="BodyText"/>
      </w:pPr>
      <w:r>
        <w:t xml:space="preserve">Vendor licenses for embedded software were also clearly listed. The ERP system incorporated several third - party software components, each with its own licensing terms. The handover document included information about the license type (e.g., open - source with specific attribution requirements or proprietary licenses), the number of licenses purchased, and the expiration dates of the licenses. This ensured that the manufacturing client could manage these licenses effectively and avoid any legal issues related to software usage.</w:t>
      </w:r>
    </w:p>
    <w:p>
      <w:pPr>
        <w:pStyle w:val="BodyText"/>
      </w:pPr>
      <w:r>
        <w:rPr>
          <w:bCs/>
          <w:b/>
        </w:rPr>
        <w:t xml:space="preserve">6.1.2 Lessons Learned</w:t>
      </w:r>
    </w:p>
    <w:p>
      <w:pPr>
        <w:pStyle w:val="BodyText"/>
      </w:pPr>
      <w:r>
        <w:t xml:space="preserve">During the handover process, several challenges were encountered. One of the major challenges was the client’s misunderstanding of technical jargon. The development house had used industry - standard technical terms in the handover document, assuming that the client’s IT team would be familiar with them. However, it turned out that the client had a mix of technical and non - technical staff, and the non - technical staff struggled to understand terms such as</w:t>
      </w:r>
      <w:r>
        <w:t xml:space="preserve"> </w:t>
      </w:r>
      <w:r>
        <w:t xml:space="preserve">“</w:t>
      </w:r>
      <w:r>
        <w:t xml:space="preserve">API endpoints,</w:t>
      </w:r>
      <w:r>
        <w:t xml:space="preserve">”</w:t>
      </w:r>
      <w:r>
        <w:t xml:space="preserve"> </w:t>
      </w:r>
      <w:r>
        <w:t xml:space="preserve">“</w:t>
      </w:r>
      <w:r>
        <w:t xml:space="preserve">middleware,</w:t>
      </w:r>
      <w:r>
        <w:t xml:space="preserve">”</w:t>
      </w:r>
      <w:r>
        <w:t xml:space="preserve"> </w:t>
      </w:r>
      <w:r>
        <w:t xml:space="preserve">and</w:t>
      </w:r>
      <w:r>
        <w:t xml:space="preserve"> </w:t>
      </w:r>
      <w:r>
        <w:t xml:space="preserve">“</w:t>
      </w:r>
      <w:r>
        <w:t xml:space="preserve">data normalization.</w:t>
      </w:r>
      <w:r>
        <w:t xml:space="preserve">”</w:t>
      </w:r>
    </w:p>
    <w:p>
      <w:pPr>
        <w:pStyle w:val="BodyText"/>
      </w:pPr>
      <w:r>
        <w:t xml:space="preserve">To address this issue, the development house created a glossary of terms. This glossary was included as an appendix in the handover document and was also made available as a separate, searchable document. Each term in the glossary was defined in plain language, with examples where possible. For example,</w:t>
      </w:r>
      <w:r>
        <w:t xml:space="preserve"> </w:t>
      </w:r>
      <w:r>
        <w:t xml:space="preserve">“</w:t>
      </w:r>
      <w:r>
        <w:t xml:space="preserve">API endpoints</w:t>
      </w:r>
      <w:r>
        <w:t xml:space="preserve">”</w:t>
      </w:r>
      <w:r>
        <w:t xml:space="preserve"> </w:t>
      </w:r>
      <w:r>
        <w:t xml:space="preserve">were defined as</w:t>
      </w:r>
      <w:r>
        <w:t xml:space="preserve"> </w:t>
      </w:r>
      <w:r>
        <w:t xml:space="preserve">“</w:t>
      </w:r>
      <w:r>
        <w:t xml:space="preserve">the specific addresses or URLs where a software application can send requests to access certain functions or data from another application. For example, if you want to get a list of products from an e - commerce API, you would send a request to a specific API endpoint like /api/products.</w:t>
      </w:r>
      <w:r>
        <w:t xml:space="preserve">”</w:t>
      </w:r>
    </w:p>
    <w:p>
      <w:pPr>
        <w:pStyle w:val="BodyText"/>
      </w:pPr>
      <w:r>
        <w:t xml:space="preserve">Another lesson learned was the importance of tailoring the language to the audience. When communicating with the client’s IT team, the development house could use more technical depth. For example, when discussing the integration with legacy machinery APIs, they could go into details about the data - transfer protocols, error - handling mechanisms, and the technical challenges faced during the integration process. However, when presenting information to the client’s management, the development house had to provide simplified summaries. Instead of discussing the technical intricacies of the inventory management module, they focused on the benefits, such as how the module would reduce inventory - holding costs by optimizing re - order points and improving inventory visibility.</w:t>
      </w:r>
    </w:p>
    <w:p>
      <w:pPr>
        <w:pStyle w:val="BodyText"/>
      </w:pPr>
      <w:r>
        <w:t xml:space="preserve">In addition, the development house realized the significance of involving the client in the handover - document creation process from an early stage. By having the client review the document as it was being developed, many potential misunderstandings could be avoided. For example, during the review of the operational section, the client’s operations manager pointed out that the proposed monthly system backup schedule would interfere with a critical monthly production report - generation process. As a result, the backup schedule was adjusted, and this change was reflected in the handover document. Overall, this case study highlights the importance of effective communication, audience - tailored content, and early client involvement in the successful drafting of handover documents for IT projects.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2026-10-09T09:58:39Z</dcterms:created>
  <dcterms:modified xsi:type="dcterms:W3CDTF">2026-10-09T09:58:39Z</dcterms:modified>
</cp:coreProperties>
</file>

<file path=docProps/custom.xml><?xml version="1.0" encoding="utf-8"?>
<Properties xmlns="http://schemas.openxmlformats.org/officeDocument/2006/custom-properties" xmlns:vt="http://schemas.openxmlformats.org/officeDocument/2006/docPropsVTypes"/>
</file>