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Đánh giá Hệ thống Graph-RAG (không nhãn)</w:t>
      </w:r>
    </w:p>
    <w:p>
      <w:r>
        <w:t>*Sinh tự động lúc 2026-08-07T03:43:28+00:00 — python evalu/run_evaluation.py*</w:t>
      </w:r>
    </w:p>
    <w:p>
      <w:pPr>
        <w:pStyle w:val="IntenseQuote"/>
      </w:pPr>
      <w:r>
        <w:t>Hệ thống là Decision-Support System, không phải bộ phân loại greenwashing. Không tồn tại nhãn chuẩn, nên mọi con số dưới đây là chỉ số nội bộ (intrinsic) đo tính nhất quán của pipeline — KHÔNG phải accuracy so với sự thật.</w:t>
      </w:r>
    </w:p>
    <w:p>
      <w:pPr>
        <w:pStyle w:val="Heading2"/>
      </w:pPr>
      <w:r>
        <w:t>0. Phạm vi dữ liệu đo</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Hạng mục</w:t>
            </w:r>
          </w:p>
        </w:tc>
        <w:tc>
          <w:tcPr>
            <w:tcW w:type="dxa" w:w="4320"/>
          </w:tcPr>
          <w:p>
            <w:r/>
            <w:r>
              <w:rPr>
                <w:b/>
              </w:rPr>
              <w:t>Giá trị</w:t>
            </w:r>
          </w:p>
        </w:tc>
      </w:tr>
      <w:tr>
        <w:tc>
          <w:tcPr>
            <w:tcW w:type="dxa" w:w="4320"/>
          </w:tcPr>
          <w:p>
            <w:r/>
            <w:r>
              <w:t>Đồ thị đã phân giải</w:t>
            </w:r>
          </w:p>
        </w:tc>
        <w:tc>
          <w:tcPr>
            <w:tcW w:type="dxa" w:w="4320"/>
          </w:tcPr>
          <w:p>
            <w:r/>
            <w:r>
              <w:t>10,634 node / 14,744 cạnh</w:t>
            </w:r>
          </w:p>
        </w:tc>
      </w:tr>
      <w:tr>
        <w:tc>
          <w:tcPr>
            <w:tcW w:type="dxa" w:w="4320"/>
          </w:tcPr>
          <w:p>
            <w:r/>
            <w:r>
              <w:t>Hồ sơ đối soát</w:t>
            </w:r>
          </w:p>
        </w:tc>
        <w:tc>
          <w:tcPr>
            <w:tcW w:type="dxa" w:w="4320"/>
          </w:tcPr>
          <w:p>
            <w:r/>
            <w:r>
              <w:t>464 claim / 5 mã CK</w:t>
            </w:r>
          </w:p>
        </w:tc>
      </w:tr>
      <w:tr>
        <w:tc>
          <w:tcPr>
            <w:tcW w:type="dxa" w:w="4320"/>
          </w:tcPr>
          <w:p>
            <w:r/>
            <w:r>
              <w:t>Mã chứng khoán</w:t>
            </w:r>
          </w:p>
        </w:tc>
        <w:tc>
          <w:tcPr>
            <w:tcW w:type="dxa" w:w="4320"/>
          </w:tcPr>
          <w:p>
            <w:r/>
            <w:r>
              <w:t>AAA, ACC, ACG, ADP, AGG</w:t>
            </w:r>
          </w:p>
        </w:tc>
      </w:tr>
      <w:tr>
        <w:tc>
          <w:tcPr>
            <w:tcW w:type="dxa" w:w="4320"/>
          </w:tcPr>
          <w:p>
            <w:r/>
            <w:r>
              <w:t>Thời gian chạy</w:t>
            </w:r>
          </w:p>
        </w:tc>
        <w:tc>
          <w:tcPr>
            <w:tcW w:type="dxa" w:w="4320"/>
          </w:tcPr>
          <w:p>
            <w:r/>
            <w:r>
              <w:t>0.2s</w:t>
            </w:r>
          </w:p>
        </w:tc>
      </w:tr>
    </w:tbl>
    <w:p>
      <w:pPr>
        <w:pStyle w:val="Heading2"/>
      </w:pPr>
      <w:r>
        <w:t>1. Tổng hợp chỉ số nội bộ theo module (§2)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Mã</w:t>
            </w:r>
          </w:p>
        </w:tc>
        <w:tc>
          <w:tcPr>
            <w:tcW w:type="dxa" w:w="1728"/>
          </w:tcPr>
          <w:p>
            <w:r/>
            <w:r>
              <w:rPr>
                <w:b/>
              </w:rPr>
              <w:t>Chỉ số</w:t>
            </w:r>
          </w:p>
        </w:tc>
        <w:tc>
          <w:tcPr>
            <w:tcW w:type="dxa" w:w="1728"/>
          </w:tcPr>
          <w:p>
            <w:r/>
            <w:r>
              <w:rPr>
                <w:b/>
              </w:rPr>
              <w:t>Giá trị</w:t>
            </w:r>
          </w:p>
        </w:tc>
        <w:tc>
          <w:tcPr>
            <w:tcW w:type="dxa" w:w="1728"/>
          </w:tcPr>
          <w:p>
            <w:r/>
            <w:r>
              <w:rPr>
                <w:b/>
              </w:rPr>
              <w:t>Tử/Mẫu</w:t>
            </w:r>
          </w:p>
        </w:tc>
        <w:tc>
          <w:tcPr>
            <w:tcW w:type="dxa" w:w="1728"/>
          </w:tcPr>
          <w:p>
            <w:r/>
            <w:r>
              <w:rPr>
                <w:b/>
              </w:rPr>
              <w:t>Trạng thái</w:t>
            </w:r>
          </w:p>
        </w:tc>
      </w:tr>
      <w:tr>
        <w:tc>
          <w:tcPr>
            <w:tcW w:type="dxa" w:w="1728"/>
          </w:tcPr>
          <w:p>
            <w:r/>
            <w:r>
              <w:t>M1.1</w:t>
            </w:r>
          </w:p>
        </w:tc>
        <w:tc>
          <w:tcPr>
            <w:tcW w:type="dxa" w:w="1728"/>
          </w:tcPr>
          <w:p>
            <w:r/>
            <w:r>
              <w:t>ESG Signal-to-Noise Ratio</w:t>
            </w:r>
          </w:p>
        </w:tc>
        <w:tc>
          <w:tcPr>
            <w:tcW w:type="dxa" w:w="1728"/>
          </w:tcPr>
          <w:p>
            <w:r/>
            <w:r>
              <w:t>—</w:t>
            </w:r>
          </w:p>
        </w:tc>
        <w:tc>
          <w:tcPr>
            <w:tcW w:type="dxa" w:w="1728"/>
          </w:tcPr>
          <w:p>
            <w:r/>
            <w:r>
              <w:t>—</w:t>
            </w:r>
          </w:p>
        </w:tc>
        <w:tc>
          <w:tcPr>
            <w:tcW w:type="dxa" w:w="1728"/>
          </w:tcPr>
          <w:p>
            <w:r/>
            <w:r>
              <w:t>info</w:t>
            </w:r>
          </w:p>
        </w:tc>
      </w:tr>
      <w:tr>
        <w:tc>
          <w:tcPr>
            <w:tcW w:type="dxa" w:w="1728"/>
          </w:tcPr>
          <w:p>
            <w:r/>
            <w:r>
              <w:t>M1.2</w:t>
            </w:r>
          </w:p>
        </w:tc>
        <w:tc>
          <w:tcPr>
            <w:tcW w:type="dxa" w:w="1728"/>
          </w:tcPr>
          <w:p>
            <w:r/>
            <w:r>
              <w:t>Paragraph Source Provenance Rate</w:t>
            </w:r>
          </w:p>
        </w:tc>
        <w:tc>
          <w:tcPr>
            <w:tcW w:type="dxa" w:w="1728"/>
          </w:tcPr>
          <w:p>
            <w:r/>
            <w:r>
              <w:t>—</w:t>
            </w:r>
          </w:p>
        </w:tc>
        <w:tc>
          <w:tcPr>
            <w:tcW w:type="dxa" w:w="1728"/>
          </w:tcPr>
          <w:p>
            <w:r/>
            <w:r>
              <w:t>—</w:t>
            </w:r>
          </w:p>
        </w:tc>
        <w:tc>
          <w:tcPr>
            <w:tcW w:type="dxa" w:w="1728"/>
          </w:tcPr>
          <w:p>
            <w:r/>
            <w:r>
              <w:t>info</w:t>
            </w:r>
          </w:p>
        </w:tc>
      </w:tr>
      <w:tr>
        <w:tc>
          <w:tcPr>
            <w:tcW w:type="dxa" w:w="1728"/>
          </w:tcPr>
          <w:p>
            <w:r/>
            <w:r>
              <w:t>M2.1</w:t>
            </w:r>
          </w:p>
        </w:tc>
        <w:tc>
          <w:tcPr>
            <w:tcW w:type="dxa" w:w="1728"/>
          </w:tcPr>
          <w:p>
            <w:r/>
            <w:r>
              <w:t>Temporal Metadata Completeness</w:t>
            </w:r>
          </w:p>
        </w:tc>
        <w:tc>
          <w:tcPr>
            <w:tcW w:type="dxa" w:w="1728"/>
          </w:tcPr>
          <w:p>
            <w:r/>
            <w:r>
              <w:t>93.02%</w:t>
            </w:r>
          </w:p>
        </w:tc>
        <w:tc>
          <w:tcPr>
            <w:tcW w:type="dxa" w:w="1728"/>
          </w:tcPr>
          <w:p>
            <w:r/>
            <w:r>
              <w:t>21,620 / 23,243</w:t>
            </w:r>
          </w:p>
        </w:tc>
        <w:tc>
          <w:tcPr>
            <w:tcW w:type="dxa" w:w="1728"/>
          </w:tcPr>
          <w:p>
            <w:r/>
            <w:r>
              <w:t>FAIL</w:t>
            </w:r>
          </w:p>
        </w:tc>
      </w:tr>
      <w:tr>
        <w:tc>
          <w:tcPr>
            <w:tcW w:type="dxa" w:w="1728"/>
          </w:tcPr>
          <w:p>
            <w:r/>
            <w:r>
              <w:t>M2.2</w:t>
            </w:r>
          </w:p>
        </w:tc>
        <w:tc>
          <w:tcPr>
            <w:tcW w:type="dxa" w:w="1728"/>
          </w:tcPr>
          <w:p>
            <w:r/>
            <w:r>
              <w:t>Schema Compliance Rate</w:t>
            </w:r>
          </w:p>
        </w:tc>
        <w:tc>
          <w:tcPr>
            <w:tcW w:type="dxa" w:w="1728"/>
          </w:tcPr>
          <w:p>
            <w:r/>
            <w:r>
              <w:t>100.00%</w:t>
            </w:r>
          </w:p>
        </w:tc>
        <w:tc>
          <w:tcPr>
            <w:tcW w:type="dxa" w:w="1728"/>
          </w:tcPr>
          <w:p>
            <w:r/>
            <w:r>
              <w:t>14,744 / 14,744</w:t>
            </w:r>
          </w:p>
        </w:tc>
        <w:tc>
          <w:tcPr>
            <w:tcW w:type="dxa" w:w="1728"/>
          </w:tcPr>
          <w:p>
            <w:r/>
            <w:r>
              <w:t>PASS</w:t>
            </w:r>
          </w:p>
        </w:tc>
      </w:tr>
      <w:tr>
        <w:tc>
          <w:tcPr>
            <w:tcW w:type="dxa" w:w="1728"/>
          </w:tcPr>
          <w:p>
            <w:r/>
            <w:r>
              <w:t>M2.3</w:t>
            </w:r>
          </w:p>
        </w:tc>
        <w:tc>
          <w:tcPr>
            <w:tcW w:type="dxa" w:w="1728"/>
          </w:tcPr>
          <w:p>
            <w:r/>
            <w:r>
              <w:t>Value Preservation Guard</w:t>
            </w:r>
          </w:p>
        </w:tc>
        <w:tc>
          <w:tcPr>
            <w:tcW w:type="dxa" w:w="1728"/>
          </w:tcPr>
          <w:p>
            <w:r/>
            <w:r>
              <w:t>—</w:t>
            </w:r>
          </w:p>
        </w:tc>
        <w:tc>
          <w:tcPr>
            <w:tcW w:type="dxa" w:w="1728"/>
          </w:tcPr>
          <w:p>
            <w:r/>
            <w:r>
              <w:t>—</w:t>
            </w:r>
          </w:p>
        </w:tc>
        <w:tc>
          <w:tcPr>
            <w:tcW w:type="dxa" w:w="1728"/>
          </w:tcPr>
          <w:p>
            <w:r/>
            <w:r>
              <w:t>info</w:t>
            </w:r>
          </w:p>
        </w:tc>
      </w:tr>
      <w:tr>
        <w:tc>
          <w:tcPr>
            <w:tcW w:type="dxa" w:w="1728"/>
          </w:tcPr>
          <w:p>
            <w:r/>
            <w:r>
              <w:t>M3.1</w:t>
            </w:r>
          </w:p>
        </w:tc>
        <w:tc>
          <w:tcPr>
            <w:tcW w:type="dxa" w:w="1728"/>
          </w:tcPr>
          <w:p>
            <w:r/>
            <w:r>
              <w:t>Timeless Identity Violation Rate</w:t>
            </w:r>
          </w:p>
        </w:tc>
        <w:tc>
          <w:tcPr>
            <w:tcW w:type="dxa" w:w="1728"/>
          </w:tcPr>
          <w:p>
            <w:r/>
            <w:r>
              <w:t>0.00%</w:t>
            </w:r>
          </w:p>
        </w:tc>
        <w:tc>
          <w:tcPr>
            <w:tcW w:type="dxa" w:w="1728"/>
          </w:tcPr>
          <w:p>
            <w:r/>
            <w:r>
              <w:t>0 / 14</w:t>
            </w:r>
          </w:p>
        </w:tc>
        <w:tc>
          <w:tcPr>
            <w:tcW w:type="dxa" w:w="1728"/>
          </w:tcPr>
          <w:p>
            <w:r/>
            <w:r>
              <w:t>PASS</w:t>
            </w:r>
          </w:p>
        </w:tc>
      </w:tr>
      <w:tr>
        <w:tc>
          <w:tcPr>
            <w:tcW w:type="dxa" w:w="1728"/>
          </w:tcPr>
          <w:p>
            <w:r/>
            <w:r>
              <w:t>M3.2</w:t>
            </w:r>
          </w:p>
        </w:tc>
        <w:tc>
          <w:tcPr>
            <w:tcW w:type="dxa" w:w="1728"/>
          </w:tcPr>
          <w:p>
            <w:r/>
            <w:r>
              <w:t>Oversimplification &amp; Cluster Conciseness</w:t>
            </w:r>
          </w:p>
        </w:tc>
        <w:tc>
          <w:tcPr>
            <w:tcW w:type="dxa" w:w="1728"/>
          </w:tcPr>
          <w:p>
            <w:r/>
            <w:r>
              <w:t>0.47%</w:t>
            </w:r>
          </w:p>
        </w:tc>
        <w:tc>
          <w:tcPr>
            <w:tcW w:type="dxa" w:w="1728"/>
          </w:tcPr>
          <w:p>
            <w:r/>
            <w:r>
              <w:t>10 / 2,135</w:t>
            </w:r>
          </w:p>
        </w:tc>
        <w:tc>
          <w:tcPr>
            <w:tcW w:type="dxa" w:w="1728"/>
          </w:tcPr>
          <w:p>
            <w:r/>
            <w:r>
              <w:t>info</w:t>
            </w:r>
          </w:p>
        </w:tc>
      </w:tr>
      <w:tr>
        <w:tc>
          <w:tcPr>
            <w:tcW w:type="dxa" w:w="1728"/>
          </w:tcPr>
          <w:p>
            <w:r/>
            <w:r>
              <w:t>M4.1</w:t>
            </w:r>
          </w:p>
        </w:tc>
        <w:tc>
          <w:tcPr>
            <w:tcW w:type="dxa" w:w="1728"/>
          </w:tcPr>
          <w:p>
            <w:r/>
            <w:r>
              <w:t>Standard Indicator Alignment Coverage</w:t>
            </w:r>
          </w:p>
        </w:tc>
        <w:tc>
          <w:tcPr>
            <w:tcW w:type="dxa" w:w="1728"/>
          </w:tcPr>
          <w:p>
            <w:r/>
            <w:r>
              <w:t>50.53%</w:t>
            </w:r>
          </w:p>
        </w:tc>
        <w:tc>
          <w:tcPr>
            <w:tcW w:type="dxa" w:w="1728"/>
          </w:tcPr>
          <w:p>
            <w:r/>
            <w:r>
              <w:t>718 / 1,421</w:t>
            </w:r>
          </w:p>
        </w:tc>
        <w:tc>
          <w:tcPr>
            <w:tcW w:type="dxa" w:w="1728"/>
          </w:tcPr>
          <w:p>
            <w:r/>
            <w:r>
              <w:t>info</w:t>
            </w:r>
          </w:p>
        </w:tc>
      </w:tr>
      <w:tr>
        <w:tc>
          <w:tcPr>
            <w:tcW w:type="dxa" w:w="1728"/>
          </w:tcPr>
          <w:p>
            <w:r/>
            <w:r>
              <w:t>M4.2</w:t>
            </w:r>
          </w:p>
        </w:tc>
        <w:tc>
          <w:tcPr>
            <w:tcW w:type="dxa" w:w="1728"/>
          </w:tcPr>
          <w:p>
            <w:r/>
            <w:r>
              <w:t>Zero-Report Self-Praise Exclusion</w:t>
            </w:r>
          </w:p>
        </w:tc>
        <w:tc>
          <w:tcPr>
            <w:tcW w:type="dxa" w:w="1728"/>
          </w:tcPr>
          <w:p>
            <w:r/>
            <w:r>
              <w:t>0.00%</w:t>
            </w:r>
          </w:p>
        </w:tc>
        <w:tc>
          <w:tcPr>
            <w:tcW w:type="dxa" w:w="1728"/>
          </w:tcPr>
          <w:p>
            <w:r/>
            <w:r>
              <w:t>0 / 1</w:t>
            </w:r>
          </w:p>
        </w:tc>
        <w:tc>
          <w:tcPr>
            <w:tcW w:type="dxa" w:w="1728"/>
          </w:tcPr>
          <w:p>
            <w:r/>
            <w:r>
              <w:t>FAIL</w:t>
            </w:r>
          </w:p>
        </w:tc>
      </w:tr>
      <w:tr>
        <w:tc>
          <w:tcPr>
            <w:tcW w:type="dxa" w:w="1728"/>
          </w:tcPr>
          <w:p>
            <w:r/>
            <w:r>
              <w:t>M5.1</w:t>
            </w:r>
          </w:p>
        </w:tc>
        <w:tc>
          <w:tcPr>
            <w:tcW w:type="dxa" w:w="1728"/>
          </w:tcPr>
          <w:p>
            <w:r/>
            <w:r>
              <w:t>Evidence Asymmetry &amp; Abstention Rate</w:t>
            </w:r>
          </w:p>
        </w:tc>
        <w:tc>
          <w:tcPr>
            <w:tcW w:type="dxa" w:w="1728"/>
          </w:tcPr>
          <w:p>
            <w:r/>
            <w:r>
              <w:t>73.49%</w:t>
            </w:r>
          </w:p>
        </w:tc>
        <w:tc>
          <w:tcPr>
            <w:tcW w:type="dxa" w:w="1728"/>
          </w:tcPr>
          <w:p>
            <w:r/>
            <w:r>
              <w:t>341 / 464</w:t>
            </w:r>
          </w:p>
        </w:tc>
        <w:tc>
          <w:tcPr>
            <w:tcW w:type="dxa" w:w="1728"/>
          </w:tcPr>
          <w:p>
            <w:r/>
            <w:r>
              <w:t>info</w:t>
            </w:r>
          </w:p>
        </w:tc>
      </w:tr>
      <w:tr>
        <w:tc>
          <w:tcPr>
            <w:tcW w:type="dxa" w:w="1728"/>
          </w:tcPr>
          <w:p>
            <w:r/>
            <w:r>
              <w:t>M5.2</w:t>
            </w:r>
          </w:p>
        </w:tc>
        <w:tc>
          <w:tcPr>
            <w:tcW w:type="dxa" w:w="1728"/>
          </w:tcPr>
          <w:p>
            <w:r/>
            <w:r>
              <w:t>Self-Verification Exclusion Rate</w:t>
            </w:r>
          </w:p>
        </w:tc>
        <w:tc>
          <w:tcPr>
            <w:tcW w:type="dxa" w:w="1728"/>
          </w:tcPr>
          <w:p>
            <w:r/>
            <w:r>
              <w:t>0.00%</w:t>
            </w:r>
          </w:p>
        </w:tc>
        <w:tc>
          <w:tcPr>
            <w:tcW w:type="dxa" w:w="1728"/>
          </w:tcPr>
          <w:p>
            <w:r/>
            <w:r>
              <w:t>0 / 99</w:t>
            </w:r>
          </w:p>
        </w:tc>
        <w:tc>
          <w:tcPr>
            <w:tcW w:type="dxa" w:w="1728"/>
          </w:tcPr>
          <w:p>
            <w:r/>
            <w:r>
              <w:t>info</w:t>
            </w:r>
          </w:p>
        </w:tc>
      </w:tr>
    </w:tbl>
    <w:p>
      <w:pPr>
        <w:pStyle w:val="Heading2"/>
      </w:pPr>
      <w:r>
        <w:t>2. Chi tiết từng module</w:t>
      </w:r>
    </w:p>
    <w:p>
      <w:pPr>
        <w:pStyle w:val="Heading3"/>
      </w:pPr>
      <w:r>
        <w:t>1. Thu thập &amp; Phân loại ESG</w:t>
      </w:r>
    </w:p>
    <w:p>
      <w:r>
        <w:rPr>
          <w:b/>
        </w:rPr>
        <w:t>M1.1 — ESG Signal-to-Noise Ratio</w:t>
      </w:r>
      <w:r>
        <w:t xml:space="preserve"> Giá trị: </w:t>
      </w:r>
      <w:r>
        <w:rPr>
          <w:b/>
        </w:rPr>
        <w:t>—</w:t>
      </w:r>
    </w:p>
    <w:p>
      <w:r>
        <w:t>*BỎ QUA — chạy với --quick*</w:t>
      </w:r>
    </w:p>
    <w:p>
      <w:r>
        <w:rPr>
          <w:b/>
        </w:rPr>
        <w:t>M1.2 — Paragraph Source Provenance Rate</w:t>
      </w:r>
      <w:r>
        <w:t xml:space="preserve"> Giá trị: </w:t>
      </w:r>
      <w:r>
        <w:rPr>
          <w:b/>
        </w:rPr>
        <w:t>—</w:t>
      </w:r>
    </w:p>
    <w:p>
      <w:r>
        <w:t>*BỎ QUA — chạy với --quick*</w:t>
      </w:r>
    </w:p>
    <w:p>
      <w:pPr>
        <w:pStyle w:val="Heading3"/>
      </w:pPr>
      <w:r>
        <w:t>2. Trích xuất Triplet &amp; KPI</w:t>
      </w:r>
    </w:p>
    <w:p>
      <w:r>
        <w:rPr>
          <w:b/>
        </w:rPr>
        <w:t>M2.1 — Temporal Metadata Completeness</w:t>
      </w:r>
      <w:r>
        <w:t xml:space="preserve"> Giá trị: </w:t>
      </w:r>
      <w:r>
        <w:rPr>
          <w:b/>
        </w:rPr>
        <w:t>93.02%</w:t>
      </w:r>
      <w:r>
        <w:t xml:space="preserve"> (21,620/23,243) · Mục tiêu: 100%</w:t>
      </w:r>
    </w:p>
    <w:p>
      <w:r>
        <w:t>Cạnh: 14,227/14,744 · Node T2/T3: 7,393/8,499</w:t>
      </w:r>
    </w:p>
    <w:p>
      <w:r>
        <w:rPr>
          <w:b/>
        </w:rPr>
        <w:t>M2.2 — Schema Compliance Rate</w:t>
      </w:r>
      <w:r>
        <w:t xml:space="preserve"> Giá trị: </w:t>
      </w:r>
      <w:r>
        <w:rPr>
          <w:b/>
        </w:rPr>
        <w:t>100.00%</w:t>
      </w:r>
      <w:r>
        <w:t xml:space="preserve"> (14,744/14,744) · Mục tiêu: 100% (0 vi phạm)</w:t>
      </w:r>
    </w:p>
    <w:p>
      <w:r>
        <w:rPr>
          <w:b/>
        </w:rPr>
        <w:t>M2.3 — Value Preservation Guard</w:t>
      </w:r>
      <w:r>
        <w:t xml:space="preserve"> Giá trị: </w:t>
      </w:r>
      <w:r>
        <w:rPr>
          <w:b/>
        </w:rPr>
        <w:t>—</w:t>
      </w:r>
    </w:p>
    <w:p>
      <w:r>
        <w:t>*BỎ QUA — chạy với --quick*</w:t>
      </w:r>
    </w:p>
    <w:p>
      <w:pPr>
        <w:pStyle w:val="Heading3"/>
      </w:pPr>
      <w:r>
        <w:t>3. Phân giải Thực thể</w:t>
      </w:r>
    </w:p>
    <w:p>
      <w:r>
        <w:rPr>
          <w:b/>
        </w:rPr>
        <w:t>M3.1 — Timeless Identity Violation Rate</w:t>
      </w:r>
      <w:r>
        <w:t xml:space="preserve"> Giá trị: </w:t>
      </w:r>
      <w:r>
        <w:rPr>
          <w:b/>
        </w:rPr>
        <w:t>0.00%</w:t>
      </w:r>
      <w:r>
        <w:t xml:space="preserve"> (0/14) · Mục tiêu: 0 vi phạm</w:t>
      </w:r>
    </w:p>
    <w:p>
      <w:r>
        <w:rPr>
          <w:b/>
        </w:rPr>
        <w:t>M3.2 — Oversimplification &amp; Cluster Conciseness</w:t>
      </w:r>
      <w:r>
        <w:t xml:space="preserve"> Giá trị: </w:t>
      </w:r>
      <w:r>
        <w:rPr>
          <w:b/>
        </w:rPr>
        <w:t>0.47%</w:t>
      </w:r>
      <w:r>
        <w:t xml:space="preserve"> (10/2,135) · Mục tiêu: thấp hơn = ít thực thể trùng còn sót sau hợp nhất</w:t>
      </w:r>
    </w:p>
    <w:p>
      <w:r>
        <w:t>Cụm trùng lớn nhất: Location×3, Location×2, Location×2, Location×2, Location×2</w:t>
      </w:r>
    </w:p>
    <w:p>
      <w:pPr>
        <w:pStyle w:val="Heading3"/>
      </w:pPr>
      <w:r>
        <w:t>4. Ánh xạ Trục Chỉ tiêu</w:t>
      </w:r>
    </w:p>
    <w:p>
      <w:r>
        <w:rPr>
          <w:b/>
        </w:rPr>
        <w:t>M4.1 — Standard Indicator Alignment Coverage</w:t>
      </w:r>
      <w:r>
        <w:t xml:space="preserve"> Giá trị: </w:t>
      </w:r>
      <w:r>
        <w:rPr>
          <w:b/>
        </w:rPr>
        <w:t>50.53%</w:t>
      </w:r>
      <w:r>
        <w:t xml:space="preserve"> (718/1,421) · Mục tiêu: cao hơn = độ phủ TT96/GRI tốt hơn</w:t>
      </w:r>
    </w:p>
    <w:p>
      <w:r>
        <w:t>Theo lớp: Goal 248/511, Initiative 171/429, SustainabilityClaim 299/481</w:t>
      </w:r>
    </w:p>
    <w:p>
      <w:r>
        <w:rPr>
          <w:b/>
        </w:rPr>
        <w:t>M4.2 — Zero-Report Self-Praise Exclusion</w:t>
      </w:r>
      <w:r>
        <w:t xml:space="preserve"> Giá trị: </w:t>
      </w:r>
      <w:r>
        <w:rPr>
          <w:b/>
        </w:rPr>
        <w:t>0.00%</w:t>
      </w:r>
      <w:r>
        <w:t xml:space="preserve"> (0/1) · Mục tiêu: 100%</w:t>
      </w:r>
    </w:p>
    <w:p>
      <w:r>
        <w:t>Phân loại vi phạm: has_conduct_edge = 1</w:t>
      </w:r>
    </w:p>
    <w:p>
      <w:pPr>
        <w:pStyle w:val="Heading3"/>
      </w:pPr>
      <w:r>
        <w:t>5. Đối soát Chéo</w:t>
      </w:r>
    </w:p>
    <w:p>
      <w:r>
        <w:rPr>
          <w:b/>
        </w:rPr>
        <w:t>M5.1 — Evidence Asymmetry &amp; Abstention Rate</w:t>
      </w:r>
      <w:r>
        <w:t xml:space="preserve"> Giá trị: </w:t>
      </w:r>
      <w:r>
        <w:rPr>
          <w:b/>
        </w:rPr>
        <w:t>73.49%</w:t>
      </w:r>
      <w:r>
        <w:t xml:space="preserve"> (341/464) · Mục tiêu: mô tả độ mỏng của kho bằng chứng — không phải chỉ tiêu cần tối ưu</w:t>
      </w:r>
    </w:p>
    <w:p>
      <w:r>
        <w:t>Phân bố kết luận: unverified_insufficient_evidence = 341, appears_contradicted = 72, appears_supported = 51</w:t>
      </w:r>
    </w:p>
    <w:p>
      <w:r>
        <w:rPr>
          <w:b/>
        </w:rPr>
        <w:t>M5.2 — Self-Verification Exclusion Rate</w:t>
      </w:r>
      <w:r>
        <w:t xml:space="preserve"> Giá trị: </w:t>
      </w:r>
      <w:r>
        <w:rPr>
          <w:b/>
        </w:rPr>
        <w:t>0.00%</w:t>
      </w:r>
      <w:r>
        <w:t xml:space="preserve"> (0/99) · Mục tiêu: bằng chứng xác nhận phải đến từ nguồn độc lập</w:t>
      </w:r>
    </w:p>
    <w:p>
      <w:pPr>
        <w:pStyle w:val="Heading2"/>
      </w:pPr>
      <w:r>
        <w:t>3. Tầng đánh giá chuyên gia (§3) và độ đồng thuận (§4)</w:t>
      </w:r>
    </w:p>
    <w:p>
      <w:r>
        <w:rPr>
          <w:b/>
        </w:rPr>
        <w:t>Chưa thu thập phiếu chấm nào.</w:t>
      </w:r>
      <w:r>
        <w:t xml:space="preserve"> Bộ công cụ đã sẵn sàng: evalu/rubric.py chứa rubric 4 khía cạnh × thang Likert 5 điểm, 3 nhóm hội đồng, bộ sinh phiếu trống và pipeline đồng thuận (Gwet AC2 / Krippendorff α, ngưỡng 0.61).</w:t>
      </w:r>
    </w:p>
    <w:p>
      <w:r>
        <w:t>Sinh phiếu trống:</w:t>
      </w:r>
    </w:p>
    <w:p>
      <w:r>
        <w:rPr>
          <w:rFonts w:ascii="Consolas" w:hAnsi="Consolas"/>
          <w:sz w:val="18"/>
        </w:rPr>
        <w:t>python evalu/run_evaluation.py --make-sheet --rater-id ceo01 --panel ceo --n-claims 30</w:t>
      </w:r>
    </w:p>
    <w:p>
      <w:r>
        <w:t xml:space="preserve">Hệ số chính: </w:t>
      </w:r>
      <w:r>
        <w:rPr>
          <w:b/>
        </w:rPr>
        <w:t>gwet_ac2</w:t>
      </w:r>
      <w:r>
        <w:t xml:space="preserve"> — Phân bố nhãn lệch mạnh về unverified_insufficient_evidence khiến chance-agreement của Kappa tiệm cận 1 và hệ số sụp về 0 (prevalence paradox). Gwet neo chance theo prevalence nên bền vững.</w:t>
      </w:r>
    </w:p>
    <w:p>
      <w:pPr>
        <w:pStyle w:val="Heading2"/>
      </w:pPr>
      <w:r>
        <w:t>4. Giới hạn cần nêu khi trích dẫn báo cáo này</w:t>
      </w:r>
    </w:p>
    <w:p>
      <w:pPr>
        <w:pStyle w:val="ListBullet"/>
      </w:pPr>
      <w:r>
        <w:t>Không có ground truth ⇒ không có precision/recall/F1 về greenwashing.</w:t>
      </w:r>
    </w:p>
    <w:p>
      <w:pPr>
        <w:pStyle w:val="ListBullet"/>
      </w:pPr>
      <w:r>
        <w:t xml:space="preserve">Chỉ số nội bộ đo </w:t>
      </w:r>
      <w:r>
        <w:rPr>
          <w:b/>
        </w:rPr>
        <w:t>tính nhất quán và độ phủ</w:t>
      </w:r>
      <w:r>
        <w:t xml:space="preserve">, không đo </w:t>
      </w:r>
      <w:r>
        <w:rPr>
          <w:b/>
        </w:rPr>
        <w:t>tính đúng</w:t>
      </w:r>
      <w:r>
        <w:t>.</w:t>
      </w:r>
    </w:p>
    <w:p>
      <w:pPr>
        <w:pStyle w:val="ListBullet"/>
      </w:pPr>
      <w:r>
        <w:t>Tỷ lệ abstention cao phản ánh kho tin tức độc lập còn mỏng, không phải lỗi thuật toán.</w:t>
      </w:r>
    </w:p>
    <w:p>
      <w:pPr>
        <w:pStyle w:val="ListBullet"/>
      </w:pPr>
      <w:r>
        <w:t>M1.1 (SNR) đo mức độ *neo được vào từ vựng KPI/GRI*, không phải độ chính xác của bộ phân loại ESG.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