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sz w:val="32"/>
          <w:szCs w:val="32"/>
        </w:rPr>
        <w:t xml:space="preserve">COS30018 — Intelligent Systems</w:t>
      </w:r>
    </w:p>
    <w:p>
      <w:pPr>
        <w:spacing w:after="120"/>
        <w:jc w:val="center"/>
      </w:pPr>
      <w:r>
        <w:rPr>
          <w:sz w:val="26"/>
          <w:szCs w:val="26"/>
        </w:rPr>
        <w:t xml:space="preserve">Project Assignment — Option D</w:t>
      </w:r>
    </w:p>
    <w:p>
      <w:pPr>
        <w:spacing w:after="120" w:before="300"/>
        <w:jc w:val="center"/>
      </w:pPr>
      <w:r>
        <w:rPr>
          <w:b/>
          <w:bCs/>
          <w:color w:val="1F3864"/>
          <w:sz w:val="40"/>
          <w:szCs w:val="40"/>
        </w:rPr>
        <w:t xml:space="preserve">Multi-Agent System for Restaurant Review Analysis</w:t>
      </w:r>
    </w:p>
    <w:p>
      <w:pPr>
        <w:spacing w:after="300"/>
        <w:jc w:val="center"/>
      </w:pPr>
      <w:r>
        <w:rPr>
          <w:i/>
          <w:iCs/>
          <w:sz w:val="24"/>
          <w:szCs w:val="24"/>
        </w:rPr>
        <w:t xml:space="preserve">An LLM-powered Autonomous Agent and Multi-Agent System — Business Improvement Agent</w:t>
      </w:r>
    </w:p>
    <w:p>
      <w:pPr>
        <w:spacing w:after="200"/>
        <w:jc w:val="center"/>
      </w:pPr>
      <w:r>
        <w:rPr>
          <w:b/>
          <w:bCs/>
          <w:sz w:val="28"/>
          <w:szCs w:val="28"/>
        </w:rPr>
        <w:t xml:space="preserve">Group 4.1 — Project Summary Report</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00"/>
        <w:gridCol w:w="1500"/>
        <w:gridCol w:w="4400"/>
      </w:tblGrid>
      <w:tr>
        <w:trPr>
          <w:tblHeader/>
        </w:trPr>
        <w:tc>
          <w:tcPr>
            <w:tcW w:type="dxa" w:w="3100"/>
            <w:shd w:fill="DCE3EF" w:val="clear"/>
            <w:tcMar>
              <w:top w:type="dxa" w:w="60"/>
              <w:left w:type="dxa" w:w="100"/>
              <w:bottom w:type="dxa" w:w="60"/>
              <w:right w:type="dxa" w:w="100"/>
            </w:tcMar>
          </w:tcPr>
          <w:p>
            <w:pPr>
              <w:spacing w:after="0"/>
            </w:pPr>
            <w:r>
              <w:rPr>
                <w:b/>
                <w:bCs/>
              </w:rPr>
              <w:t xml:space="preserve">Full name</w:t>
            </w:r>
          </w:p>
        </w:tc>
        <w:tc>
          <w:tcPr>
            <w:tcW w:type="dxa" w:w="1500"/>
            <w:shd w:fill="DCE3EF" w:val="clear"/>
            <w:tcMar>
              <w:top w:type="dxa" w:w="60"/>
              <w:left w:type="dxa" w:w="100"/>
              <w:bottom w:type="dxa" w:w="60"/>
              <w:right w:type="dxa" w:w="100"/>
            </w:tcMar>
          </w:tcPr>
          <w:p>
            <w:pPr>
              <w:spacing w:after="0"/>
            </w:pPr>
            <w:r>
              <w:rPr>
                <w:b/>
                <w:bCs/>
              </w:rPr>
              <w:t xml:space="preserve">Student ID</w:t>
            </w:r>
          </w:p>
        </w:tc>
        <w:tc>
          <w:tcPr>
            <w:tcW w:type="dxa" w:w="4400"/>
            <w:shd w:fill="DCE3EF" w:val="clear"/>
            <w:tcMar>
              <w:top w:type="dxa" w:w="60"/>
              <w:left w:type="dxa" w:w="100"/>
              <w:bottom w:type="dxa" w:w="60"/>
              <w:right w:type="dxa" w:w="100"/>
            </w:tcMar>
          </w:tcPr>
          <w:p>
            <w:pPr>
              <w:spacing w:after="0"/>
            </w:pPr>
            <w:r>
              <w:rPr>
                <w:b/>
                <w:bCs/>
              </w:rPr>
              <w:t xml:space="preserve">Role / modules owned (from git history — confirm)</w:t>
            </w:r>
          </w:p>
        </w:tc>
      </w:tr>
      <w:tr>
        <w:tc>
          <w:tcPr>
            <w:tcW w:type="dxa" w:w="3100"/>
            <w:tcMar>
              <w:top w:type="dxa" w:w="60"/>
              <w:left w:type="dxa" w:w="100"/>
              <w:bottom w:type="dxa" w:w="60"/>
              <w:right w:type="dxa" w:w="100"/>
            </w:tcMar>
          </w:tcPr>
          <w:p>
            <w:pPr>
              <w:spacing w:after="0"/>
            </w:pPr>
            <w:r>
              <w:t xml:space="preserve">Tran Manh Duc</w:t>
            </w:r>
          </w:p>
        </w:tc>
        <w:tc>
          <w:tcPr>
            <w:tcW w:type="dxa" w:w="1500"/>
            <w:tcMar>
              <w:top w:type="dxa" w:w="60"/>
              <w:left w:type="dxa" w:w="100"/>
              <w:bottom w:type="dxa" w:w="60"/>
              <w:right w:type="dxa" w:w="100"/>
            </w:tcMar>
          </w:tcPr>
          <w:p>
            <w:pPr>
              <w:spacing w:after="0"/>
            </w:pPr>
            <w:r>
              <w:t xml:space="preserve">[ID]</w:t>
            </w:r>
          </w:p>
        </w:tc>
        <w:tc>
          <w:tcPr>
            <w:tcW w:type="dxa" w:w="4400"/>
            <w:tcMar>
              <w:top w:type="dxa" w:w="60"/>
              <w:left w:type="dxa" w:w="100"/>
              <w:bottom w:type="dxa" w:w="60"/>
              <w:right w:type="dxa" w:w="100"/>
            </w:tcMar>
          </w:tcPr>
          <w:p>
            <w:pPr>
              <w:spacing w:after="0"/>
            </w:pPr>
            <w:r>
              <w:t xml:space="preserve">Repository owner; integration and merges (PRs #7–#12); API wiring; frontend contributions</w:t>
            </w:r>
          </w:p>
        </w:tc>
      </w:tr>
      <w:tr>
        <w:tc>
          <w:tcPr>
            <w:tcW w:type="dxa" w:w="3100"/>
            <w:tcMar>
              <w:top w:type="dxa" w:w="60"/>
              <w:left w:type="dxa" w:w="100"/>
              <w:bottom w:type="dxa" w:w="60"/>
              <w:right w:type="dxa" w:w="100"/>
            </w:tcMar>
          </w:tcPr>
          <w:p>
            <w:pPr>
              <w:spacing w:after="0"/>
            </w:pPr>
            <w:r>
              <w:t xml:space="preserve">Khanh Nguyen</w:t>
            </w:r>
          </w:p>
        </w:tc>
        <w:tc>
          <w:tcPr>
            <w:tcW w:type="dxa" w:w="1500"/>
            <w:tcMar>
              <w:top w:type="dxa" w:w="60"/>
              <w:left w:type="dxa" w:w="100"/>
              <w:bottom w:type="dxa" w:w="60"/>
              <w:right w:type="dxa" w:w="100"/>
            </w:tcMar>
          </w:tcPr>
          <w:p>
            <w:pPr>
              <w:spacing w:after="0"/>
            </w:pPr>
            <w:r>
              <w:t xml:space="preserve">[ID]</w:t>
            </w:r>
          </w:p>
        </w:tc>
        <w:tc>
          <w:tcPr>
            <w:tcW w:type="dxa" w:w="4400"/>
            <w:tcMar>
              <w:top w:type="dxa" w:w="60"/>
              <w:left w:type="dxa" w:w="100"/>
              <w:bottom w:type="dxa" w:w="60"/>
              <w:right w:type="dxa" w:w="100"/>
            </w:tcMar>
          </w:tcPr>
          <w:p>
            <w:pPr>
              <w:spacing w:after="0"/>
            </w:pPr>
            <w:r>
              <w:t xml:space="preserve">Data pipeline: loader, SQLite index, seeded sampling, fuzzy matching, preprocessing</w:t>
            </w:r>
          </w:p>
        </w:tc>
      </w:tr>
      <w:tr>
        <w:tc>
          <w:tcPr>
            <w:tcW w:type="dxa" w:w="3100"/>
            <w:tcMar>
              <w:top w:type="dxa" w:w="60"/>
              <w:left w:type="dxa" w:w="100"/>
              <w:bottom w:type="dxa" w:w="60"/>
              <w:right w:type="dxa" w:w="100"/>
            </w:tcMar>
          </w:tcPr>
          <w:p>
            <w:pPr>
              <w:spacing w:after="0"/>
            </w:pPr>
            <w:r>
              <w:t xml:space="preserve">Pham Ho Quang Dung</w:t>
            </w:r>
          </w:p>
        </w:tc>
        <w:tc>
          <w:tcPr>
            <w:tcW w:type="dxa" w:w="1500"/>
            <w:tcMar>
              <w:top w:type="dxa" w:w="60"/>
              <w:left w:type="dxa" w:w="100"/>
              <w:bottom w:type="dxa" w:w="60"/>
              <w:right w:type="dxa" w:w="100"/>
            </w:tcMar>
          </w:tcPr>
          <w:p>
            <w:pPr>
              <w:spacing w:after="0"/>
            </w:pPr>
            <w:r>
              <w:t xml:space="preserve">[ID]</w:t>
            </w:r>
          </w:p>
        </w:tc>
        <w:tc>
          <w:tcPr>
            <w:tcW w:type="dxa" w:w="4400"/>
            <w:tcMar>
              <w:top w:type="dxa" w:w="60"/>
              <w:left w:type="dxa" w:w="100"/>
              <w:bottom w:type="dxa" w:w="60"/>
              <w:right w:type="dxa" w:w="100"/>
            </w:tcMar>
          </w:tcPr>
          <w:p>
            <w:pPr>
              <w:spacing w:after="0"/>
            </w:pPr>
            <w:r>
              <w:t xml:space="preserve">Analysis + Reasoning agents; self-correction loop; simple-hub supervision (Option B)</w:t>
            </w:r>
          </w:p>
        </w:tc>
      </w:tr>
      <w:tr>
        <w:tc>
          <w:tcPr>
            <w:tcW w:type="dxa" w:w="3100"/>
            <w:tcMar>
              <w:top w:type="dxa" w:w="60"/>
              <w:left w:type="dxa" w:w="100"/>
              <w:bottom w:type="dxa" w:w="60"/>
              <w:right w:type="dxa" w:w="100"/>
            </w:tcMar>
          </w:tcPr>
          <w:p>
            <w:pPr>
              <w:spacing w:after="0"/>
            </w:pPr>
            <w:r>
              <w:t xml:space="preserve">Hoang Huu Hoan</w:t>
            </w:r>
          </w:p>
        </w:tc>
        <w:tc>
          <w:tcPr>
            <w:tcW w:type="dxa" w:w="1500"/>
            <w:tcMar>
              <w:top w:type="dxa" w:w="60"/>
              <w:left w:type="dxa" w:w="100"/>
              <w:bottom w:type="dxa" w:w="60"/>
              <w:right w:type="dxa" w:w="100"/>
            </w:tcMar>
          </w:tcPr>
          <w:p>
            <w:pPr>
              <w:spacing w:after="0"/>
            </w:pPr>
            <w:r>
              <w:t xml:space="preserve">[ID]</w:t>
            </w:r>
          </w:p>
        </w:tc>
        <w:tc>
          <w:tcPr>
            <w:tcW w:type="dxa" w:w="4400"/>
            <w:tcMar>
              <w:top w:type="dxa" w:w="60"/>
              <w:left w:type="dxa" w:w="100"/>
              <w:bottom w:type="dxa" w:w="60"/>
              <w:right w:type="dxa" w:w="100"/>
            </w:tcMar>
          </w:tcPr>
          <w:p>
            <w:pPr>
              <w:spacing w:after="0"/>
            </w:pPr>
            <w:r>
              <w:t xml:space="preserve">Evaluation harness (Tiers 1/1b/2/3); gold-set labelling; core orchestration contributions</w:t>
            </w:r>
          </w:p>
        </w:tc>
      </w:tr>
    </w:tbl>
    <w:p>
      <w:pPr>
        <w:spacing w:after="120"/>
      </w:pPr>
    </w:p>
    <w:p>
      <w:pPr>
        <w:pBdr>
          <w:left w:val="single" w:color="B45309" w:sz="18" w:space="4"/>
        </w:pBdr>
        <w:shd w:fill="FFF2CC" w:val="clear"/>
        <w:spacing w:after="140"/>
        <w:ind w:left="200"/>
      </w:pPr>
      <w:r>
        <w:rPr>
          <w:b/>
          <w:bCs/>
          <w:color w:val="B45309"/>
        </w:rPr>
        <w:t xml:space="preserve">NEEDS HUMAN INPUT / LIVE DATA — </w:t>
      </w:r>
      <w:r>
        <w:t xml:space="preserve">Fill in full names as they should appear on the report, student IDs, supervisor name, semester, and submission date. The role column is derived from git history (branches dung/analysis-reasoning-agent, feature/khanh-data, eval/tier2-full-73-gold; merged PRs #7–#12) and must be confirmed against the team's official Member 1–5 numbering.</w:t>
      </w:r>
    </w:p>
    <w:p>
      <w:pPr>
        <w:spacing w:after="120"/>
        <w:jc w:val="center"/>
      </w:pPr>
      <w:r>
        <w:rPr>
          <w:b/>
          <w:bCs/>
        </w:rPr>
        <w:t xml:space="preserve">Supervisor:</w:t>
      </w:r>
      <w:r>
        <w:t xml:space="preserve"> [supervisor name]    ·    </w:t>
      </w:r>
      <w:r>
        <w:rPr>
          <w:b/>
          <w:bCs/>
        </w:rPr>
        <w:t xml:space="preserve">Semester:</w:t>
      </w:r>
      <w:r>
        <w:t xml:space="preserve"> [semester, year]    ·    </w:t>
      </w:r>
      <w:r>
        <w:rPr>
          <w:b/>
          <w:bCs/>
        </w:rPr>
        <w:t xml:space="preserve">Submission date:</w:t>
      </w:r>
      <w:r>
        <w:t xml:space="preserve"> [dd/mm/yyyy]</w:t>
      </w:r>
    </w:p>
    <w:p>
      <w:pPr>
        <w:spacing w:after="120"/>
        <w:jc w:val="center"/>
      </w:pPr>
      <w:r>
        <w:rPr>
          <w:b/>
          <w:bCs/>
        </w:rPr>
        <w:t xml:space="preserve">Repository:</w:t>
      </w:r>
      <w:r>
        <w:t xml:space="preserve"> github.com/TranDuc511/COS30018_Group-4.1_Multi-Agent-System-for-Restaurant-Review-Analysis</w:t>
      </w:r>
    </w:p>
    <w:p>
      <w:r>
        <w:br w:type="page"/>
      </w:r>
    </w:p>
    <w:p>
      <w:pPr>
        <w:pStyle w:val="Heading1"/>
        <w:spacing w:after="160" w:before="3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pPr>
      <w:r>
        <w:t xml:space="preserve">(In Word: right-click the table → Update Field to populate page numbers.)</w:t>
      </w:r>
    </w:p>
    <w:p>
      <w:r>
        <w:br w:type="page"/>
      </w:r>
    </w:p>
    <w:p>
      <w:pPr>
        <w:pStyle w:val="Heading1"/>
        <w:spacing w:after="160" w:before="360"/>
      </w:pPr>
      <w:r>
        <w:t xml:space="preserve">1. Introduction</w:t>
      </w:r>
    </w:p>
    <w:p>
      <w:pPr>
        <w:pStyle w:val="Heading2"/>
        <w:spacing w:after="120" w:before="240"/>
      </w:pPr>
      <w:r>
        <w:t xml:space="preserve">1.1 Background and Motivation</w:t>
      </w:r>
    </w:p>
    <w:p>
      <w:pPr>
        <w:spacing w:after="120"/>
      </w:pPr>
      <w:r>
        <w:t xml:space="preserve">Restaurant feedback is scattered across large volumes of unstructured review text. A restaurant owner reading Yelp reviews one by one cannot reliably extract what recurs, what is anecdotal, and what is actionable. The Option D brief frames this as the Business Improvement Agent mission: turn raw customer reviews into evidence-linked insight — recurring positive and negative patterns, cautious root-cause hypotheses, and prioritised improvement actions — rather than a bare sentiment count.</w:t>
      </w:r>
    </w:p>
    <w:p>
      <w:pPr>
        <w:spacing w:after="120"/>
      </w:pPr>
      <w:r>
        <w:t xml:space="preserve">Large language models make this tractable without task-specific training: LLMs can perform aspect-based sentiment analysis by prompting alone [14][15][16], and decomposing a complex task across several role-specialised LLM agents is now an established design paradigm [1][2][3][4][5]. This project applies both ideas to the Yelp Open Dataset, with an explicit emphasis on making every claim the system produces either machine-verified, recomputed, or explicitly bounded.</w:t>
      </w:r>
    </w:p>
    <w:p>
      <w:pPr>
        <w:pStyle w:val="Heading2"/>
        <w:spacing w:after="120" w:before="240"/>
      </w:pPr>
      <w:r>
        <w:t xml:space="preserve">1.2 Project Goals (G1 and G2)</w:t>
      </w:r>
    </w:p>
    <w:p>
      <w:pPr>
        <w:pStyle w:val="ListParagraph"/>
        <w:numPr>
          <w:ilvl w:val="0"/>
          <w:numId w:val="2"/>
        </w:numPr>
        <w:spacing w:after="80"/>
      </w:pPr>
      <w:r>
        <w:rPr>
          <w:b/>
          <w:bCs/>
        </w:rPr>
        <w:t xml:space="preserve">G1 — a single LLM-powered autonomous agent.</w:t>
      </w:r>
      <w:r>
        <w:t xml:space="preserve"> Achieved. Each agent in the system (most visibly the Analysis Agent) is an autonomous LLM unit: it plans its output against a fixed JSON contract, validates its own result with Pydantic, and self-corrects from validation feedback for up to two retries before reporting a structured error — a post-hoc self-correction loop in the sense of [6][7][8][9].</w:t>
      </w:r>
    </w:p>
    <w:p>
      <w:pPr>
        <w:pStyle w:val="ListParagraph"/>
        <w:numPr>
          <w:ilvl w:val="0"/>
          <w:numId w:val="2"/>
        </w:numPr>
        <w:spacing w:after="80"/>
      </w:pPr>
      <w:r>
        <w:rPr>
          <w:b/>
          <w:bCs/>
        </w:rPr>
        <w:t xml:space="preserve">G2 — a collaborating multi-agent system.</w:t>
      </w:r>
      <w:r>
        <w:t xml:space="preserve"> Achieved. Four specialised agents (Analysis, Reasoning, Strategy, Report) collaborate through typed contracts under a central supervising orchestrator implemented in LangGraph. The orchestrator runs after every stage, measures each output with deterministic checks, and decides whether the pipeline proceeds, proceeds with a warning, retries the stage with feedback, or halts.</w:t>
      </w:r>
    </w:p>
    <w:p>
      <w:pPr>
        <w:spacing w:after="120"/>
      </w:pPr>
      <w:r>
        <w:t xml:space="preserve">Both goals were carried through to a live, evaluated system: the full pipeline was run end-to-end against real Yelp data with a four-tier evaluation harness (Section 5).</w:t>
      </w:r>
    </w:p>
    <w:p>
      <w:pPr>
        <w:pStyle w:val="Heading2"/>
        <w:spacing w:after="120" w:before="240"/>
      </w:pPr>
      <w:r>
        <w:t xml:space="preserve">1.3 Mission and Scope</w:t>
      </w:r>
    </w:p>
    <w:p>
      <w:pPr>
        <w:spacing w:after="120"/>
      </w:pPr>
      <w:r>
        <w:rPr>
          <w:b/>
          <w:bCs/>
        </w:rPr>
        <w:t xml:space="preserve">Input:</w:t>
      </w:r>
      <w:r>
        <w:t xml:space="preserve"> reviews for one selected restaurant from the Yelp Open Dataset (local copy, ~5.34 GB review file, indexed into SQLite). </w:t>
      </w:r>
      <w:r>
        <w:rPr>
          <w:b/>
          <w:bCs/>
        </w:rPr>
        <w:t xml:space="preserve">Output:</w:t>
      </w:r>
      <w:r>
        <w:t xml:space="preserve"> a structured business-improvement report — sentiment and aspect summary, recurring patterns with evidence review IDs, root-cause hypotheses with confidence levels, prioritised recommendations, and an explicit limitations statement — delivered through a FastAPI backend and a React dashboard with live pipeline progress.</w:t>
      </w:r>
    </w:p>
    <w:p>
      <w:pPr>
        <w:spacing w:after="120"/>
      </w:pPr>
      <w:r>
        <w:rPr>
          <w:b/>
          <w:bCs/>
        </w:rPr>
        <w:t xml:space="preserve">Scope boundary, stated plainly:</w:t>
      </w:r>
      <w:r>
        <w:t xml:space="preserve"> the system samples </w:t>
      </w:r>
      <w:r>
        <w:rPr>
          <w:b/>
          <w:bCs/>
        </w:rPr>
        <w:t xml:space="preserve">at most 100 reviews per restaurant</w:t>
      </w:r>
      <w:r>
        <w:t xml:space="preserve"> (a validated, seeded random sample; configurable 1–100 per request) and does </w:t>
      </w:r>
      <w:r>
        <w:rPr>
          <w:b/>
          <w:bCs/>
        </w:rPr>
        <w:t xml:space="preserve">not</w:t>
      </w:r>
      <w:r>
        <w:t xml:space="preserve"> claim to analyse the whole Yelp dataset or the whole review history of a business. Non-goals: production deployment (the API is a local-demo API — Section 7.3), multilingual analysis, and real-time review ingestion.</w:t>
      </w:r>
    </w:p>
    <w:p>
      <w:pPr>
        <w:pStyle w:val="Heading2"/>
        <w:spacing w:after="120" w:before="240"/>
      </w:pPr>
      <w:r>
        <w:t xml:space="preserve">1.4 Report Structure</w:t>
      </w:r>
    </w:p>
    <w:p>
      <w:pPr>
        <w:spacing w:after="120"/>
      </w:pPr>
      <w:r>
        <w:t xml:space="preserve">Section 2 describes the architecture: agents, the hub orchestrator, contracts, the provider layer, API/frontend, and all external libraries. Section 3 is the installation and user guide. Section 4 details each member's implementation work. Section 5 presents the four-tier evaluation methodology and results; Section 6 walks through demonstration scenarios; Section 7 gives a critical analysis including the project's distinctive contributions; Section 8 interprets the experimental results and their threats to validity; Section 9 concludes with achievements and future work.</w:t>
      </w:r>
    </w:p>
    <w:p>
      <w:pPr>
        <w:pStyle w:val="Heading1"/>
        <w:spacing w:after="160" w:before="360"/>
      </w:pPr>
      <w:r>
        <w:t xml:space="preserve">2. Overall System Architecture</w:t>
      </w:r>
    </w:p>
    <w:p>
      <w:pPr>
        <w:pStyle w:val="Heading2"/>
        <w:spacing w:after="120" w:before="240"/>
      </w:pPr>
      <w:r>
        <w:t xml:space="preserve">2.1 Architecture Overview</w:t>
      </w:r>
    </w:p>
    <w:p>
      <w:pPr>
        <w:spacing w:after="120"/>
      </w:pPr>
      <w:r>
        <w:t xml:space="preserve">The system is a staged pipeline wrapped by a supervising hub. Data flows from the Yelp dataset through business matching, review loading and preprocessing, then through four LLM agents; after </w:t>
      </w:r>
      <w:r>
        <w:rPr>
          <w:b/>
          <w:bCs/>
        </w:rPr>
        <w:t xml:space="preserve">every</w:t>
      </w:r>
      <w:r>
        <w:t xml:space="preserve"> agent stage the orchestrator node measures the output and routes the graph. Delivery is via FastAPI (synchronous POST or Server-Sent Events streaming) into a React dashboard.</w:t>
      </w:r>
    </w:p>
    <w:p>
      <w:pPr>
        <w:shd w:fill="F3F4F6" w:val="clear"/>
        <w:spacing w:after="0"/>
        <w:ind w:left="200"/>
      </w:pPr>
      <w:r>
        <w:rPr>
          <w:rFonts w:ascii="Consolas" w:cs="Consolas" w:eastAsia="Consolas" w:hAnsi="Consolas"/>
          <w:sz w:val="18"/>
          <w:szCs w:val="18"/>
        </w:rPr>
        <w:t xml:space="preserve">Yelp Open Dataset (business.json / review.json | SQLite index yelp.db)</w:t>
      </w:r>
    </w:p>
    <w:p>
      <w:pPr>
        <w:shd w:fill="F3F4F6" w:val="clear"/>
        <w:spacing w:after="0"/>
        <w:ind w:left="200"/>
      </w:pPr>
      <w:r>
        <w:rPr>
          <w:rFonts w:ascii="Consolas" w:cs="Consolas" w:eastAsia="Consolas" w:hAnsi="Consolas"/>
          <w:sz w:val="18"/>
          <w:szCs w:val="18"/>
        </w:rPr>
        <w:t xml:space="preserve">        |  fuzzy business matching (RapidFuzz)</w:t>
      </w:r>
    </w:p>
    <w:p>
      <w:pPr>
        <w:shd w:fill="F3F4F6" w:val="clear"/>
        <w:spacing w:after="0"/>
        <w:ind w:left="200"/>
      </w:pPr>
      <w:r>
        <w:rPr>
          <w:rFonts w:ascii="Consolas" w:cs="Consolas" w:eastAsia="Consolas" w:hAnsi="Consolas"/>
          <w:sz w:val="18"/>
          <w:szCs w:val="18"/>
        </w:rPr>
        <w:t xml:space="preserve">        v</w:t>
      </w:r>
    </w:p>
    <w:p>
      <w:pPr>
        <w:shd w:fill="F3F4F6" w:val="clear"/>
        <w:spacing w:after="0"/>
        <w:ind w:left="200"/>
      </w:pPr>
      <w:r>
        <w:rPr>
          <w:rFonts w:ascii="Consolas" w:cs="Consolas" w:eastAsia="Consolas" w:hAnsi="Consolas"/>
          <w:sz w:val="18"/>
          <w:szCs w:val="18"/>
        </w:rPr>
        <w:t xml:space="preserve">  review loading (seeded sample, cap 100)  -&gt;  preprocessing (pandas)</w:t>
      </w:r>
    </w:p>
    <w:p>
      <w:pPr>
        <w:shd w:fill="F3F4F6" w:val="clear"/>
        <w:spacing w:after="0"/>
        <w:ind w:left="200"/>
      </w:pPr>
      <w:r>
        <w:rPr>
          <w:rFonts w:ascii="Consolas" w:cs="Consolas" w:eastAsia="Consolas" w:hAnsi="Consolas"/>
          <w:sz w:val="18"/>
          <w:szCs w:val="18"/>
        </w:rPr>
        <w:t xml:space="preserve">        v</w:t>
      </w:r>
    </w:p>
    <w:p>
      <w:pPr>
        <w:shd w:fill="F3F4F6" w:val="clear"/>
        <w:spacing w:after="0"/>
        <w:ind w:left="200"/>
      </w:pPr>
      <w:r>
        <w:rPr>
          <w:rFonts w:ascii="Consolas" w:cs="Consolas" w:eastAsia="Consolas" w:hAnsi="Consolas"/>
          <w:sz w:val="18"/>
          <w:szCs w:val="18"/>
        </w:rPr>
        <w:t xml:space="preserve">  +--------------------- LangGraph pipeline ----------------------+</w:t>
      </w:r>
    </w:p>
    <w:p>
      <w:pPr>
        <w:shd w:fill="F3F4F6" w:val="clear"/>
        <w:spacing w:after="0"/>
        <w:ind w:left="200"/>
      </w:pPr>
      <w:r>
        <w:rPr>
          <w:rFonts w:ascii="Consolas" w:cs="Consolas" w:eastAsia="Consolas" w:hAnsi="Consolas"/>
          <w:sz w:val="18"/>
          <w:szCs w:val="18"/>
        </w:rPr>
        <w:t xml:space="preserve">  | preprocess -&gt; Analysis -&gt; ORCH -&gt; Reasoning -&gt; ORCH -&gt;        |</w:t>
      </w:r>
    </w:p>
    <w:p>
      <w:pPr>
        <w:shd w:fill="F3F4F6" w:val="clear"/>
        <w:spacing w:after="0"/>
        <w:ind w:left="200"/>
      </w:pPr>
      <w:r>
        <w:rPr>
          <w:rFonts w:ascii="Consolas" w:cs="Consolas" w:eastAsia="Consolas" w:hAnsi="Consolas"/>
          <w:sz w:val="18"/>
          <w:szCs w:val="18"/>
        </w:rPr>
        <w:t xml:space="preserve">  |              Strategy -&gt; ORCH -&gt; Report -&gt; ORCH -&gt; END        |</w:t>
      </w:r>
    </w:p>
    <w:p>
      <w:pPr>
        <w:shd w:fill="F3F4F6" w:val="clear"/>
        <w:spacing w:after="0"/>
        <w:ind w:left="200"/>
      </w:pPr>
      <w:r>
        <w:rPr>
          <w:rFonts w:ascii="Consolas" w:cs="Consolas" w:eastAsia="Consolas" w:hAnsi="Consolas"/>
          <w:sz w:val="18"/>
          <w:szCs w:val="18"/>
        </w:rPr>
        <w:t xml:space="preserve">  |   ORCH verdicts: proceed | proceed_with_warning | retry | halt|</w:t>
      </w:r>
    </w:p>
    <w:p>
      <w:pPr>
        <w:shd w:fill="F3F4F6" w:val="clear"/>
        <w:spacing w:after="0"/>
        <w:ind w:left="200"/>
      </w:pPr>
      <w:r>
        <w:rPr>
          <w:rFonts w:ascii="Consolas" w:cs="Consolas" w:eastAsia="Consolas" w:hAnsi="Consolas"/>
          <w:sz w:val="18"/>
          <w:szCs w:val="18"/>
        </w:rPr>
        <w:t xml:space="preserve">  |   retry re-runs the same stage WITH feedback in the prompt    |</w:t>
      </w:r>
    </w:p>
    <w:p>
      <w:pPr>
        <w:shd w:fill="F3F4F6" w:val="clear"/>
        <w:spacing w:after="0"/>
        <w:ind w:left="200"/>
      </w:pPr>
      <w:r>
        <w:rPr>
          <w:rFonts w:ascii="Consolas" w:cs="Consolas" w:eastAsia="Consolas" w:hAnsi="Consolas"/>
          <w:sz w:val="18"/>
          <w:szCs w:val="18"/>
        </w:rPr>
        <w:t xml:space="preserve">  +---------------------------------------------------------------+</w:t>
      </w:r>
    </w:p>
    <w:p>
      <w:pPr>
        <w:shd w:fill="F3F4F6" w:val="clear"/>
        <w:spacing w:after="0"/>
        <w:ind w:left="200"/>
      </w:pPr>
      <w:r>
        <w:rPr>
          <w:rFonts w:ascii="Consolas" w:cs="Consolas" w:eastAsia="Consolas" w:hAnsi="Consolas"/>
          <w:sz w:val="18"/>
          <w:szCs w:val="18"/>
        </w:rPr>
        <w:t xml:space="preserve">        v                                    LLM provider layer</w:t>
      </w:r>
    </w:p>
    <w:p>
      <w:pPr>
        <w:shd w:fill="F3F4F6" w:val="clear"/>
        <w:spacing w:after="0"/>
        <w:ind w:left="200"/>
      </w:pPr>
      <w:r>
        <w:rPr>
          <w:rFonts w:ascii="Consolas" w:cs="Consolas" w:eastAsia="Consolas" w:hAnsi="Consolas"/>
          <w:sz w:val="18"/>
          <w:szCs w:val="18"/>
        </w:rPr>
        <w:t xml:space="preserve">  FastAPI (POST /api/reports, SSE stream)    (OpenAI-compatible:</w:t>
      </w:r>
    </w:p>
    <w:p>
      <w:pPr>
        <w:shd w:fill="F3F4F6" w:val="clear"/>
        <w:spacing w:after="0"/>
        <w:ind w:left="200"/>
      </w:pPr>
      <w:r>
        <w:rPr>
          <w:rFonts w:ascii="Consolas" w:cs="Consolas" w:eastAsia="Consolas" w:hAnsi="Consolas"/>
          <w:sz w:val="18"/>
          <w:szCs w:val="18"/>
        </w:rPr>
        <w:t xml:space="preserve">        v                                     Gemini cloud / Ollama local)</w:t>
      </w:r>
    </w:p>
    <w:p>
      <w:pPr>
        <w:shd w:fill="F3F4F6" w:val="clear"/>
        <w:spacing w:after="140"/>
        <w:ind w:left="200"/>
      </w:pPr>
      <w:r>
        <w:rPr>
          <w:rFonts w:ascii="Consolas" w:cs="Consolas" w:eastAsia="Consolas" w:hAnsi="Consolas"/>
          <w:sz w:val="18"/>
          <w:szCs w:val="18"/>
        </w:rPr>
        <w:t xml:space="preserve">  React dashboard + Pipeline Monitor (SSE)</w:t>
      </w:r>
    </w:p>
    <w:p>
      <w:pPr>
        <w:pBdr>
          <w:left w:val="single" w:color="B45309" w:sz="18" w:space="4"/>
        </w:pBdr>
        <w:shd w:fill="FFF2CC" w:val="clear"/>
        <w:spacing w:after="140"/>
        <w:ind w:left="200"/>
      </w:pPr>
      <w:r>
        <w:rPr>
          <w:b/>
          <w:bCs/>
          <w:color w:val="B45309"/>
        </w:rPr>
        <w:t xml:space="preserve">NEEDS HUMAN INPUT / LIVE DATA — </w:t>
      </w:r>
      <w:r>
        <w:t xml:space="preserve">FIGURE 1 — replace the ASCII sketch above with a drawn system-architecture diagram (agents, orchestrator hub, API, frontend, data and LLM layers). The sketch above is the accurate wiring to draw from; it reflects backend/app/core/graph.py as implemented (commit 953a6bd).</w:t>
      </w:r>
    </w:p>
    <w:p>
      <w:pPr>
        <w:pStyle w:val="Heading2"/>
        <w:spacing w:after="120" w:before="240"/>
      </w:pPr>
      <w:r>
        <w:t xml:space="preserve">2.2 Agent Roles and Responsibilities</w:t>
      </w:r>
    </w:p>
    <w:p>
      <w:pPr>
        <w:pStyle w:val="ListParagraph"/>
        <w:numPr>
          <w:ilvl w:val="0"/>
          <w:numId w:val="2"/>
        </w:numPr>
        <w:spacing w:after="80"/>
      </w:pPr>
      <w:r>
        <w:rPr>
          <w:b/>
          <w:bCs/>
        </w:rPr>
        <w:t xml:space="preserve">Analysis Agent</w:t>
      </w:r>
      <w:r>
        <w:t xml:space="preserve"> (</w:t>
      </w:r>
      <w:r>
        <w:rPr>
          <w:rFonts w:ascii="Consolas" w:cs="Consolas" w:eastAsia="Consolas" w:hAnsi="Consolas"/>
          <w:sz w:val="19"/>
          <w:szCs w:val="19"/>
        </w:rPr>
        <w:t xml:space="preserve">analysis_agent.py</w:t>
      </w:r>
      <w:r>
        <w:t xml:space="preserve">) — classifies each review's overall sentiment (positive / negative / neutral / mixed) and per-aspect polarity over seven aspect categories (food_quality, staff_attitude, pricing, wait_time, ambience, cleanliness, other). Reviews are batched 10 per LLM call; a cross-record validator requires the returned review-ID list to equal the input list in order, and a violation re-enters the same self-correction loop as a schema error. It is the only stage with objectively checkable answers, so it anchors Tier 2 evaluation.</w:t>
      </w:r>
    </w:p>
    <w:p>
      <w:pPr>
        <w:pStyle w:val="ListParagraph"/>
        <w:numPr>
          <w:ilvl w:val="0"/>
          <w:numId w:val="2"/>
        </w:numPr>
        <w:spacing w:after="80"/>
      </w:pPr>
      <w:r>
        <w:rPr>
          <w:b/>
          <w:bCs/>
        </w:rPr>
        <w:t xml:space="preserve">Reasoning Agent</w:t>
      </w:r>
      <w:r>
        <w:t xml:space="preserve"> (</w:t>
      </w:r>
      <w:r>
        <w:rPr>
          <w:rFonts w:ascii="Consolas" w:cs="Consolas" w:eastAsia="Consolas" w:hAnsi="Consolas"/>
          <w:sz w:val="19"/>
          <w:szCs w:val="19"/>
        </w:rPr>
        <w:t xml:space="preserve">reasoning_agent.py</w:t>
      </w:r>
      <w:r>
        <w:t xml:space="preserve">) — aggregates the successful analysis rows into recurring negative patterns (description, aspect, frequency, evidence review IDs) and root-cause hypotheses (pattern, cause, confidence low/medium/high). Its claimed pattern frequencies are treated as advisory: the orchestrator recomputes them in Python and overwrites them (Section 2.3).</w:t>
      </w:r>
    </w:p>
    <w:p>
      <w:pPr>
        <w:pStyle w:val="ListParagraph"/>
        <w:numPr>
          <w:ilvl w:val="0"/>
          <w:numId w:val="2"/>
        </w:numPr>
        <w:spacing w:after="80"/>
      </w:pPr>
      <w:r>
        <w:rPr>
          <w:b/>
          <w:bCs/>
        </w:rPr>
        <w:t xml:space="preserve">Strategy Agent</w:t>
      </w:r>
      <w:r>
        <w:t xml:space="preserve"> (</w:t>
      </w:r>
      <w:r>
        <w:rPr>
          <w:rFonts w:ascii="Consolas" w:cs="Consolas" w:eastAsia="Consolas" w:hAnsi="Consolas"/>
          <w:sz w:val="19"/>
          <w:szCs w:val="19"/>
        </w:rPr>
        <w:t xml:space="preserve">strategy_agent.py</w:t>
      </w:r>
      <w:r>
        <w:t xml:space="preserve">) — converts patterns and root causes into prioritised recommendations (priority ≥ 1, issue, action, category, expected impact). It has both an LLM mode (default) and a deterministic fallback mode that ranks by confidence then frequency.</w:t>
      </w:r>
    </w:p>
    <w:p>
      <w:pPr>
        <w:pStyle w:val="ListParagraph"/>
        <w:numPr>
          <w:ilvl w:val="0"/>
          <w:numId w:val="2"/>
        </w:numPr>
        <w:spacing w:after="80"/>
      </w:pPr>
      <w:r>
        <w:rPr>
          <w:b/>
          <w:bCs/>
        </w:rPr>
        <w:t xml:space="preserve">Report Agent</w:t>
      </w:r>
      <w:r>
        <w:t xml:space="preserve"> (</w:t>
      </w:r>
      <w:r>
        <w:rPr>
          <w:rFonts w:ascii="Consolas" w:cs="Consolas" w:eastAsia="Consolas" w:hAnsi="Consolas"/>
          <w:sz w:val="19"/>
          <w:szCs w:val="19"/>
        </w:rPr>
        <w:t xml:space="preserve">report_agent.py</w:t>
      </w:r>
      <w:r>
        <w:t xml:space="preserve">) — assembles the final </w:t>
      </w:r>
      <w:r>
        <w:rPr>
          <w:rFonts w:ascii="Consolas" w:cs="Consolas" w:eastAsia="Consolas" w:hAnsi="Consolas"/>
          <w:sz w:val="19"/>
          <w:szCs w:val="19"/>
        </w:rPr>
        <w:t xml:space="preserve">ReportOutput</w:t>
      </w:r>
      <w:r>
        <w:t xml:space="preserve">: title, business name, sample size, executive summary, key findings, root causes, recommendations, and a mandatory limitations statement. Business name and sample size are overwritten from trusted pipeline state so the model cannot mislabel the report.</w:t>
      </w:r>
    </w:p>
    <w:p>
      <w:pPr>
        <w:pStyle w:val="ListParagraph"/>
        <w:numPr>
          <w:ilvl w:val="0"/>
          <w:numId w:val="2"/>
        </w:numPr>
        <w:spacing w:after="80"/>
      </w:pPr>
      <w:r>
        <w:rPr>
          <w:b/>
          <w:bCs/>
        </w:rPr>
        <w:t xml:space="preserve">Orchestrator (hub)</w:t>
      </w:r>
      <w:r>
        <w:t xml:space="preserve"> (</w:t>
      </w:r>
      <w:r>
        <w:rPr>
          <w:rFonts w:ascii="Consolas" w:cs="Consolas" w:eastAsia="Consolas" w:hAnsi="Consolas"/>
          <w:sz w:val="19"/>
          <w:szCs w:val="19"/>
        </w:rPr>
        <w:t xml:space="preserve">core/orchestrator.py</w:t>
      </w:r>
      <w:r>
        <w:t xml:space="preserve"> + </w:t>
      </w:r>
      <w:r>
        <w:rPr>
          <w:rFonts w:ascii="Consolas" w:cs="Consolas" w:eastAsia="Consolas" w:hAnsi="Consolas"/>
          <w:sz w:val="19"/>
          <w:szCs w:val="19"/>
        </w:rPr>
        <w:t xml:space="preserve">core/graph.py</w:t>
      </w:r>
      <w:r>
        <w:t xml:space="preserve"> + </w:t>
      </w:r>
      <w:r>
        <w:rPr>
          <w:rFonts w:ascii="Consolas" w:cs="Consolas" w:eastAsia="Consolas" w:hAnsi="Consolas"/>
          <w:sz w:val="19"/>
          <w:szCs w:val="19"/>
        </w:rPr>
        <w:t xml:space="preserve">core/supervision.py</w:t>
      </w:r>
      <w:r>
        <w:t xml:space="preserve">) — not an LLM agent on the common path: a deterministic supervisor that measures every stage output and routes the graph (Section 2.3).</w:t>
      </w:r>
    </w:p>
    <w:p>
      <w:pPr>
        <w:pStyle w:val="Heading2"/>
        <w:spacing w:after="120" w:before="240"/>
      </w:pPr>
      <w:r>
        <w:t xml:space="preserve">2.3 Orchestration and Recovery (LangGraph)</w:t>
      </w:r>
    </w:p>
    <w:p>
      <w:pPr>
        <w:spacing w:after="120"/>
      </w:pPr>
      <w:r>
        <w:t xml:space="preserve">The orchestration follows the supervisor idea from multi-agent LLM frameworks [1][2][5], with one deliberate difference: routine routing decisions are made by </w:t>
      </w:r>
      <w:r>
        <w:rPr>
          <w:b/>
          <w:bCs/>
        </w:rPr>
        <w:t xml:space="preserve">hard rules over measured facts, not by an LLM</w:t>
      </w:r>
      <w:r>
        <w:t xml:space="preserve">. The implemented graph (the "simple hub", Option B of the team's two design options) places a single orchestrator node after every agent stage:</w:t>
      </w:r>
    </w:p>
    <w:p>
      <w:pPr>
        <w:shd w:fill="F3F4F6" w:val="clear"/>
        <w:spacing w:after="140"/>
        <w:ind w:left="200"/>
      </w:pPr>
      <w:r>
        <w:rPr>
          <w:rFonts w:ascii="Consolas" w:cs="Consolas" w:eastAsia="Consolas" w:hAnsi="Consolas"/>
          <w:sz w:val="18"/>
          <w:szCs w:val="18"/>
        </w:rPr>
        <w:t xml:space="preserve">preprocess -&gt; analysis -&gt; ORCH -&gt; reasoning -&gt; ORCH -&gt; strategy -&gt; ORCH -&gt; report -&gt; ORCH -&gt; END</w:t>
      </w:r>
    </w:p>
    <w:p>
      <w:pPr>
        <w:pStyle w:val="ListParagraph"/>
        <w:numPr>
          <w:ilvl w:val="0"/>
          <w:numId w:val="2"/>
        </w:numPr>
        <w:spacing w:after="80"/>
      </w:pPr>
      <w:r>
        <w:rPr>
          <w:b/>
          <w:bCs/>
        </w:rPr>
        <w:t xml:space="preserve">Measure, then decide.</w:t>
      </w:r>
      <w:r>
        <w:t xml:space="preserve"> </w:t>
      </w:r>
      <w:r>
        <w:rPr>
          <w:rFonts w:ascii="Consolas" w:cs="Consolas" w:eastAsia="Consolas" w:hAnsi="Consolas"/>
          <w:sz w:val="19"/>
          <w:szCs w:val="19"/>
        </w:rPr>
        <w:t xml:space="preserve">supervision.measure(stage, state)</w:t>
      </w:r>
      <w:r>
        <w:t xml:space="preserve"> computes deterministic facts from pipeline state — evidence-ID resolution, recomputed pattern frequencies, a stars-vs-sentiment contradiction rate, sample-size floors, recommendation traceability, and report-subset consistency. </w:t>
      </w:r>
      <w:r>
        <w:rPr>
          <w:rFonts w:ascii="Consolas" w:cs="Consolas" w:eastAsia="Consolas" w:hAnsi="Consolas"/>
          <w:sz w:val="19"/>
          <w:szCs w:val="19"/>
        </w:rPr>
        <w:t xml:space="preserve">supervision.decide(stage, facts, retry_counts)</w:t>
      </w:r>
      <w:r>
        <w:t xml:space="preserve"> then applies hard rules with fixed thresholds (MIN_VIABLE_N = 5, LOW_CONFIDENCE_N = 30, CONTRADICTION_MAX = 0.20, FREQUENCY_TOLERANCE = 0.05, TRACE_SIMILARITY = 0.35).</w:t>
      </w:r>
    </w:p>
    <w:p>
      <w:pPr>
        <w:pStyle w:val="ListParagraph"/>
        <w:numPr>
          <w:ilvl w:val="0"/>
          <w:numId w:val="2"/>
        </w:numPr>
        <w:spacing w:after="80"/>
      </w:pPr>
      <w:r>
        <w:rPr>
          <w:b/>
          <w:bCs/>
        </w:rPr>
        <w:t xml:space="preserve">Verdict vocabulary:</w:t>
      </w:r>
      <w:r>
        <w:t xml:space="preserve"> </w:t>
      </w:r>
      <w:r>
        <w:rPr>
          <w:rFonts w:ascii="Consolas" w:cs="Consolas" w:eastAsia="Consolas" w:hAnsi="Consolas"/>
          <w:sz w:val="19"/>
          <w:szCs w:val="19"/>
        </w:rPr>
        <w:t xml:space="preserve">proceed</w:t>
      </w:r>
      <w:r>
        <w:t xml:space="preserve"> | </w:t>
      </w:r>
      <w:r>
        <w:rPr>
          <w:rFonts w:ascii="Consolas" w:cs="Consolas" w:eastAsia="Consolas" w:hAnsi="Consolas"/>
          <w:sz w:val="19"/>
          <w:szCs w:val="19"/>
        </w:rPr>
        <w:t xml:space="preserve">proceed_with_warning</w:t>
      </w:r>
      <w:r>
        <w:t xml:space="preserve"> | </w:t>
      </w:r>
      <w:r>
        <w:rPr>
          <w:rFonts w:ascii="Consolas" w:cs="Consolas" w:eastAsia="Consolas" w:hAnsi="Consolas"/>
          <w:sz w:val="19"/>
          <w:szCs w:val="19"/>
        </w:rPr>
        <w:t xml:space="preserve">retry</w:t>
      </w:r>
      <w:r>
        <w:t xml:space="preserve"> | </w:t>
      </w:r>
      <w:r>
        <w:rPr>
          <w:rFonts w:ascii="Consolas" w:cs="Consolas" w:eastAsia="Consolas" w:hAnsi="Consolas"/>
          <w:sz w:val="19"/>
          <w:szCs w:val="19"/>
        </w:rPr>
        <w:t xml:space="preserve">halt</w:t>
      </w:r>
      <w:r>
        <w:t xml:space="preserve">. The earlier design's </w:t>
      </w:r>
      <w:r>
        <w:rPr>
          <w:rFonts w:ascii="Consolas" w:cs="Consolas" w:eastAsia="Consolas" w:hAnsi="Consolas"/>
          <w:sz w:val="19"/>
          <w:szCs w:val="19"/>
        </w:rPr>
        <w:t xml:space="preserve">skip</w:t>
      </w:r>
      <w:r>
        <w:t xml:space="preserve"> verdict was found to be self-contradictory during design review (it could silently drop the stage after the failed one) and was </w:t>
      </w:r>
      <w:r>
        <w:rPr>
          <w:b/>
          <w:bCs/>
        </w:rPr>
        <w:t xml:space="preserve">dropped</w:t>
      </w:r>
      <w:r>
        <w:t xml:space="preserve">: a non-critical stage that exhausts retries is recorded in </w:t>
      </w:r>
      <w:r>
        <w:rPr>
          <w:rFonts w:ascii="Consolas" w:cs="Consolas" w:eastAsia="Consolas" w:hAnsi="Consolas"/>
          <w:sz w:val="19"/>
          <w:szCs w:val="19"/>
        </w:rPr>
        <w:t xml:space="preserve">skipped_agents</w:t>
      </w:r>
      <w:r>
        <w:t xml:space="preserve"> with a </w:t>
      </w:r>
      <w:r>
        <w:rPr>
          <w:rFonts w:ascii="Consolas" w:cs="Consolas" w:eastAsia="Consolas" w:hAnsi="Consolas"/>
          <w:sz w:val="19"/>
          <w:szCs w:val="19"/>
        </w:rPr>
        <w:t xml:space="preserve">gave_up_after_retries</w:t>
      </w:r>
      <w:r>
        <w:t xml:space="preserve"> flag and the pipeline proceeds with a warning instead.</w:t>
      </w:r>
    </w:p>
    <w:p>
      <w:pPr>
        <w:pStyle w:val="ListParagraph"/>
        <w:numPr>
          <w:ilvl w:val="0"/>
          <w:numId w:val="2"/>
        </w:numPr>
        <w:spacing w:after="80"/>
      </w:pPr>
      <w:r>
        <w:rPr>
          <w:b/>
          <w:bCs/>
        </w:rPr>
        <w:t xml:space="preserve">Critical vs non-critical.</w:t>
      </w:r>
      <w:r>
        <w:t xml:space="preserve"> Analysis and Reasoning are critical — unrecoverable failure halts the pipeline cleanly rather than emitting a hollow report. Strategy and Report failures degrade to on-record warnings where safe (Report exhaustion halts, since without it there is nothing to deliver).</w:t>
      </w:r>
    </w:p>
    <w:p>
      <w:pPr>
        <w:pStyle w:val="ListParagraph"/>
        <w:numPr>
          <w:ilvl w:val="0"/>
          <w:numId w:val="2"/>
        </w:numPr>
        <w:spacing w:after="80"/>
      </w:pPr>
      <w:r>
        <w:rPr>
          <w:b/>
          <w:bCs/>
        </w:rPr>
        <w:t xml:space="preserve">Two bounded correction loops share one mechanism.</w:t>
      </w:r>
      <w:r>
        <w:t xml:space="preserve"> Inside each agent, Pydantic validation failures trigger up to two correction re-prompts carrying the validation error verbatim. At graph level, a </w:t>
      </w:r>
      <w:r>
        <w:rPr>
          <w:rFonts w:ascii="Consolas" w:cs="Consolas" w:eastAsia="Consolas" w:hAnsi="Consolas"/>
          <w:sz w:val="19"/>
          <w:szCs w:val="19"/>
        </w:rPr>
        <w:t xml:space="preserve">retry</w:t>
      </w:r>
      <w:r>
        <w:t xml:space="preserve"> verdict writes the measured reason into </w:t>
      </w:r>
      <w:r>
        <w:rPr>
          <w:rFonts w:ascii="Consolas" w:cs="Consolas" w:eastAsia="Consolas" w:hAnsi="Consolas"/>
          <w:sz w:val="19"/>
          <w:szCs w:val="19"/>
        </w:rPr>
        <w:t xml:space="preserve">state["retry_feedback"]</w:t>
      </w:r>
      <w:r>
        <w:t xml:space="preserve"> (e.g. "evidence id X does not exist in the analysis output"), which the agent node appends to the prompt on re-run. This matters because agents run at temperature 0: re-running an identical prompt reproduces the identical wrong output, so a retry without feedback is a mechanically wasted retry. Retries are capped at 2 per stage; the recursion limit is raised to 50 because a worst-case run (2 retries × 4 stages) is exactly LangGraph's default limit of 25 node visits.</w:t>
      </w:r>
    </w:p>
    <w:p>
      <w:pPr>
        <w:pStyle w:val="ListParagraph"/>
        <w:numPr>
          <w:ilvl w:val="0"/>
          <w:numId w:val="2"/>
        </w:numPr>
        <w:spacing w:after="80"/>
      </w:pPr>
      <w:r>
        <w:rPr>
          <w:b/>
          <w:bCs/>
        </w:rPr>
        <w:t xml:space="preserve">Frequency is authoritative in Python.</w:t>
      </w:r>
      <w:r>
        <w:t xml:space="preserve"> On a reasoning </w:t>
      </w:r>
      <w:r>
        <w:rPr>
          <w:rFonts w:ascii="Consolas" w:cs="Consolas" w:eastAsia="Consolas" w:hAnsi="Consolas"/>
          <w:sz w:val="19"/>
          <w:szCs w:val="19"/>
        </w:rPr>
        <w:t xml:space="preserve">proceed</w:t>
      </w:r>
      <w:r>
        <w:t xml:space="preserve">, the orchestrator overwrites each pattern's LLM-claimed </w:t>
      </w:r>
      <w:r>
        <w:rPr>
          <w:rFonts w:ascii="Consolas" w:cs="Consolas" w:eastAsia="Consolas" w:hAnsi="Consolas"/>
          <w:sz w:val="19"/>
          <w:szCs w:val="19"/>
        </w:rPr>
        <w:t xml:space="preserve">frequency</w:t>
      </w:r>
      <w:r>
        <w:t xml:space="preserve"> with the value recomputed from the analysis rows, flagging any divergence beyond ±0.05. LLM numeric claims are thereby demoted to advisory — a concrete defence against fabricated statistics.</w:t>
      </w:r>
    </w:p>
    <w:p>
      <w:pPr>
        <w:spacing w:after="120"/>
      </w:pPr>
      <w:r>
        <w:t xml:space="preserve">A legacy LLM-assisted recovery method (</w:t>
      </w:r>
      <w:r>
        <w:rPr>
          <w:rFonts w:ascii="Consolas" w:cs="Consolas" w:eastAsia="Consolas" w:hAnsi="Consolas"/>
          <w:sz w:val="19"/>
          <w:szCs w:val="19"/>
        </w:rPr>
        <w:t xml:space="preserve">decide_recovery</w:t>
      </w:r>
      <w:r>
        <w:t xml:space="preserve">) remains in the orchestrator class but is not on the live routing path; the team explicitly chose a fully deterministic supervisor for auditability and reproducibility. Section 7.5 discusses why this combination is one of the project's distinctive contributions.</w:t>
      </w:r>
    </w:p>
    <w:p>
      <w:pPr>
        <w:pStyle w:val="Heading2"/>
        <w:spacing w:after="120" w:before="240"/>
      </w:pPr>
      <w:r>
        <w:t xml:space="preserve">2.4 Structured Data Contracts (Pydantic)</w:t>
      </w:r>
    </w:p>
    <w:p>
      <w:pPr>
        <w:spacing w:after="120"/>
      </w:pPr>
      <w:r>
        <w:t xml:space="preserve">Every inter-agent payload is a Pydantic v2 model in </w:t>
      </w:r>
      <w:r>
        <w:rPr>
          <w:rFonts w:ascii="Consolas" w:cs="Consolas" w:eastAsia="Consolas" w:hAnsi="Consolas"/>
          <w:sz w:val="19"/>
          <w:szCs w:val="19"/>
        </w:rPr>
        <w:t xml:space="preserve">backend/app/schemas/contracts.py</w:t>
      </w:r>
      <w:r>
        <w:t xml:space="preserve">. The chain of contracts is:</w:t>
      </w:r>
    </w:p>
    <w:p>
      <w:pPr>
        <w:shd w:fill="F3F4F6" w:val="clear"/>
        <w:spacing w:after="0"/>
        <w:ind w:left="200"/>
      </w:pPr>
      <w:r>
        <w:rPr>
          <w:rFonts w:ascii="Consolas" w:cs="Consolas" w:eastAsia="Consolas" w:hAnsi="Consolas"/>
          <w:sz w:val="18"/>
          <w:szCs w:val="18"/>
        </w:rPr>
        <w:t xml:space="preserve">ReviewRecord{review_id, business_id, stars, text, date}</w:t>
      </w:r>
    </w:p>
    <w:p>
      <w:pPr>
        <w:shd w:fill="F3F4F6" w:val="clear"/>
        <w:spacing w:after="0"/>
        <w:ind w:left="200"/>
      </w:pPr>
      <w:r>
        <w:rPr>
          <w:rFonts w:ascii="Consolas" w:cs="Consolas" w:eastAsia="Consolas" w:hAnsi="Consolas"/>
          <w:sz w:val="18"/>
          <w:szCs w:val="18"/>
        </w:rPr>
        <w:t xml:space="preserve">  -&gt; AnalysisOutput{review_id, sentiment, aspects[AspectLabel{category,label}], status, error_detail}</w:t>
      </w:r>
    </w:p>
    <w:p>
      <w:pPr>
        <w:shd w:fill="F3F4F6" w:val="clear"/>
        <w:spacing w:after="0"/>
        <w:ind w:left="200"/>
      </w:pPr>
      <w:r>
        <w:rPr>
          <w:rFonts w:ascii="Consolas" w:cs="Consolas" w:eastAsia="Consolas" w:hAnsi="Consolas"/>
          <w:sz w:val="18"/>
          <w:szCs w:val="18"/>
        </w:rPr>
        <w:t xml:space="preserve">     (batched as AnalysisBatchOutput{analyses[]})</w:t>
      </w:r>
    </w:p>
    <w:p>
      <w:pPr>
        <w:shd w:fill="F3F4F6" w:val="clear"/>
        <w:spacing w:after="0"/>
        <w:ind w:left="200"/>
      </w:pPr>
      <w:r>
        <w:rPr>
          <w:rFonts w:ascii="Consolas" w:cs="Consolas" w:eastAsia="Consolas" w:hAnsi="Consolas"/>
          <w:sz w:val="18"/>
          <w:szCs w:val="18"/>
        </w:rPr>
        <w:t xml:space="preserve">  -&gt; ReasoningOutput{patterns[Pattern{description, aspect, frequency 0..1,</w:t>
      </w:r>
    </w:p>
    <w:p>
      <w:pPr>
        <w:shd w:fill="F3F4F6" w:val="clear"/>
        <w:spacing w:after="0"/>
        <w:ind w:left="200"/>
      </w:pPr>
      <w:r>
        <w:rPr>
          <w:rFonts w:ascii="Consolas" w:cs="Consolas" w:eastAsia="Consolas" w:hAnsi="Consolas"/>
          <w:sz w:val="18"/>
          <w:szCs w:val="18"/>
        </w:rPr>
        <w:t xml:space="preserve">                     evidence_review_ids (min 1)}], root_causes[RootCause{pattern,</w:t>
      </w:r>
    </w:p>
    <w:p>
      <w:pPr>
        <w:shd w:fill="F3F4F6" w:val="clear"/>
        <w:spacing w:after="0"/>
        <w:ind w:left="200"/>
      </w:pPr>
      <w:r>
        <w:rPr>
          <w:rFonts w:ascii="Consolas" w:cs="Consolas" w:eastAsia="Consolas" w:hAnsi="Consolas"/>
          <w:sz w:val="18"/>
          <w:szCs w:val="18"/>
        </w:rPr>
        <w:t xml:space="preserve">                     cause, confidence low|medium|high}], status, error_detail}</w:t>
      </w:r>
    </w:p>
    <w:p>
      <w:pPr>
        <w:shd w:fill="F3F4F6" w:val="clear"/>
        <w:spacing w:after="0"/>
        <w:ind w:left="200"/>
      </w:pPr>
      <w:r>
        <w:rPr>
          <w:rFonts w:ascii="Consolas" w:cs="Consolas" w:eastAsia="Consolas" w:hAnsi="Consolas"/>
          <w:sz w:val="18"/>
          <w:szCs w:val="18"/>
        </w:rPr>
        <w:t xml:space="preserve">  -&gt; StrategyOutput{recommendations[Recommendation{priority&gt;=1, issue, action,</w:t>
      </w:r>
    </w:p>
    <w:p>
      <w:pPr>
        <w:shd w:fill="F3F4F6" w:val="clear"/>
        <w:spacing w:after="0"/>
        <w:ind w:left="200"/>
      </w:pPr>
      <w:r>
        <w:rPr>
          <w:rFonts w:ascii="Consolas" w:cs="Consolas" w:eastAsia="Consolas" w:hAnsi="Consolas"/>
          <w:sz w:val="18"/>
          <w:szCs w:val="18"/>
        </w:rPr>
        <w:t xml:space="preserve">                     category, expected_impact}], status, error_detail}</w:t>
      </w:r>
    </w:p>
    <w:p>
      <w:pPr>
        <w:shd w:fill="F3F4F6" w:val="clear"/>
        <w:spacing w:after="0"/>
        <w:ind w:left="200"/>
      </w:pPr>
      <w:r>
        <w:rPr>
          <w:rFonts w:ascii="Consolas" w:cs="Consolas" w:eastAsia="Consolas" w:hAnsi="Consolas"/>
          <w:sz w:val="18"/>
          <w:szCs w:val="18"/>
        </w:rPr>
        <w:t xml:space="preserve">  -&gt; ReportOutput{title, business_name, sample_size, executive_summary,</w:t>
      </w:r>
    </w:p>
    <w:p>
      <w:pPr>
        <w:shd w:fill="F3F4F6" w:val="clear"/>
        <w:spacing w:after="0"/>
        <w:ind w:left="200"/>
      </w:pPr>
      <w:r>
        <w:rPr>
          <w:rFonts w:ascii="Consolas" w:cs="Consolas" w:eastAsia="Consolas" w:hAnsi="Consolas"/>
          <w:sz w:val="18"/>
          <w:szCs w:val="18"/>
        </w:rPr>
        <w:t xml:space="preserve">                  key_findings, root_causes, recommendations, limitations,</w:t>
      </w:r>
    </w:p>
    <w:p>
      <w:pPr>
        <w:shd w:fill="F3F4F6" w:val="clear"/>
        <w:spacing w:after="0"/>
        <w:ind w:left="200"/>
      </w:pPr>
      <w:r>
        <w:rPr>
          <w:rFonts w:ascii="Consolas" w:cs="Consolas" w:eastAsia="Consolas" w:hAnsi="Consolas"/>
          <w:sz w:val="18"/>
          <w:szCs w:val="18"/>
        </w:rPr>
        <w:t xml:space="preserve">                  status, error_detail}</w:t>
      </w:r>
    </w:p>
    <w:p>
      <w:pPr>
        <w:shd w:fill="F3F4F6" w:val="clear"/>
        <w:spacing w:after="140"/>
        <w:ind w:left="200"/>
      </w:pPr>
      <w:r>
        <w:rPr>
          <w:rFonts w:ascii="Consolas" w:cs="Consolas" w:eastAsia="Consolas" w:hAnsi="Consolas"/>
          <w:sz w:val="18"/>
          <w:szCs w:val="18"/>
        </w:rPr>
        <w:t xml:space="preserve">  AgentError{status='error', agent, error_type, error_detail, retry_count, recoverable}</w:t>
      </w:r>
    </w:p>
    <w:p>
      <w:pPr>
        <w:spacing w:after="120"/>
      </w:pPr>
      <w:r>
        <w:t xml:space="preserve">Validation is enforced at generation time (JSON response mode + </w:t>
      </w:r>
      <w:r>
        <w:rPr>
          <w:rFonts w:ascii="Consolas" w:cs="Consolas" w:eastAsia="Consolas" w:hAnsi="Consolas"/>
          <w:sz w:val="19"/>
          <w:szCs w:val="19"/>
        </w:rPr>
        <w:t xml:space="preserve">model_validate</w:t>
      </w:r>
      <w:r>
        <w:t xml:space="preserve"> + the self-correction loop) and again by the hub's measurements. Notably, </w:t>
      </w:r>
      <w:r>
        <w:rPr>
          <w:rFonts w:ascii="Consolas" w:cs="Consolas" w:eastAsia="Consolas" w:hAnsi="Consolas"/>
          <w:sz w:val="19"/>
          <w:szCs w:val="19"/>
        </w:rPr>
        <w:t xml:space="preserve">limitations</w:t>
      </w:r>
      <w:r>
        <w:t xml:space="preserve"> is a </w:t>
      </w:r>
      <w:r>
        <w:rPr>
          <w:b/>
          <w:bCs/>
        </w:rPr>
        <w:t xml:space="preserve">required field</w:t>
      </w:r>
      <w:r>
        <w:t xml:space="preserve"> of the final report contract — the schema itself forces the system to state its bounds — and </w:t>
      </w:r>
      <w:r>
        <w:rPr>
          <w:rFonts w:ascii="Consolas" w:cs="Consolas" w:eastAsia="Consolas" w:hAnsi="Consolas"/>
          <w:sz w:val="19"/>
          <w:szCs w:val="19"/>
        </w:rPr>
        <w:t xml:space="preserve">Pattern.evidence_review_ids</w:t>
      </w:r>
      <w:r>
        <w:t xml:space="preserve"> cannot be empty, so every claimed pattern must cite evidence.</w:t>
      </w:r>
    </w:p>
    <w:p>
      <w:pPr>
        <w:pBdr>
          <w:left w:val="single" w:color="B45309" w:sz="18" w:space="4"/>
        </w:pBdr>
        <w:shd w:fill="FFF2CC" w:val="clear"/>
        <w:spacing w:after="140"/>
        <w:ind w:left="200"/>
      </w:pPr>
      <w:r>
        <w:rPr>
          <w:b/>
          <w:bCs/>
          <w:color w:val="B45309"/>
        </w:rPr>
        <w:t xml:space="preserve">NEEDS HUMAN INPUT / LIVE DATA — </w:t>
      </w:r>
      <w:r>
        <w:t xml:space="preserve">FIGURE 2 — draw the data-flow / contract diagram from the chain above (inter-agent JSON schemas with field names). The listing is verbatim from contracts.py and can be transcribed directly.</w:t>
      </w:r>
    </w:p>
    <w:p>
      <w:pPr>
        <w:pStyle w:val="Heading2"/>
        <w:spacing w:after="120" w:before="240"/>
      </w:pPr>
      <w:r>
        <w:t xml:space="preserve">2.5 LLM Provider Layer (Local and Cloud)</w:t>
      </w:r>
    </w:p>
    <w:p>
      <w:pPr>
        <w:spacing w:after="120"/>
      </w:pPr>
      <w:r>
        <w:t xml:space="preserve">All model access goes through one OpenAI-compatible client, resolved centrally in </w:t>
      </w:r>
      <w:r>
        <w:rPr>
          <w:rFonts w:ascii="Consolas" w:cs="Consolas" w:eastAsia="Consolas" w:hAnsi="Consolas"/>
          <w:sz w:val="19"/>
          <w:szCs w:val="19"/>
        </w:rPr>
        <w:t xml:space="preserve">app/core/llm_config.py</w:t>
      </w:r>
      <w:r>
        <w:t xml:space="preserve"> from four environment variables (</w:t>
      </w:r>
      <w:r>
        <w:rPr>
          <w:rFonts w:ascii="Consolas" w:cs="Consolas" w:eastAsia="Consolas" w:hAnsi="Consolas"/>
          <w:sz w:val="19"/>
          <w:szCs w:val="19"/>
        </w:rPr>
        <w:t xml:space="preserve">OPENAI_BASE_URL</w:t>
      </w:r>
      <w:r>
        <w:t xml:space="preserve">, </w:t>
      </w:r>
      <w:r>
        <w:rPr>
          <w:rFonts w:ascii="Consolas" w:cs="Consolas" w:eastAsia="Consolas" w:hAnsi="Consolas"/>
          <w:sz w:val="19"/>
          <w:szCs w:val="19"/>
        </w:rPr>
        <w:t xml:space="preserve">OPENAI_API_KEY</w:t>
      </w:r>
      <w:r>
        <w:t xml:space="preserve">, </w:t>
      </w:r>
      <w:r>
        <w:rPr>
          <w:rFonts w:ascii="Consolas" w:cs="Consolas" w:eastAsia="Consolas" w:hAnsi="Consolas"/>
          <w:sz w:val="19"/>
          <w:szCs w:val="19"/>
        </w:rPr>
        <w:t xml:space="preserve">OPENAI_MODEL</w:t>
      </w:r>
      <w:r>
        <w:t xml:space="preserve">, </w:t>
      </w:r>
      <w:r>
        <w:rPr>
          <w:rFonts w:ascii="Consolas" w:cs="Consolas" w:eastAsia="Consolas" w:hAnsi="Consolas"/>
          <w:sz w:val="19"/>
          <w:szCs w:val="19"/>
        </w:rPr>
        <w:t xml:space="preserve">OPENAI_FALLBACK_MODEL</w:t>
      </w:r>
      <w:r>
        <w:t xml:space="preserve">). Switching provider is a </w:t>
      </w:r>
      <w:r>
        <w:rPr>
          <w:rFonts w:ascii="Consolas" w:cs="Consolas" w:eastAsia="Consolas" w:hAnsi="Consolas"/>
          <w:sz w:val="19"/>
          <w:szCs w:val="19"/>
        </w:rPr>
        <w:t xml:space="preserve">.env</w:t>
      </w:r>
      <w:r>
        <w:t xml:space="preserve"> change, not a code change.</w:t>
      </w:r>
    </w:p>
    <w:p>
      <w:pPr>
        <w:pStyle w:val="ListParagraph"/>
        <w:numPr>
          <w:ilvl w:val="0"/>
          <w:numId w:val="2"/>
        </w:numPr>
        <w:spacing w:after="80"/>
      </w:pPr>
      <w:r>
        <w:rPr>
          <w:b/>
          <w:bCs/>
        </w:rPr>
        <w:t xml:space="preserve">Cloud profile (default, </w:t>
      </w:r>
      <w:r>
        <w:rPr>
          <w:rFonts w:ascii="Consolas" w:cs="Consolas" w:eastAsia="Consolas" w:hAnsi="Consolas"/>
          <w:b/>
          <w:bCs/>
          <w:sz w:val="19"/>
          <w:szCs w:val="19"/>
        </w:rPr>
        <w:t xml:space="preserve">.env.example</w:t>
      </w:r>
      <w:r>
        <w:rPr>
          <w:b/>
          <w:bCs/>
        </w:rPr>
        <w:t xml:space="preserve">):</w:t>
      </w:r>
      <w:r>
        <w:t xml:space="preserve"> Google Gemini via its OpenAI-compatible endpoint — primary </w:t>
      </w:r>
      <w:r>
        <w:rPr>
          <w:rFonts w:ascii="Consolas" w:cs="Consolas" w:eastAsia="Consolas" w:hAnsi="Consolas"/>
          <w:sz w:val="19"/>
          <w:szCs w:val="19"/>
        </w:rPr>
        <w:t xml:space="preserve">gemini-2.5-flash</w:t>
      </w:r>
      <w:r>
        <w:t xml:space="preserve">, fallback </w:t>
      </w:r>
      <w:r>
        <w:rPr>
          <w:rFonts w:ascii="Consolas" w:cs="Consolas" w:eastAsia="Consolas" w:hAnsi="Consolas"/>
          <w:sz w:val="19"/>
          <w:szCs w:val="19"/>
        </w:rPr>
        <w:t xml:space="preserve">gemini-3.5-flash</w:t>
      </w:r>
      <w:r>
        <w:t xml:space="preserve"> (a distinct model, so fallback is a genuine second chance). All headline evaluation numbers in Section 5 were produced on this profile.</w:t>
      </w:r>
    </w:p>
    <w:p>
      <w:pPr>
        <w:pStyle w:val="ListParagraph"/>
        <w:numPr>
          <w:ilvl w:val="0"/>
          <w:numId w:val="2"/>
        </w:numPr>
        <w:spacing w:after="80"/>
      </w:pPr>
      <w:r>
        <w:rPr>
          <w:b/>
          <w:bCs/>
        </w:rPr>
        <w:t xml:space="preserve">Local profile (</w:t>
      </w:r>
      <w:r>
        <w:rPr>
          <w:rFonts w:ascii="Consolas" w:cs="Consolas" w:eastAsia="Consolas" w:hAnsi="Consolas"/>
          <w:b/>
          <w:bCs/>
          <w:sz w:val="19"/>
          <w:szCs w:val="19"/>
        </w:rPr>
        <w:t xml:space="preserve">.env.local.example</w:t>
      </w:r>
      <w:r>
        <w:rPr>
          <w:b/>
          <w:bCs/>
        </w:rPr>
        <w:t xml:space="preserve">):</w:t>
      </w:r>
      <w:r>
        <w:t xml:space="preserve"> Ollama on </w:t>
      </w:r>
      <w:r>
        <w:rPr>
          <w:rFonts w:ascii="Consolas" w:cs="Consolas" w:eastAsia="Consolas" w:hAnsi="Consolas"/>
          <w:sz w:val="19"/>
          <w:szCs w:val="19"/>
        </w:rPr>
        <w:t xml:space="preserve">localhost:11434</w:t>
      </w:r>
      <w:r>
        <w:t xml:space="preserve"> with e.g. </w:t>
      </w:r>
      <w:r>
        <w:rPr>
          <w:rFonts w:ascii="Consolas" w:cs="Consolas" w:eastAsia="Consolas" w:hAnsi="Consolas"/>
          <w:sz w:val="19"/>
          <w:szCs w:val="19"/>
        </w:rPr>
        <w:t xml:space="preserve">llama3.1</w:t>
      </w:r>
      <w:r>
        <w:t xml:space="preserve">, satisfying the Option D locally-deployed-LLM requirement. </w:t>
      </w:r>
      <w:r>
        <w:rPr>
          <w:rFonts w:ascii="Consolas" w:cs="Consolas" w:eastAsia="Consolas" w:hAnsi="Consolas"/>
          <w:sz w:val="19"/>
          <w:szCs w:val="19"/>
        </w:rPr>
        <w:t xml:space="preserve">llm_config</w:t>
      </w:r>
      <w:r>
        <w:t xml:space="preserve"> auto-detects local endpoints and injects a placeholder API key, so no real key is needed for local runs. Local LLM viability for restaurant-review sentiment is supported by [17].</w:t>
      </w:r>
    </w:p>
    <w:p>
      <w:pPr>
        <w:pStyle w:val="ListParagraph"/>
        <w:numPr>
          <w:ilvl w:val="0"/>
          <w:numId w:val="2"/>
        </w:numPr>
        <w:spacing w:after="80"/>
      </w:pPr>
      <w:r>
        <w:rPr>
          <w:b/>
          <w:bCs/>
        </w:rPr>
        <w:t xml:space="preserve">Fallback and provenance.</w:t>
      </w:r>
      <w:r>
        <w:t xml:space="preserve"> Any primary-model exception triggers one retry on the fallback model. </w:t>
      </w:r>
      <w:r>
        <w:rPr>
          <w:rFonts w:ascii="Consolas" w:cs="Consolas" w:eastAsia="Consolas" w:hAnsi="Consolas"/>
          <w:sz w:val="19"/>
          <w:szCs w:val="19"/>
        </w:rPr>
        <w:t xml:space="preserve">run_config()</w:t>
      </w:r>
      <w:r>
        <w:t xml:space="preserve"> (provider label, base URL, primary and fallback model) is recorded in each pipeline dump's </w:t>
      </w:r>
      <w:r>
        <w:rPr>
          <w:rFonts w:ascii="Consolas" w:cs="Consolas" w:eastAsia="Consolas" w:hAnsi="Consolas"/>
          <w:sz w:val="19"/>
          <w:szCs w:val="19"/>
        </w:rPr>
        <w:t xml:space="preserve">_summary.json</w:t>
      </w:r>
      <w:r>
        <w:t xml:space="preserve">, so evaluation results are attributable to the configuration that actually ran.</w:t>
      </w:r>
    </w:p>
    <w:p>
      <w:pPr>
        <w:spacing w:after="120"/>
      </w:pPr>
      <w:r>
        <w:t xml:space="preserve">This configuration was not accidental: earlier in the project, documentation named GPT-5.4 as the target while the code defaulted to Gemini and one audited environment ran Groq-hosted Llama — results were not reproducibly attributable. The 2026-07-14 decision (recorded in </w:t>
      </w:r>
      <w:r>
        <w:rPr>
          <w:rFonts w:ascii="Consolas" w:cs="Consolas" w:eastAsia="Consolas" w:hAnsi="Consolas"/>
          <w:sz w:val="19"/>
          <w:szCs w:val="19"/>
        </w:rPr>
        <w:t xml:space="preserve">docs/DECISIONS.md</w:t>
      </w:r>
      <w:r>
        <w:t xml:space="preserve">) adopted one approved configuration, made the fallback a genuinely distinct model (the fallback slot had previously pointed at the primary, which is no resilience at all), and required per-run provenance recording. One dependency worth noting for the local profile: JSON response mode relies on the local model honouring </w:t>
      </w:r>
      <w:r>
        <w:rPr>
          <w:rFonts w:ascii="Consolas" w:cs="Consolas" w:eastAsia="Consolas" w:hAnsi="Consolas"/>
          <w:sz w:val="19"/>
          <w:szCs w:val="19"/>
        </w:rPr>
        <w:t xml:space="preserve">response_format={"type":"json_object"}</w:t>
      </w:r>
      <w:r>
        <w:t xml:space="preserve">; the two self-correction retries absorb occasional malformed local output.</w:t>
      </w:r>
    </w:p>
    <w:p>
      <w:pPr>
        <w:pBdr>
          <w:left w:val="single" w:color="B45309" w:sz="18" w:space="4"/>
        </w:pBdr>
        <w:shd w:fill="FFF2CC" w:val="clear"/>
        <w:spacing w:after="140"/>
        <w:ind w:left="200"/>
      </w:pPr>
      <w:r>
        <w:rPr>
          <w:b/>
          <w:bCs/>
          <w:color w:val="B45309"/>
        </w:rPr>
        <w:t xml:space="preserve">NEEDS HUMAN INPUT / LIVE DATA — </w:t>
      </w:r>
      <w:r>
        <w:t xml:space="preserve">Provenance caveat the team should fix before submission: the committed Gemini evaluation dump (backend/out/_summary.json) predates the run_config feature and carries no run_config field — the Gemini attribution for the Section 5 headline numbers currently rests on the evaluation report prose. The only committed dump WITH run_config from a live hub run used Groq llama-3.3-70b (backend/out_hub/). One fresh Gemini re-run with the current run_pipeline.py --dump-stages would close this gap.</w:t>
      </w:r>
    </w:p>
    <w:p>
      <w:pPr>
        <w:pStyle w:val="Heading2"/>
        <w:spacing w:after="120" w:before="240"/>
      </w:pPr>
      <w:r>
        <w:t xml:space="preserve">2.6 API and Frontend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2900"/>
        <w:gridCol w:w="2900"/>
      </w:tblGrid>
      <w:tr>
        <w:trPr>
          <w:tblHeader/>
        </w:trPr>
        <w:tc>
          <w:tcPr>
            <w:tcW w:type="dxa" w:w="900"/>
            <w:shd w:fill="DCE3EF" w:val="clear"/>
            <w:tcMar>
              <w:top w:type="dxa" w:w="60"/>
              <w:left w:type="dxa" w:w="100"/>
              <w:bottom w:type="dxa" w:w="60"/>
              <w:right w:type="dxa" w:w="100"/>
            </w:tcMar>
          </w:tcPr>
          <w:p>
            <w:pPr>
              <w:spacing w:after="0"/>
            </w:pPr>
            <w:r>
              <w:rPr>
                <w:b/>
                <w:bCs/>
              </w:rPr>
              <w:t xml:space="preserve">Method</w:t>
            </w:r>
          </w:p>
        </w:tc>
        <w:tc>
          <w:tcPr>
            <w:tcW w:type="dxa" w:w="2300"/>
            <w:shd w:fill="DCE3EF" w:val="clear"/>
            <w:tcMar>
              <w:top w:type="dxa" w:w="60"/>
              <w:left w:type="dxa" w:w="100"/>
              <w:bottom w:type="dxa" w:w="60"/>
              <w:right w:type="dxa" w:w="100"/>
            </w:tcMar>
          </w:tcPr>
          <w:p>
            <w:pPr>
              <w:spacing w:after="0"/>
            </w:pPr>
            <w:r>
              <w:rPr>
                <w:b/>
                <w:bCs/>
              </w:rPr>
              <w:t xml:space="preserve">Path</w:t>
            </w:r>
          </w:p>
        </w:tc>
        <w:tc>
          <w:tcPr>
            <w:tcW w:type="dxa" w:w="2900"/>
            <w:shd w:fill="DCE3EF" w:val="clear"/>
            <w:tcMar>
              <w:top w:type="dxa" w:w="60"/>
              <w:left w:type="dxa" w:w="100"/>
              <w:bottom w:type="dxa" w:w="60"/>
              <w:right w:type="dxa" w:w="100"/>
            </w:tcMar>
          </w:tcPr>
          <w:p>
            <w:pPr>
              <w:spacing w:after="0"/>
            </w:pPr>
            <w:r>
              <w:rPr>
                <w:b/>
                <w:bCs/>
              </w:rPr>
              <w:t xml:space="preserve">Parameters</w:t>
            </w:r>
          </w:p>
        </w:tc>
        <w:tc>
          <w:tcPr>
            <w:tcW w:type="dxa" w:w="2900"/>
            <w:shd w:fill="DCE3EF" w:val="clear"/>
            <w:tcMar>
              <w:top w:type="dxa" w:w="60"/>
              <w:left w:type="dxa" w:w="100"/>
              <w:bottom w:type="dxa" w:w="60"/>
              <w:right w:type="dxa" w:w="100"/>
            </w:tcMar>
          </w:tcPr>
          <w:p>
            <w:pPr>
              <w:spacing w:after="0"/>
            </w:pPr>
            <w:r>
              <w:rPr>
                <w:b/>
                <w:bCs/>
              </w:rPr>
              <w:t xml:space="preserve">Returns</w:t>
            </w:r>
          </w:p>
        </w:tc>
      </w:tr>
      <w:tr>
        <w:tc>
          <w:tcPr>
            <w:tcW w:type="dxa" w:w="900"/>
            <w:tcMar>
              <w:top w:type="dxa" w:w="60"/>
              <w:left w:type="dxa" w:w="100"/>
              <w:bottom w:type="dxa" w:w="60"/>
              <w:right w:type="dxa" w:w="100"/>
            </w:tcMar>
          </w:tcPr>
          <w:p>
            <w:pPr>
              <w:spacing w:after="0"/>
            </w:pPr>
            <w:r>
              <w:t xml:space="preserve">GET</w:t>
            </w:r>
          </w:p>
        </w:tc>
        <w:tc>
          <w:tcPr>
            <w:tcW w:type="dxa" w:w="2300"/>
            <w:tcMar>
              <w:top w:type="dxa" w:w="60"/>
              <w:left w:type="dxa" w:w="100"/>
              <w:bottom w:type="dxa" w:w="60"/>
              <w:right w:type="dxa" w:w="100"/>
            </w:tcMar>
          </w:tcPr>
          <w:p>
            <w:pPr>
              <w:spacing w:after="0"/>
            </w:pPr>
            <w:r>
              <w:rPr>
                <w:rFonts w:ascii="Consolas" w:cs="Consolas" w:eastAsia="Consolas" w:hAnsi="Consolas"/>
                <w:sz w:val="19"/>
                <w:szCs w:val="19"/>
              </w:rPr>
              <w:t xml:space="preserve">/health</w:t>
            </w:r>
          </w:p>
        </w:tc>
        <w:tc>
          <w:tcPr>
            <w:tcW w:type="dxa" w:w="2900"/>
            <w:tcMar>
              <w:top w:type="dxa" w:w="60"/>
              <w:left w:type="dxa" w:w="100"/>
              <w:bottom w:type="dxa" w:w="60"/>
              <w:right w:type="dxa" w:w="100"/>
            </w:tcMar>
          </w:tcPr>
          <w:p>
            <w:pPr>
              <w:spacing w:after="0"/>
            </w:pPr>
            <w:r>
              <w:t xml:space="preserve">—</w:t>
            </w:r>
          </w:p>
        </w:tc>
        <w:tc>
          <w:tcPr>
            <w:tcW w:type="dxa" w:w="2900"/>
            <w:tcMar>
              <w:top w:type="dxa" w:w="60"/>
              <w:left w:type="dxa" w:w="100"/>
              <w:bottom w:type="dxa" w:w="60"/>
              <w:right w:type="dxa" w:w="100"/>
            </w:tcMar>
          </w:tcPr>
          <w:p>
            <w:pPr>
              <w:spacing w:after="0"/>
            </w:pPr>
            <w:r>
              <w:t xml:space="preserve">process-level health </w:t>
            </w:r>
            <w:r>
              <w:rPr>
                <w:rFonts w:ascii="Consolas" w:cs="Consolas" w:eastAsia="Consolas" w:hAnsi="Consolas"/>
                <w:sz w:val="19"/>
                <w:szCs w:val="19"/>
              </w:rPr>
              <w:t xml:space="preserve">{"status":"ok"}</w:t>
            </w:r>
          </w:p>
        </w:tc>
      </w:tr>
      <w:tr>
        <w:tc>
          <w:tcPr>
            <w:tcW w:type="dxa" w:w="900"/>
            <w:tcMar>
              <w:top w:type="dxa" w:w="60"/>
              <w:left w:type="dxa" w:w="100"/>
              <w:bottom w:type="dxa" w:w="60"/>
              <w:right w:type="dxa" w:w="100"/>
            </w:tcMar>
          </w:tcPr>
          <w:p>
            <w:pPr>
              <w:spacing w:after="0"/>
            </w:pPr>
            <w:r>
              <w:t xml:space="preserve">GET</w:t>
            </w:r>
          </w:p>
        </w:tc>
        <w:tc>
          <w:tcPr>
            <w:tcW w:type="dxa" w:w="2300"/>
            <w:tcMar>
              <w:top w:type="dxa" w:w="60"/>
              <w:left w:type="dxa" w:w="100"/>
              <w:bottom w:type="dxa" w:w="60"/>
              <w:right w:type="dxa" w:w="100"/>
            </w:tcMar>
          </w:tcPr>
          <w:p>
            <w:pPr>
              <w:spacing w:after="0"/>
            </w:pPr>
            <w:r>
              <w:rPr>
                <w:rFonts w:ascii="Consolas" w:cs="Consolas" w:eastAsia="Consolas" w:hAnsi="Consolas"/>
                <w:sz w:val="19"/>
                <w:szCs w:val="19"/>
              </w:rPr>
              <w:t xml:space="preserve">/api/businesses/search</w:t>
            </w:r>
          </w:p>
        </w:tc>
        <w:tc>
          <w:tcPr>
            <w:tcW w:type="dxa" w:w="2900"/>
            <w:tcMar>
              <w:top w:type="dxa" w:w="60"/>
              <w:left w:type="dxa" w:w="100"/>
              <w:bottom w:type="dxa" w:w="60"/>
              <w:right w:type="dxa" w:w="100"/>
            </w:tcMar>
          </w:tcPr>
          <w:p>
            <w:pPr>
              <w:spacing w:after="0"/>
            </w:pPr>
            <w:r>
              <w:rPr>
                <w:rFonts w:ascii="Consolas" w:cs="Consolas" w:eastAsia="Consolas" w:hAnsi="Consolas"/>
                <w:sz w:val="19"/>
                <w:szCs w:val="19"/>
              </w:rPr>
              <w:t xml:space="preserve">name</w:t>
            </w:r>
            <w:r>
              <w:t xml:space="preserve">, </w:t>
            </w:r>
            <w:r>
              <w:rPr>
                <w:rFonts w:ascii="Consolas" w:cs="Consolas" w:eastAsia="Consolas" w:hAnsi="Consolas"/>
                <w:sz w:val="19"/>
                <w:szCs w:val="19"/>
              </w:rPr>
              <w:t xml:space="preserve">top_n</w:t>
            </w:r>
            <w:r>
              <w:t xml:space="preserve"> (default 3)</w:t>
            </w:r>
          </w:p>
        </w:tc>
        <w:tc>
          <w:tcPr>
            <w:tcW w:type="dxa" w:w="2900"/>
            <w:tcMar>
              <w:top w:type="dxa" w:w="60"/>
              <w:left w:type="dxa" w:w="100"/>
              <w:bottom w:type="dxa" w:w="60"/>
              <w:right w:type="dxa" w:w="100"/>
            </w:tcMar>
          </w:tcPr>
          <w:p>
            <w:pPr>
              <w:spacing w:after="0"/>
            </w:pPr>
            <w:r>
              <w:t xml:space="preserve">fuzzy business matches; 404 if none</w:t>
            </w:r>
          </w:p>
        </w:tc>
      </w:tr>
      <w:tr>
        <w:tc>
          <w:tcPr>
            <w:tcW w:type="dxa" w:w="900"/>
            <w:tcMar>
              <w:top w:type="dxa" w:w="60"/>
              <w:left w:type="dxa" w:w="100"/>
              <w:bottom w:type="dxa" w:w="60"/>
              <w:right w:type="dxa" w:w="100"/>
            </w:tcMar>
          </w:tcPr>
          <w:p>
            <w:pPr>
              <w:spacing w:after="0"/>
            </w:pPr>
            <w:r>
              <w:t xml:space="preserve">POST</w:t>
            </w:r>
          </w:p>
        </w:tc>
        <w:tc>
          <w:tcPr>
            <w:tcW w:type="dxa" w:w="2300"/>
            <w:tcMar>
              <w:top w:type="dxa" w:w="60"/>
              <w:left w:type="dxa" w:w="100"/>
              <w:bottom w:type="dxa" w:w="60"/>
              <w:right w:type="dxa" w:w="100"/>
            </w:tcMar>
          </w:tcPr>
          <w:p>
            <w:pPr>
              <w:spacing w:after="0"/>
            </w:pPr>
            <w:r>
              <w:rPr>
                <w:rFonts w:ascii="Consolas" w:cs="Consolas" w:eastAsia="Consolas" w:hAnsi="Consolas"/>
                <w:sz w:val="19"/>
                <w:szCs w:val="19"/>
              </w:rPr>
              <w:t xml:space="preserve">/api/reports</w:t>
            </w:r>
          </w:p>
        </w:tc>
        <w:tc>
          <w:tcPr>
            <w:tcW w:type="dxa" w:w="2900"/>
            <w:tcMar>
              <w:top w:type="dxa" w:w="60"/>
              <w:left w:type="dxa" w:w="100"/>
              <w:bottom w:type="dxa" w:w="60"/>
              <w:right w:type="dxa" w:w="100"/>
            </w:tcMar>
          </w:tcPr>
          <w:p>
            <w:pPr>
              <w:spacing w:after="0"/>
            </w:pPr>
            <w:r>
              <w:rPr>
                <w:rFonts w:ascii="Consolas" w:cs="Consolas" w:eastAsia="Consolas" w:hAnsi="Consolas"/>
                <w:sz w:val="19"/>
                <w:szCs w:val="19"/>
              </w:rPr>
              <w:t xml:space="preserve">restaurant_name</w:t>
            </w:r>
            <w:r>
              <w:t xml:space="preserve">, </w:t>
            </w:r>
            <w:r>
              <w:rPr>
                <w:rFonts w:ascii="Consolas" w:cs="Consolas" w:eastAsia="Consolas" w:hAnsi="Consolas"/>
                <w:sz w:val="19"/>
                <w:szCs w:val="19"/>
              </w:rPr>
              <w:t xml:space="preserve">business_id?</w:t>
            </w:r>
            <w:r>
              <w:t xml:space="preserve">, </w:t>
            </w:r>
            <w:r>
              <w:rPr>
                <w:rFonts w:ascii="Consolas" w:cs="Consolas" w:eastAsia="Consolas" w:hAnsi="Consolas"/>
                <w:sz w:val="19"/>
                <w:szCs w:val="19"/>
              </w:rPr>
              <w:t xml:space="preserve">sample_size?</w:t>
            </w:r>
            <w:r>
              <w:t xml:space="preserve"> (1–100)</w:t>
            </w:r>
          </w:p>
        </w:tc>
        <w:tc>
          <w:tcPr>
            <w:tcW w:type="dxa" w:w="2900"/>
            <w:tcMar>
              <w:top w:type="dxa" w:w="60"/>
              <w:left w:type="dxa" w:w="100"/>
              <w:bottom w:type="dxa" w:w="60"/>
              <w:right w:type="dxa" w:w="100"/>
            </w:tcMar>
          </w:tcPr>
          <w:p>
            <w:pPr>
              <w:spacing w:after="0"/>
            </w:pPr>
            <w:r>
              <w:t xml:space="preserve">full </w:t>
            </w:r>
            <w:r>
              <w:rPr>
                <w:rFonts w:ascii="Consolas" w:cs="Consolas" w:eastAsia="Consolas" w:hAnsi="Consolas"/>
                <w:sz w:val="19"/>
                <w:szCs w:val="19"/>
              </w:rPr>
              <w:t xml:space="preserve">ReportResponse</w:t>
            </w:r>
            <w:r>
              <w:t xml:space="preserve">; HTTP 500 on halt</w:t>
            </w:r>
          </w:p>
        </w:tc>
      </w:tr>
      <w:tr>
        <w:tc>
          <w:tcPr>
            <w:tcW w:type="dxa" w:w="900"/>
            <w:tcMar>
              <w:top w:type="dxa" w:w="60"/>
              <w:left w:type="dxa" w:w="100"/>
              <w:bottom w:type="dxa" w:w="60"/>
              <w:right w:type="dxa" w:w="100"/>
            </w:tcMar>
          </w:tcPr>
          <w:p>
            <w:pPr>
              <w:spacing w:after="0"/>
            </w:pPr>
            <w:r>
              <w:t xml:space="preserve">GET</w:t>
            </w:r>
          </w:p>
        </w:tc>
        <w:tc>
          <w:tcPr>
            <w:tcW w:type="dxa" w:w="2300"/>
            <w:tcMar>
              <w:top w:type="dxa" w:w="60"/>
              <w:left w:type="dxa" w:w="100"/>
              <w:bottom w:type="dxa" w:w="60"/>
              <w:right w:type="dxa" w:w="100"/>
            </w:tcMar>
          </w:tcPr>
          <w:p>
            <w:pPr>
              <w:spacing w:after="0"/>
            </w:pPr>
            <w:r>
              <w:rPr>
                <w:rFonts w:ascii="Consolas" w:cs="Consolas" w:eastAsia="Consolas" w:hAnsi="Consolas"/>
                <w:sz w:val="19"/>
                <w:szCs w:val="19"/>
              </w:rPr>
              <w:t xml:space="preserve">/api/reports/stream</w:t>
            </w:r>
          </w:p>
        </w:tc>
        <w:tc>
          <w:tcPr>
            <w:tcW w:type="dxa" w:w="2900"/>
            <w:tcMar>
              <w:top w:type="dxa" w:w="60"/>
              <w:left w:type="dxa" w:w="100"/>
              <w:bottom w:type="dxa" w:w="60"/>
              <w:right w:type="dxa" w:w="100"/>
            </w:tcMar>
          </w:tcPr>
          <w:p>
            <w:pPr>
              <w:spacing w:after="0"/>
            </w:pPr>
            <w:r>
              <w:rPr>
                <w:rFonts w:ascii="Consolas" w:cs="Consolas" w:eastAsia="Consolas" w:hAnsi="Consolas"/>
                <w:sz w:val="19"/>
                <w:szCs w:val="19"/>
              </w:rPr>
              <w:t xml:space="preserve">restaurant_name</w:t>
            </w:r>
            <w:r>
              <w:t xml:space="preserve">, </w:t>
            </w:r>
            <w:r>
              <w:rPr>
                <w:rFonts w:ascii="Consolas" w:cs="Consolas" w:eastAsia="Consolas" w:hAnsi="Consolas"/>
                <w:sz w:val="19"/>
                <w:szCs w:val="19"/>
              </w:rPr>
              <w:t xml:space="preserve">business_id?</w:t>
            </w:r>
            <w:r>
              <w:t xml:space="preserve">, </w:t>
            </w:r>
            <w:r>
              <w:rPr>
                <w:rFonts w:ascii="Consolas" w:cs="Consolas" w:eastAsia="Consolas" w:hAnsi="Consolas"/>
                <w:sz w:val="19"/>
                <w:szCs w:val="19"/>
              </w:rPr>
              <w:t xml:space="preserve">sample_size?</w:t>
            </w:r>
          </w:p>
        </w:tc>
        <w:tc>
          <w:tcPr>
            <w:tcW w:type="dxa" w:w="2900"/>
            <w:tcMar>
              <w:top w:type="dxa" w:w="60"/>
              <w:left w:type="dxa" w:w="100"/>
              <w:bottom w:type="dxa" w:w="60"/>
              <w:right w:type="dxa" w:w="100"/>
            </w:tcMar>
          </w:tcPr>
          <w:p>
            <w:pPr>
              <w:spacing w:after="0"/>
            </w:pPr>
            <w:r>
              <w:t xml:space="preserve">SSE progress events + final report</w:t>
            </w:r>
          </w:p>
        </w:tc>
      </w:tr>
    </w:tbl>
    <w:p>
      <w:pPr>
        <w:spacing w:after="120"/>
      </w:pPr>
      <w:r>
        <w:t xml:space="preserve">The SSE contract reflects the hub: </w:t>
      </w:r>
      <w:r>
        <w:rPr>
          <w:rFonts w:ascii="Consolas" w:cs="Consolas" w:eastAsia="Consolas" w:hAnsi="Consolas"/>
          <w:sz w:val="19"/>
          <w:szCs w:val="19"/>
        </w:rPr>
        <w:t xml:space="preserve">stage_start</w:t>
      </w:r>
      <w:r>
        <w:t xml:space="preserve"> and </w:t>
      </w:r>
      <w:r>
        <w:rPr>
          <w:rFonts w:ascii="Consolas" w:cs="Consolas" w:eastAsia="Consolas" w:hAnsi="Consolas"/>
          <w:sz w:val="19"/>
          <w:szCs w:val="19"/>
        </w:rPr>
        <w:t xml:space="preserve">stage_end</w:t>
      </w:r>
      <w:r>
        <w:t xml:space="preserve"> carry a 1-based </w:t>
      </w:r>
      <w:r>
        <w:rPr>
          <w:rFonts w:ascii="Consolas" w:cs="Consolas" w:eastAsia="Consolas" w:hAnsi="Consolas"/>
          <w:sz w:val="19"/>
          <w:szCs w:val="19"/>
        </w:rPr>
        <w:t xml:space="preserve">attempt</w:t>
      </w:r>
      <w:r>
        <w:t xml:space="preserve"> number (a retried stage re-emits </w:t>
      </w:r>
      <w:r>
        <w:rPr>
          <w:rFonts w:ascii="Consolas" w:cs="Consolas" w:eastAsia="Consolas" w:hAnsi="Consolas"/>
          <w:sz w:val="19"/>
          <w:szCs w:val="19"/>
        </w:rPr>
        <w:t xml:space="preserve">stage_start</w:t>
      </w:r>
      <w:r>
        <w:t xml:space="preserve"> with attempt 2), a </w:t>
      </w:r>
      <w:r>
        <w:rPr>
          <w:rFonts w:ascii="Consolas" w:cs="Consolas" w:eastAsia="Consolas" w:hAnsi="Consolas"/>
          <w:sz w:val="19"/>
          <w:szCs w:val="19"/>
        </w:rPr>
        <w:t xml:space="preserve">verdict</w:t>
      </w:r>
      <w:r>
        <w:t xml:space="preserve"> event reports the orchestrator's decision with its flags and reason after every stage, </w:t>
      </w:r>
      <w:r>
        <w:rPr>
          <w:rFonts w:ascii="Consolas" w:cs="Consolas" w:eastAsia="Consolas" w:hAnsi="Consolas"/>
          <w:sz w:val="19"/>
          <w:szCs w:val="19"/>
        </w:rPr>
        <w:t xml:space="preserve">error</w:t>
      </w:r>
      <w:r>
        <w:t xml:space="preserve"> follows a halt, and </w:t>
      </w:r>
      <w:r>
        <w:rPr>
          <w:rFonts w:ascii="Consolas" w:cs="Consolas" w:eastAsia="Consolas" w:hAnsi="Consolas"/>
          <w:sz w:val="19"/>
          <w:szCs w:val="19"/>
        </w:rPr>
        <w:t xml:space="preserve">done</w:t>
      </w:r>
      <w:r>
        <w:t xml:space="preserve"> delivers the final report plus accumulated flags so the dashboard can badge low-confidence results. The response also carries </w:t>
      </w:r>
      <w:r>
        <w:rPr>
          <w:rFonts w:ascii="Consolas" w:cs="Consolas" w:eastAsia="Consolas" w:hAnsi="Consolas"/>
          <w:sz w:val="19"/>
          <w:szCs w:val="19"/>
        </w:rPr>
        <w:t xml:space="preserve">analysis_summary</w:t>
      </w:r>
      <w:r>
        <w:t xml:space="preserve"> computed in plain Python from the analysis rows — sentiment and aspect counts are never LLM-generated.</w:t>
      </w:r>
    </w:p>
    <w:p>
      <w:pPr>
        <w:spacing w:after="120"/>
      </w:pPr>
      <w:r>
        <w:t xml:space="preserve">The frontend is a Vite + React app with two views: a </w:t>
      </w:r>
      <w:r>
        <w:rPr>
          <w:b/>
          <w:bCs/>
        </w:rPr>
        <w:t xml:space="preserve">Dashboard</w:t>
      </w:r>
      <w:r>
        <w:t xml:space="preserve"> (business search and confirmation, KPIs, sentiment and aspect summaries, findings, patterns, root causes, recommendations, limitations) and a </w:t>
      </w:r>
      <w:r>
        <w:rPr>
          <w:b/>
          <w:bCs/>
        </w:rPr>
        <w:t xml:space="preserve">Pipeline Monitor</w:t>
      </w:r>
      <w:r>
        <w:t xml:space="preserve"> (live SSE stage status and timings). Known gap: the Pipeline Monitor currently keys its timeline by stage alone and does not yet render the new </w:t>
      </w:r>
      <w:r>
        <w:rPr>
          <w:rFonts w:ascii="Consolas" w:cs="Consolas" w:eastAsia="Consolas" w:hAnsi="Consolas"/>
          <w:sz w:val="19"/>
          <w:szCs w:val="19"/>
        </w:rPr>
        <w:t xml:space="preserve">verdict</w:t>
      </w:r>
      <w:r>
        <w:t xml:space="preserve"> / attempt events — an additive UI change that remains open (Section 7.2).</w:t>
      </w:r>
    </w:p>
    <w:p>
      <w:pPr>
        <w:pStyle w:val="Heading2"/>
        <w:spacing w:after="120" w:before="240"/>
      </w:pPr>
      <w:r>
        <w:t xml:space="preserve">2.7 External Libraries and Software Packages</w:t>
      </w:r>
    </w:p>
    <w:p>
      <w:pPr>
        <w:spacing w:after="120"/>
      </w:pPr>
      <w:r>
        <w:rPr>
          <w:b/>
          <w:bCs/>
        </w:rPr>
        <w:t xml:space="preserve">Table 1a — Backend</w:t>
      </w:r>
      <w:r>
        <w:t xml:space="preserve"> (from </w:t>
      </w:r>
      <w:r>
        <w:rPr>
          <w:rFonts w:ascii="Consolas" w:cs="Consolas" w:eastAsia="Consolas" w:hAnsi="Consolas"/>
          <w:sz w:val="19"/>
          <w:szCs w:val="19"/>
        </w:rPr>
        <w:t xml:space="preserve">backend/requirements.txt</w:t>
      </w:r>
      <w:r>
        <w:t xml:space="preserve">; versions unpinned — see Section 7.2):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600"/>
      </w:tblGrid>
      <w:tr>
        <w:trPr>
          <w:tblHeader/>
        </w:trPr>
        <w:tc>
          <w:tcPr>
            <w:tcW w:type="dxa" w:w="2700"/>
            <w:shd w:fill="DCE3EF" w:val="clear"/>
            <w:tcMar>
              <w:top w:type="dxa" w:w="60"/>
              <w:left w:type="dxa" w:w="100"/>
              <w:bottom w:type="dxa" w:w="60"/>
              <w:right w:type="dxa" w:w="100"/>
            </w:tcMar>
          </w:tcPr>
          <w:p>
            <w:pPr>
              <w:spacing w:after="0"/>
            </w:pPr>
            <w:r>
              <w:rPr>
                <w:b/>
                <w:bCs/>
              </w:rPr>
              <w:t xml:space="preserve">Library</w:t>
            </w:r>
          </w:p>
        </w:tc>
        <w:tc>
          <w:tcPr>
            <w:tcW w:type="dxa" w:w="1700"/>
            <w:shd w:fill="DCE3EF" w:val="clear"/>
            <w:tcMar>
              <w:top w:type="dxa" w:w="60"/>
              <w:left w:type="dxa" w:w="100"/>
              <w:bottom w:type="dxa" w:w="60"/>
              <w:right w:type="dxa" w:w="100"/>
            </w:tcMar>
          </w:tcPr>
          <w:p>
            <w:pPr>
              <w:spacing w:after="0"/>
            </w:pPr>
            <w:r>
              <w:rPr>
                <w:b/>
                <w:bCs/>
              </w:rPr>
              <w:t xml:space="preserve">Version</w:t>
            </w:r>
          </w:p>
        </w:tc>
        <w:tc>
          <w:tcPr>
            <w:tcW w:type="dxa" w:w="4600"/>
            <w:shd w:fill="DCE3EF" w:val="clear"/>
            <w:tcMar>
              <w:top w:type="dxa" w:w="60"/>
              <w:left w:type="dxa" w:w="100"/>
              <w:bottom w:type="dxa" w:w="60"/>
              <w:right w:type="dxa" w:w="100"/>
            </w:tcMar>
          </w:tcPr>
          <w:p>
            <w:pPr>
              <w:spacing w:after="0"/>
            </w:pPr>
            <w:r>
              <w:rPr>
                <w:b/>
                <w:bCs/>
              </w:rPr>
              <w:t xml:space="preserve">Purpose</w:t>
            </w:r>
          </w:p>
        </w:tc>
      </w:tr>
      <w:tr>
        <w:tc>
          <w:tcPr>
            <w:tcW w:type="dxa" w:w="2700"/>
            <w:tcMar>
              <w:top w:type="dxa" w:w="60"/>
              <w:left w:type="dxa" w:w="100"/>
              <w:bottom w:type="dxa" w:w="60"/>
              <w:right w:type="dxa" w:w="100"/>
            </w:tcMar>
          </w:tcPr>
          <w:p>
            <w:pPr>
              <w:spacing w:after="0"/>
            </w:pPr>
            <w:r>
              <w:t xml:space="preserve">fastapi</w:t>
            </w:r>
          </w:p>
        </w:tc>
        <w:tc>
          <w:tcPr>
            <w:tcW w:type="dxa" w:w="1700"/>
            <w:tcMar>
              <w:top w:type="dxa" w:w="60"/>
              <w:left w:type="dxa" w:w="100"/>
              <w:bottom w:type="dxa" w:w="60"/>
              <w:right w:type="dxa" w:w="100"/>
            </w:tcMar>
          </w:tcPr>
          <w:p>
            <w:pPr>
              <w:spacing w:after="0"/>
            </w:pPr>
            <w:r>
              <w:t xml:space="preserve">unpinned</w:t>
            </w:r>
          </w:p>
        </w:tc>
        <w:tc>
          <w:tcPr>
            <w:tcW w:type="dxa" w:w="4600"/>
            <w:tcMar>
              <w:top w:type="dxa" w:w="60"/>
              <w:left w:type="dxa" w:w="100"/>
              <w:bottom w:type="dxa" w:w="60"/>
              <w:right w:type="dxa" w:w="100"/>
            </w:tcMar>
          </w:tcPr>
          <w:p>
            <w:pPr>
              <w:spacing w:after="0"/>
            </w:pPr>
            <w:r>
              <w:t xml:space="preserve">HTTP API framework (endpoints, SSE)</w:t>
            </w:r>
          </w:p>
        </w:tc>
      </w:tr>
      <w:tr>
        <w:tc>
          <w:tcPr>
            <w:tcW w:type="dxa" w:w="2700"/>
            <w:tcMar>
              <w:top w:type="dxa" w:w="60"/>
              <w:left w:type="dxa" w:w="100"/>
              <w:bottom w:type="dxa" w:w="60"/>
              <w:right w:type="dxa" w:w="100"/>
            </w:tcMar>
          </w:tcPr>
          <w:p>
            <w:pPr>
              <w:spacing w:after="0"/>
            </w:pPr>
            <w:r>
              <w:t xml:space="preserve">uvicorn[standard]</w:t>
            </w:r>
          </w:p>
        </w:tc>
        <w:tc>
          <w:tcPr>
            <w:tcW w:type="dxa" w:w="1700"/>
            <w:tcMar>
              <w:top w:type="dxa" w:w="60"/>
              <w:left w:type="dxa" w:w="100"/>
              <w:bottom w:type="dxa" w:w="60"/>
              <w:right w:type="dxa" w:w="100"/>
            </w:tcMar>
          </w:tcPr>
          <w:p>
            <w:pPr>
              <w:spacing w:after="0"/>
            </w:pPr>
            <w:r>
              <w:t xml:space="preserve">unpinned</w:t>
            </w:r>
          </w:p>
        </w:tc>
        <w:tc>
          <w:tcPr>
            <w:tcW w:type="dxa" w:w="4600"/>
            <w:tcMar>
              <w:top w:type="dxa" w:w="60"/>
              <w:left w:type="dxa" w:w="100"/>
              <w:bottom w:type="dxa" w:w="60"/>
              <w:right w:type="dxa" w:w="100"/>
            </w:tcMar>
          </w:tcPr>
          <w:p>
            <w:pPr>
              <w:spacing w:after="0"/>
            </w:pPr>
            <w:r>
              <w:t xml:space="preserve">ASGI server</w:t>
            </w:r>
          </w:p>
        </w:tc>
      </w:tr>
      <w:tr>
        <w:tc>
          <w:tcPr>
            <w:tcW w:type="dxa" w:w="2700"/>
            <w:tcMar>
              <w:top w:type="dxa" w:w="60"/>
              <w:left w:type="dxa" w:w="100"/>
              <w:bottom w:type="dxa" w:w="60"/>
              <w:right w:type="dxa" w:w="100"/>
            </w:tcMar>
          </w:tcPr>
          <w:p>
            <w:pPr>
              <w:spacing w:after="0"/>
            </w:pPr>
            <w:r>
              <w:t xml:space="preserve">pandas</w:t>
            </w:r>
          </w:p>
        </w:tc>
        <w:tc>
          <w:tcPr>
            <w:tcW w:type="dxa" w:w="1700"/>
            <w:tcMar>
              <w:top w:type="dxa" w:w="60"/>
              <w:left w:type="dxa" w:w="100"/>
              <w:bottom w:type="dxa" w:w="60"/>
              <w:right w:type="dxa" w:w="100"/>
            </w:tcMar>
          </w:tcPr>
          <w:p>
            <w:pPr>
              <w:spacing w:after="0"/>
            </w:pPr>
            <w:r>
              <w:t xml:space="preserve">unpinned</w:t>
            </w:r>
          </w:p>
        </w:tc>
        <w:tc>
          <w:tcPr>
            <w:tcW w:type="dxa" w:w="4600"/>
            <w:tcMar>
              <w:top w:type="dxa" w:w="60"/>
              <w:left w:type="dxa" w:w="100"/>
              <w:bottom w:type="dxa" w:w="60"/>
              <w:right w:type="dxa" w:w="100"/>
            </w:tcMar>
          </w:tcPr>
          <w:p>
            <w:pPr>
              <w:spacing w:after="0"/>
            </w:pPr>
            <w:r>
              <w:t xml:space="preserve">review DataFrame handling / preprocessing</w:t>
            </w:r>
          </w:p>
        </w:tc>
      </w:tr>
      <w:tr>
        <w:tc>
          <w:tcPr>
            <w:tcW w:type="dxa" w:w="2700"/>
            <w:tcMar>
              <w:top w:type="dxa" w:w="60"/>
              <w:left w:type="dxa" w:w="100"/>
              <w:bottom w:type="dxa" w:w="60"/>
              <w:right w:type="dxa" w:w="100"/>
            </w:tcMar>
          </w:tcPr>
          <w:p>
            <w:pPr>
              <w:spacing w:after="0"/>
            </w:pPr>
            <w:r>
              <w:t xml:space="preserve">pydantic</w:t>
            </w:r>
          </w:p>
        </w:tc>
        <w:tc>
          <w:tcPr>
            <w:tcW w:type="dxa" w:w="1700"/>
            <w:tcMar>
              <w:top w:type="dxa" w:w="60"/>
              <w:left w:type="dxa" w:w="100"/>
              <w:bottom w:type="dxa" w:w="60"/>
              <w:right w:type="dxa" w:w="100"/>
            </w:tcMar>
          </w:tcPr>
          <w:p>
            <w:pPr>
              <w:spacing w:after="0"/>
            </w:pPr>
            <w:r>
              <w:t xml:space="preserve">unpinned (v2)</w:t>
            </w:r>
          </w:p>
        </w:tc>
        <w:tc>
          <w:tcPr>
            <w:tcW w:type="dxa" w:w="4600"/>
            <w:tcMar>
              <w:top w:type="dxa" w:w="60"/>
              <w:left w:type="dxa" w:w="100"/>
              <w:bottom w:type="dxa" w:w="60"/>
              <w:right w:type="dxa" w:w="100"/>
            </w:tcMar>
          </w:tcPr>
          <w:p>
            <w:pPr>
              <w:spacing w:after="0"/>
            </w:pPr>
            <w:r>
              <w:t xml:space="preserve">structured inter-agent contracts + validation</w:t>
            </w:r>
          </w:p>
        </w:tc>
      </w:tr>
      <w:tr>
        <w:tc>
          <w:tcPr>
            <w:tcW w:type="dxa" w:w="2700"/>
            <w:tcMar>
              <w:top w:type="dxa" w:w="60"/>
              <w:left w:type="dxa" w:w="100"/>
              <w:bottom w:type="dxa" w:w="60"/>
              <w:right w:type="dxa" w:w="100"/>
            </w:tcMar>
          </w:tcPr>
          <w:p>
            <w:pPr>
              <w:spacing w:after="0"/>
            </w:pPr>
            <w:r>
              <w:t xml:space="preserve">python-dotenv</w:t>
            </w:r>
          </w:p>
        </w:tc>
        <w:tc>
          <w:tcPr>
            <w:tcW w:type="dxa" w:w="1700"/>
            <w:tcMar>
              <w:top w:type="dxa" w:w="60"/>
              <w:left w:type="dxa" w:w="100"/>
              <w:bottom w:type="dxa" w:w="60"/>
              <w:right w:type="dxa" w:w="100"/>
            </w:tcMar>
          </w:tcPr>
          <w:p>
            <w:pPr>
              <w:spacing w:after="0"/>
            </w:pPr>
            <w:r>
              <w:t xml:space="preserve">unpinned</w:t>
            </w:r>
          </w:p>
        </w:tc>
        <w:tc>
          <w:tcPr>
            <w:tcW w:type="dxa" w:w="4600"/>
            <w:tcMar>
              <w:top w:type="dxa" w:w="60"/>
              <w:left w:type="dxa" w:w="100"/>
              <w:bottom w:type="dxa" w:w="60"/>
              <w:right w:type="dxa" w:w="100"/>
            </w:tcMar>
          </w:tcPr>
          <w:p>
            <w:pPr>
              <w:spacing w:after="0"/>
            </w:pPr>
            <w:r>
              <w:t xml:space="preserve">load </w:t>
            </w:r>
            <w:r>
              <w:rPr>
                <w:rFonts w:ascii="Consolas" w:cs="Consolas" w:eastAsia="Consolas" w:hAnsi="Consolas"/>
                <w:sz w:val="19"/>
                <w:szCs w:val="19"/>
              </w:rPr>
              <w:t xml:space="preserve">.env</w:t>
            </w:r>
            <w:r>
              <w:t xml:space="preserve"> provider configuration</w:t>
            </w:r>
          </w:p>
        </w:tc>
      </w:tr>
      <w:tr>
        <w:tc>
          <w:tcPr>
            <w:tcW w:type="dxa" w:w="2700"/>
            <w:tcMar>
              <w:top w:type="dxa" w:w="60"/>
              <w:left w:type="dxa" w:w="100"/>
              <w:bottom w:type="dxa" w:w="60"/>
              <w:right w:type="dxa" w:w="100"/>
            </w:tcMar>
          </w:tcPr>
          <w:p>
            <w:pPr>
              <w:spacing w:after="0"/>
            </w:pPr>
            <w:r>
              <w:t xml:space="preserve">rapidfuzz</w:t>
            </w:r>
          </w:p>
        </w:tc>
        <w:tc>
          <w:tcPr>
            <w:tcW w:type="dxa" w:w="1700"/>
            <w:tcMar>
              <w:top w:type="dxa" w:w="60"/>
              <w:left w:type="dxa" w:w="100"/>
              <w:bottom w:type="dxa" w:w="60"/>
              <w:right w:type="dxa" w:w="100"/>
            </w:tcMar>
          </w:tcPr>
          <w:p>
            <w:pPr>
              <w:spacing w:after="0"/>
            </w:pPr>
            <w:r>
              <w:t xml:space="preserve">unpinned</w:t>
            </w:r>
          </w:p>
        </w:tc>
        <w:tc>
          <w:tcPr>
            <w:tcW w:type="dxa" w:w="4600"/>
            <w:tcMar>
              <w:top w:type="dxa" w:w="60"/>
              <w:left w:type="dxa" w:w="100"/>
              <w:bottom w:type="dxa" w:w="60"/>
              <w:right w:type="dxa" w:w="100"/>
            </w:tcMar>
          </w:tcPr>
          <w:p>
            <w:pPr>
              <w:spacing w:after="0"/>
            </w:pPr>
            <w:r>
              <w:t xml:space="preserve">fuzzy business-name matching</w:t>
            </w:r>
          </w:p>
        </w:tc>
      </w:tr>
      <w:tr>
        <w:tc>
          <w:tcPr>
            <w:tcW w:type="dxa" w:w="2700"/>
            <w:tcMar>
              <w:top w:type="dxa" w:w="60"/>
              <w:left w:type="dxa" w:w="100"/>
              <w:bottom w:type="dxa" w:w="60"/>
              <w:right w:type="dxa" w:w="100"/>
            </w:tcMar>
          </w:tcPr>
          <w:p>
            <w:pPr>
              <w:spacing w:after="0"/>
            </w:pPr>
            <w:r>
              <w:t xml:space="preserve">openai</w:t>
            </w:r>
          </w:p>
        </w:tc>
        <w:tc>
          <w:tcPr>
            <w:tcW w:type="dxa" w:w="1700"/>
            <w:tcMar>
              <w:top w:type="dxa" w:w="60"/>
              <w:left w:type="dxa" w:w="100"/>
              <w:bottom w:type="dxa" w:w="60"/>
              <w:right w:type="dxa" w:w="100"/>
            </w:tcMar>
          </w:tcPr>
          <w:p>
            <w:pPr>
              <w:spacing w:after="0"/>
            </w:pPr>
            <w:r>
              <w:t xml:space="preserve">unpinned</w:t>
            </w:r>
          </w:p>
        </w:tc>
        <w:tc>
          <w:tcPr>
            <w:tcW w:type="dxa" w:w="4600"/>
            <w:tcMar>
              <w:top w:type="dxa" w:w="60"/>
              <w:left w:type="dxa" w:w="100"/>
              <w:bottom w:type="dxa" w:w="60"/>
              <w:right w:type="dxa" w:w="100"/>
            </w:tcMar>
          </w:tcPr>
          <w:p>
            <w:pPr>
              <w:spacing w:after="0"/>
            </w:pPr>
            <w:r>
              <w:t xml:space="preserve">OpenAI-compatible LLM client (Gemini / Ollama / Groq)</w:t>
            </w:r>
          </w:p>
        </w:tc>
      </w:tr>
      <w:tr>
        <w:tc>
          <w:tcPr>
            <w:tcW w:type="dxa" w:w="2700"/>
            <w:tcMar>
              <w:top w:type="dxa" w:w="60"/>
              <w:left w:type="dxa" w:w="100"/>
              <w:bottom w:type="dxa" w:w="60"/>
              <w:right w:type="dxa" w:w="100"/>
            </w:tcMar>
          </w:tcPr>
          <w:p>
            <w:pPr>
              <w:spacing w:after="0"/>
            </w:pPr>
            <w:r>
              <w:t xml:space="preserve">langchain / langchain-openai</w:t>
            </w:r>
          </w:p>
        </w:tc>
        <w:tc>
          <w:tcPr>
            <w:tcW w:type="dxa" w:w="1700"/>
            <w:tcMar>
              <w:top w:type="dxa" w:w="60"/>
              <w:left w:type="dxa" w:w="100"/>
              <w:bottom w:type="dxa" w:w="60"/>
              <w:right w:type="dxa" w:w="100"/>
            </w:tcMar>
          </w:tcPr>
          <w:p>
            <w:pPr>
              <w:spacing w:after="0"/>
            </w:pPr>
            <w:r>
              <w:t xml:space="preserve">unpinned</w:t>
            </w:r>
          </w:p>
        </w:tc>
        <w:tc>
          <w:tcPr>
            <w:tcW w:type="dxa" w:w="4600"/>
            <w:tcMar>
              <w:top w:type="dxa" w:w="60"/>
              <w:left w:type="dxa" w:w="100"/>
              <w:bottom w:type="dxa" w:w="60"/>
              <w:right w:type="dxa" w:w="100"/>
            </w:tcMar>
          </w:tcPr>
          <w:p>
            <w:pPr>
              <w:spacing w:after="0"/>
            </w:pPr>
            <w:r>
              <w:t xml:space="preserve">LLM framework base; ChatOpenAI for legacy recovery path</w:t>
            </w:r>
          </w:p>
        </w:tc>
      </w:tr>
      <w:tr>
        <w:tc>
          <w:tcPr>
            <w:tcW w:type="dxa" w:w="2700"/>
            <w:tcMar>
              <w:top w:type="dxa" w:w="60"/>
              <w:left w:type="dxa" w:w="100"/>
              <w:bottom w:type="dxa" w:w="60"/>
              <w:right w:type="dxa" w:w="100"/>
            </w:tcMar>
          </w:tcPr>
          <w:p>
            <w:pPr>
              <w:spacing w:after="0"/>
            </w:pPr>
            <w:r>
              <w:t xml:space="preserve">langgraph</w:t>
            </w:r>
          </w:p>
        </w:tc>
        <w:tc>
          <w:tcPr>
            <w:tcW w:type="dxa" w:w="1700"/>
            <w:tcMar>
              <w:top w:type="dxa" w:w="60"/>
              <w:left w:type="dxa" w:w="100"/>
              <w:bottom w:type="dxa" w:w="60"/>
              <w:right w:type="dxa" w:w="100"/>
            </w:tcMar>
          </w:tcPr>
          <w:p>
            <w:pPr>
              <w:spacing w:after="0"/>
            </w:pPr>
            <w:r>
              <w:t xml:space="preserve">unpinned</w:t>
            </w:r>
          </w:p>
        </w:tc>
        <w:tc>
          <w:tcPr>
            <w:tcW w:type="dxa" w:w="4600"/>
            <w:tcMar>
              <w:top w:type="dxa" w:w="60"/>
              <w:left w:type="dxa" w:w="100"/>
              <w:bottom w:type="dxa" w:w="60"/>
              <w:right w:type="dxa" w:w="100"/>
            </w:tcMar>
          </w:tcPr>
          <w:p>
            <w:pPr>
              <w:spacing w:after="0"/>
            </w:pPr>
            <w:r>
              <w:t xml:space="preserve">multi-agent pipeline graph</w:t>
            </w:r>
          </w:p>
        </w:tc>
      </w:tr>
      <w:tr>
        <w:tc>
          <w:tcPr>
            <w:tcW w:type="dxa" w:w="2700"/>
            <w:tcMar>
              <w:top w:type="dxa" w:w="60"/>
              <w:left w:type="dxa" w:w="100"/>
              <w:bottom w:type="dxa" w:w="60"/>
              <w:right w:type="dxa" w:w="100"/>
            </w:tcMar>
          </w:tcPr>
          <w:p>
            <w:pPr>
              <w:spacing w:after="0"/>
            </w:pPr>
            <w:r>
              <w:t xml:space="preserve">scikit-learn</w:t>
            </w:r>
          </w:p>
        </w:tc>
        <w:tc>
          <w:tcPr>
            <w:tcW w:type="dxa" w:w="1700"/>
            <w:tcMar>
              <w:top w:type="dxa" w:w="60"/>
              <w:left w:type="dxa" w:w="100"/>
              <w:bottom w:type="dxa" w:w="60"/>
              <w:right w:type="dxa" w:w="100"/>
            </w:tcMar>
          </w:tcPr>
          <w:p>
            <w:pPr>
              <w:spacing w:after="0"/>
            </w:pPr>
            <w:r>
              <w:t xml:space="preserve">unpinned</w:t>
            </w:r>
          </w:p>
        </w:tc>
        <w:tc>
          <w:tcPr>
            <w:tcW w:type="dxa" w:w="4600"/>
            <w:tcMar>
              <w:top w:type="dxa" w:w="60"/>
              <w:left w:type="dxa" w:w="100"/>
              <w:bottom w:type="dxa" w:w="60"/>
              <w:right w:type="dxa" w:w="100"/>
            </w:tcMar>
          </w:tcPr>
          <w:p>
            <w:pPr>
              <w:spacing w:after="0"/>
            </w:pPr>
            <w:r>
              <w:t xml:space="preserve">Tier 2 accuracy + macro-F1</w:t>
            </w:r>
          </w:p>
        </w:tc>
      </w:tr>
      <w:tr>
        <w:tc>
          <w:tcPr>
            <w:tcW w:type="dxa" w:w="2700"/>
            <w:tcMar>
              <w:top w:type="dxa" w:w="60"/>
              <w:left w:type="dxa" w:w="100"/>
              <w:bottom w:type="dxa" w:w="60"/>
              <w:right w:type="dxa" w:w="100"/>
            </w:tcMar>
          </w:tcPr>
          <w:p>
            <w:pPr>
              <w:spacing w:after="0"/>
            </w:pPr>
            <w:r>
              <w:t xml:space="preserve">pytest</w:t>
            </w:r>
          </w:p>
        </w:tc>
        <w:tc>
          <w:tcPr>
            <w:tcW w:type="dxa" w:w="1700"/>
            <w:tcMar>
              <w:top w:type="dxa" w:w="60"/>
              <w:left w:type="dxa" w:w="100"/>
              <w:bottom w:type="dxa" w:w="60"/>
              <w:right w:type="dxa" w:w="100"/>
            </w:tcMar>
          </w:tcPr>
          <w:p>
            <w:pPr>
              <w:spacing w:after="0"/>
            </w:pPr>
            <w:r>
              <w:t xml:space="preserve">unpinned</w:t>
            </w:r>
          </w:p>
        </w:tc>
        <w:tc>
          <w:tcPr>
            <w:tcW w:type="dxa" w:w="4600"/>
            <w:tcMar>
              <w:top w:type="dxa" w:w="60"/>
              <w:left w:type="dxa" w:w="100"/>
              <w:bottom w:type="dxa" w:w="60"/>
              <w:right w:type="dxa" w:w="100"/>
            </w:tcMar>
          </w:tcPr>
          <w:p>
            <w:pPr>
              <w:spacing w:after="0"/>
            </w:pPr>
            <w:r>
              <w:t xml:space="preserve">test runner</w:t>
            </w:r>
          </w:p>
        </w:tc>
      </w:tr>
      <w:tr>
        <w:tc>
          <w:tcPr>
            <w:tcW w:type="dxa" w:w="2700"/>
            <w:tcMar>
              <w:top w:type="dxa" w:w="60"/>
              <w:left w:type="dxa" w:w="100"/>
              <w:bottom w:type="dxa" w:w="60"/>
              <w:right w:type="dxa" w:w="100"/>
            </w:tcMar>
          </w:tcPr>
          <w:p>
            <w:pPr>
              <w:spacing w:after="0"/>
            </w:pPr>
            <w:r>
              <w:t xml:space="preserve">fuzzywuzzy + python-levenshtein</w:t>
            </w:r>
          </w:p>
        </w:tc>
        <w:tc>
          <w:tcPr>
            <w:tcW w:type="dxa" w:w="1700"/>
            <w:tcMar>
              <w:top w:type="dxa" w:w="60"/>
              <w:left w:type="dxa" w:w="100"/>
              <w:bottom w:type="dxa" w:w="60"/>
              <w:right w:type="dxa" w:w="100"/>
            </w:tcMar>
          </w:tcPr>
          <w:p>
            <w:pPr>
              <w:spacing w:after="0"/>
            </w:pPr>
            <w:r>
              <w:t xml:space="preserve">unpinned</w:t>
            </w:r>
          </w:p>
        </w:tc>
        <w:tc>
          <w:tcPr>
            <w:tcW w:type="dxa" w:w="4600"/>
            <w:tcMar>
              <w:top w:type="dxa" w:w="60"/>
              <w:left w:type="dxa" w:w="100"/>
              <w:bottom w:type="dxa" w:w="60"/>
              <w:right w:type="dxa" w:w="100"/>
            </w:tcMar>
          </w:tcPr>
          <w:p>
            <w:pPr>
              <w:spacing w:after="0"/>
            </w:pPr>
            <w:r>
              <w:t xml:space="preserve">listed but unused (superseded by rapidfuzz)</w:t>
            </w:r>
          </w:p>
        </w:tc>
      </w:tr>
      <w:tr>
        <w:tc>
          <w:tcPr>
            <w:tcW w:type="dxa" w:w="2700"/>
            <w:tcMar>
              <w:top w:type="dxa" w:w="60"/>
              <w:left w:type="dxa" w:w="100"/>
              <w:bottom w:type="dxa" w:w="60"/>
              <w:right w:type="dxa" w:w="100"/>
            </w:tcMar>
          </w:tcPr>
          <w:p>
            <w:pPr>
              <w:spacing w:after="0"/>
            </w:pPr>
            <w:r>
              <w:t xml:space="preserve">openpyxl</w:t>
            </w:r>
          </w:p>
        </w:tc>
        <w:tc>
          <w:tcPr>
            <w:tcW w:type="dxa" w:w="1700"/>
            <w:tcMar>
              <w:top w:type="dxa" w:w="60"/>
              <w:left w:type="dxa" w:w="100"/>
              <w:bottom w:type="dxa" w:w="60"/>
              <w:right w:type="dxa" w:w="100"/>
            </w:tcMar>
          </w:tcPr>
          <w:p>
            <w:pPr>
              <w:spacing w:after="0"/>
            </w:pPr>
            <w:r>
              <w:t xml:space="preserve">MISSING</w:t>
            </w:r>
          </w:p>
        </w:tc>
        <w:tc>
          <w:tcPr>
            <w:tcW w:type="dxa" w:w="4600"/>
            <w:tcMar>
              <w:top w:type="dxa" w:w="60"/>
              <w:left w:type="dxa" w:w="100"/>
              <w:bottom w:type="dxa" w:w="60"/>
              <w:right w:type="dxa" w:w="100"/>
            </w:tcMar>
          </w:tcPr>
          <w:p>
            <w:pPr>
              <w:spacing w:after="0"/>
            </w:pPr>
            <w:r>
              <w:t xml:space="preserve">needed by eval/gold/build_gold_jsonl.py; not in requirements.txt</w:t>
            </w:r>
          </w:p>
        </w:tc>
      </w:tr>
    </w:tbl>
    <w:p>
      <w:pPr>
        <w:spacing w:after="120"/>
      </w:pPr>
    </w:p>
    <w:p>
      <w:pPr>
        <w:spacing w:after="120"/>
      </w:pPr>
      <w:r>
        <w:rPr>
          <w:b/>
          <w:bCs/>
        </w:rPr>
        <w:t xml:space="preserve">Table 1b — Frontend</w:t>
      </w:r>
      <w:r>
        <w:t xml:space="preserve"> (installed versions from </w:t>
      </w:r>
      <w:r>
        <w:rPr>
          <w:rFonts w:ascii="Consolas" w:cs="Consolas" w:eastAsia="Consolas" w:hAnsi="Consolas"/>
          <w:sz w:val="19"/>
          <w:szCs w:val="19"/>
        </w:rPr>
        <w:t xml:space="preserve">package-lock.json</w:t>
      </w:r>
      <w:r>
        <w:t xml:space="preserve">; </w:t>
      </w:r>
      <w:r>
        <w:rPr>
          <w:rFonts w:ascii="Consolas" w:cs="Consolas" w:eastAsia="Consolas" w:hAnsi="Consolas"/>
          <w:sz w:val="19"/>
          <w:szCs w:val="19"/>
        </w:rPr>
        <w:t xml:space="preserve">package.json</w:t>
      </w:r>
      <w:r>
        <w:t xml:space="preserve"> declares </w:t>
      </w:r>
      <w:r>
        <w:rPr>
          <w:rFonts w:ascii="Consolas" w:cs="Consolas" w:eastAsia="Consolas" w:hAnsi="Consolas"/>
          <w:sz w:val="19"/>
          <w:szCs w:val="19"/>
        </w:rPr>
        <w:t xml:space="preserve">latest</w:t>
      </w:r>
      <w: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600"/>
      </w:tblGrid>
      <w:tr>
        <w:trPr>
          <w:tblHeader/>
        </w:trPr>
        <w:tc>
          <w:tcPr>
            <w:tcW w:type="dxa" w:w="2700"/>
            <w:shd w:fill="DCE3EF" w:val="clear"/>
            <w:tcMar>
              <w:top w:type="dxa" w:w="60"/>
              <w:left w:type="dxa" w:w="100"/>
              <w:bottom w:type="dxa" w:w="60"/>
              <w:right w:type="dxa" w:w="100"/>
            </w:tcMar>
          </w:tcPr>
          <w:p>
            <w:pPr>
              <w:spacing w:after="0"/>
            </w:pPr>
            <w:r>
              <w:rPr>
                <w:b/>
                <w:bCs/>
              </w:rPr>
              <w:t xml:space="preserve">Library</w:t>
            </w:r>
          </w:p>
        </w:tc>
        <w:tc>
          <w:tcPr>
            <w:tcW w:type="dxa" w:w="1700"/>
            <w:shd w:fill="DCE3EF" w:val="clear"/>
            <w:tcMar>
              <w:top w:type="dxa" w:w="60"/>
              <w:left w:type="dxa" w:w="100"/>
              <w:bottom w:type="dxa" w:w="60"/>
              <w:right w:type="dxa" w:w="100"/>
            </w:tcMar>
          </w:tcPr>
          <w:p>
            <w:pPr>
              <w:spacing w:after="0"/>
            </w:pPr>
            <w:r>
              <w:rPr>
                <w:b/>
                <w:bCs/>
              </w:rPr>
              <w:t xml:space="preserve">Installed version</w:t>
            </w:r>
          </w:p>
        </w:tc>
        <w:tc>
          <w:tcPr>
            <w:tcW w:type="dxa" w:w="4600"/>
            <w:shd w:fill="DCE3EF" w:val="clear"/>
            <w:tcMar>
              <w:top w:type="dxa" w:w="60"/>
              <w:left w:type="dxa" w:w="100"/>
              <w:bottom w:type="dxa" w:w="60"/>
              <w:right w:type="dxa" w:w="100"/>
            </w:tcMar>
          </w:tcPr>
          <w:p>
            <w:pPr>
              <w:spacing w:after="0"/>
            </w:pPr>
            <w:r>
              <w:rPr>
                <w:b/>
                <w:bCs/>
              </w:rPr>
              <w:t xml:space="preserve">Purpose</w:t>
            </w:r>
          </w:p>
        </w:tc>
      </w:tr>
      <w:tr>
        <w:tc>
          <w:tcPr>
            <w:tcW w:type="dxa" w:w="2700"/>
            <w:tcMar>
              <w:top w:type="dxa" w:w="60"/>
              <w:left w:type="dxa" w:w="100"/>
              <w:bottom w:type="dxa" w:w="60"/>
              <w:right w:type="dxa" w:w="100"/>
            </w:tcMar>
          </w:tcPr>
          <w:p>
            <w:pPr>
              <w:spacing w:after="0"/>
            </w:pPr>
            <w:r>
              <w:t xml:space="preserve">react / react-dom</w:t>
            </w:r>
          </w:p>
        </w:tc>
        <w:tc>
          <w:tcPr>
            <w:tcW w:type="dxa" w:w="1700"/>
            <w:tcMar>
              <w:top w:type="dxa" w:w="60"/>
              <w:left w:type="dxa" w:w="100"/>
              <w:bottom w:type="dxa" w:w="60"/>
              <w:right w:type="dxa" w:w="100"/>
            </w:tcMar>
          </w:tcPr>
          <w:p>
            <w:pPr>
              <w:spacing w:after="0"/>
            </w:pPr>
            <w:r>
              <w:t xml:space="preserve">19.2.7</w:t>
            </w:r>
          </w:p>
        </w:tc>
        <w:tc>
          <w:tcPr>
            <w:tcW w:type="dxa" w:w="4600"/>
            <w:tcMar>
              <w:top w:type="dxa" w:w="60"/>
              <w:left w:type="dxa" w:w="100"/>
              <w:bottom w:type="dxa" w:w="60"/>
              <w:right w:type="dxa" w:w="100"/>
            </w:tcMar>
          </w:tcPr>
          <w:p>
            <w:pPr>
              <w:spacing w:after="0"/>
            </w:pPr>
            <w:r>
              <w:t xml:space="preserve">UI library and DOM renderer</w:t>
            </w:r>
          </w:p>
        </w:tc>
      </w:tr>
      <w:tr>
        <w:tc>
          <w:tcPr>
            <w:tcW w:type="dxa" w:w="2700"/>
            <w:tcMar>
              <w:top w:type="dxa" w:w="60"/>
              <w:left w:type="dxa" w:w="100"/>
              <w:bottom w:type="dxa" w:w="60"/>
              <w:right w:type="dxa" w:w="100"/>
            </w:tcMar>
          </w:tcPr>
          <w:p>
            <w:pPr>
              <w:spacing w:after="0"/>
            </w:pPr>
            <w:r>
              <w:t xml:space="preserve">vite</w:t>
            </w:r>
          </w:p>
        </w:tc>
        <w:tc>
          <w:tcPr>
            <w:tcW w:type="dxa" w:w="1700"/>
            <w:tcMar>
              <w:top w:type="dxa" w:w="60"/>
              <w:left w:type="dxa" w:w="100"/>
              <w:bottom w:type="dxa" w:w="60"/>
              <w:right w:type="dxa" w:w="100"/>
            </w:tcMar>
          </w:tcPr>
          <w:p>
            <w:pPr>
              <w:spacing w:after="0"/>
            </w:pPr>
            <w:r>
              <w:t xml:space="preserve">8.0.16</w:t>
            </w:r>
          </w:p>
        </w:tc>
        <w:tc>
          <w:tcPr>
            <w:tcW w:type="dxa" w:w="4600"/>
            <w:tcMar>
              <w:top w:type="dxa" w:w="60"/>
              <w:left w:type="dxa" w:w="100"/>
              <w:bottom w:type="dxa" w:w="60"/>
              <w:right w:type="dxa" w:w="100"/>
            </w:tcMar>
          </w:tcPr>
          <w:p>
            <w:pPr>
              <w:spacing w:after="0"/>
            </w:pPr>
            <w:r>
              <w:t xml:space="preserve">dev server / build tool</w:t>
            </w:r>
          </w:p>
        </w:tc>
      </w:tr>
      <w:tr>
        <w:tc>
          <w:tcPr>
            <w:tcW w:type="dxa" w:w="2700"/>
            <w:tcMar>
              <w:top w:type="dxa" w:w="60"/>
              <w:left w:type="dxa" w:w="100"/>
              <w:bottom w:type="dxa" w:w="60"/>
              <w:right w:type="dxa" w:w="100"/>
            </w:tcMar>
          </w:tcPr>
          <w:p>
            <w:pPr>
              <w:spacing w:after="0"/>
            </w:pPr>
            <w:r>
              <w:t xml:space="preserve">@vitejs/plugin-react</w:t>
            </w:r>
          </w:p>
        </w:tc>
        <w:tc>
          <w:tcPr>
            <w:tcW w:type="dxa" w:w="1700"/>
            <w:tcMar>
              <w:top w:type="dxa" w:w="60"/>
              <w:left w:type="dxa" w:w="100"/>
              <w:bottom w:type="dxa" w:w="60"/>
              <w:right w:type="dxa" w:w="100"/>
            </w:tcMar>
          </w:tcPr>
          <w:p>
            <w:pPr>
              <w:spacing w:after="0"/>
            </w:pPr>
            <w:r>
              <w:t xml:space="preserve">6.0.2</w:t>
            </w:r>
          </w:p>
        </w:tc>
        <w:tc>
          <w:tcPr>
            <w:tcW w:type="dxa" w:w="4600"/>
            <w:tcMar>
              <w:top w:type="dxa" w:w="60"/>
              <w:left w:type="dxa" w:w="100"/>
              <w:bottom w:type="dxa" w:w="60"/>
              <w:right w:type="dxa" w:w="100"/>
            </w:tcMar>
          </w:tcPr>
          <w:p>
            <w:pPr>
              <w:spacing w:after="0"/>
            </w:pPr>
            <w:r>
              <w:t xml:space="preserve">React plugin for Vite</w:t>
            </w:r>
          </w:p>
        </w:tc>
      </w:tr>
      <w:tr>
        <w:tc>
          <w:tcPr>
            <w:tcW w:type="dxa" w:w="2700"/>
            <w:tcMar>
              <w:top w:type="dxa" w:w="60"/>
              <w:left w:type="dxa" w:w="100"/>
              <w:bottom w:type="dxa" w:w="60"/>
              <w:right w:type="dxa" w:w="100"/>
            </w:tcMar>
          </w:tcPr>
          <w:p>
            <w:pPr>
              <w:spacing w:after="0"/>
            </w:pPr>
            <w:r>
              <w:t xml:space="preserve">lucide-react</w:t>
            </w:r>
          </w:p>
        </w:tc>
        <w:tc>
          <w:tcPr>
            <w:tcW w:type="dxa" w:w="1700"/>
            <w:tcMar>
              <w:top w:type="dxa" w:w="60"/>
              <w:left w:type="dxa" w:w="100"/>
              <w:bottom w:type="dxa" w:w="60"/>
              <w:right w:type="dxa" w:w="100"/>
            </w:tcMar>
          </w:tcPr>
          <w:p>
            <w:pPr>
              <w:spacing w:after="0"/>
            </w:pPr>
            <w:r>
              <w:t xml:space="preserve">1.17.0</w:t>
            </w:r>
          </w:p>
        </w:tc>
        <w:tc>
          <w:tcPr>
            <w:tcW w:type="dxa" w:w="4600"/>
            <w:tcMar>
              <w:top w:type="dxa" w:w="60"/>
              <w:left w:type="dxa" w:w="100"/>
              <w:bottom w:type="dxa" w:w="60"/>
              <w:right w:type="dxa" w:w="100"/>
            </w:tcMar>
          </w:tcPr>
          <w:p>
            <w:pPr>
              <w:spacing w:after="0"/>
            </w:pPr>
            <w:r>
              <w:t xml:space="preserve">icon set</w:t>
            </w:r>
          </w:p>
        </w:tc>
      </w:tr>
    </w:tbl>
    <w:p>
      <w:pPr>
        <w:pStyle w:val="Heading1"/>
        <w:spacing w:after="160" w:before="360"/>
      </w:pPr>
      <w:r>
        <w:t xml:space="preserve">3. Installation and User Guide</w:t>
      </w:r>
    </w:p>
    <w:p>
      <w:pPr>
        <w:spacing w:after="120"/>
      </w:pPr>
      <w:r>
        <w:t xml:space="preserve">The system runs in three modes, lightest to fullest: </w:t>
      </w:r>
      <w:r>
        <w:rPr>
          <w:b/>
          <w:bCs/>
        </w:rPr>
        <w:t xml:space="preserve">CLI</w:t>
      </w:r>
      <w:r>
        <w:t xml:space="preserve"> (pipeline on one restaurant, no web server), </w:t>
      </w:r>
      <w:r>
        <w:rPr>
          <w:b/>
          <w:bCs/>
        </w:rPr>
        <w:t xml:space="preserve">local web app</w:t>
      </w:r>
      <w:r>
        <w:t xml:space="preserve"> (FastAPI + React on one machine), and </w:t>
      </w:r>
      <w:r>
        <w:rPr>
          <w:b/>
          <w:bCs/>
        </w:rPr>
        <w:t xml:space="preserve">hosted server</w:t>
      </w:r>
      <w:r>
        <w:t xml:space="preserve"> (one public URL). This section condenses </w:t>
      </w:r>
      <w:r>
        <w:rPr>
          <w:rFonts w:ascii="Consolas" w:cs="Consolas" w:eastAsia="Consolas" w:hAnsi="Consolas"/>
          <w:sz w:val="19"/>
          <w:szCs w:val="19"/>
        </w:rPr>
        <w:t xml:space="preserve">RUNNING.md</w:t>
      </w:r>
      <w:r>
        <w:t xml:space="preserve">; the same commands work on Windows, macOS, and Linux.</w:t>
      </w:r>
    </w:p>
    <w:p>
      <w:pPr>
        <w:pStyle w:val="Heading2"/>
        <w:spacing w:after="120" w:before="240"/>
      </w:pPr>
      <w:r>
        <w:t xml:space="preserve">3.1 Prerequisites</w:t>
      </w:r>
    </w:p>
    <w:p>
      <w:pPr>
        <w:pStyle w:val="ListParagraph"/>
        <w:numPr>
          <w:ilvl w:val="0"/>
          <w:numId w:val="2"/>
        </w:numPr>
        <w:spacing w:after="80"/>
      </w:pPr>
      <w:r>
        <w:t xml:space="preserve">Python 3.10+ (the codebase is verified on 3.10–3.13).</w:t>
      </w:r>
    </w:p>
    <w:p>
      <w:pPr>
        <w:pStyle w:val="ListParagraph"/>
        <w:numPr>
          <w:ilvl w:val="0"/>
          <w:numId w:val="2"/>
        </w:numPr>
        <w:spacing w:after="80"/>
      </w:pPr>
      <w:r>
        <w:t xml:space="preserve">Node.js 18+ and npm.</w:t>
      </w:r>
    </w:p>
    <w:p>
      <w:pPr>
        <w:pStyle w:val="ListParagraph"/>
        <w:numPr>
          <w:ilvl w:val="0"/>
          <w:numId w:val="2"/>
        </w:numPr>
        <w:spacing w:after="80"/>
      </w:pPr>
      <w:r>
        <w:t xml:space="preserve">An LLM provider: a Google AI Studio (Gemini) API key for the cloud profile, or Ollama with a pulled model (</w:t>
      </w:r>
      <w:r>
        <w:rPr>
          <w:rFonts w:ascii="Consolas" w:cs="Consolas" w:eastAsia="Consolas" w:hAnsi="Consolas"/>
          <w:sz w:val="19"/>
          <w:szCs w:val="19"/>
        </w:rPr>
        <w:t xml:space="preserve">ollama pull llama3.1</w:t>
      </w:r>
      <w:r>
        <w:t xml:space="preserve">) for the local profile — no API key needed locally.</w:t>
      </w:r>
    </w:p>
    <w:p>
      <w:pPr>
        <w:pStyle w:val="ListParagraph"/>
        <w:numPr>
          <w:ilvl w:val="0"/>
          <w:numId w:val="2"/>
        </w:numPr>
        <w:spacing w:after="80"/>
      </w:pPr>
      <w:r>
        <w:t xml:space="preserve">The Yelp Open Dataset JSON files placed in </w:t>
      </w:r>
      <w:r>
        <w:rPr>
          <w:rFonts w:ascii="Consolas" w:cs="Consolas" w:eastAsia="Consolas" w:hAnsi="Consolas"/>
          <w:sz w:val="19"/>
          <w:szCs w:val="19"/>
        </w:rPr>
        <w:t xml:space="preserve">backend/data/raw/</w:t>
      </w:r>
      <w:r>
        <w:t xml:space="preserve"> (git-ignored, not shipped): </w:t>
      </w:r>
      <w:r>
        <w:rPr>
          <w:rFonts w:ascii="Consolas" w:cs="Consolas" w:eastAsia="Consolas" w:hAnsi="Consolas"/>
          <w:sz w:val="19"/>
          <w:szCs w:val="19"/>
        </w:rPr>
        <w:t xml:space="preserve">yelp_academic_dataset_business.json</w:t>
      </w:r>
      <w:r>
        <w:t xml:space="preserve"> and </w:t>
      </w:r>
      <w:r>
        <w:rPr>
          <w:rFonts w:ascii="Consolas" w:cs="Consolas" w:eastAsia="Consolas" w:hAnsi="Consolas"/>
          <w:sz w:val="19"/>
          <w:szCs w:val="19"/>
        </w:rPr>
        <w:t xml:space="preserve">yelp_academic_dataset_review.json</w:t>
      </w:r>
      <w:r>
        <w:t xml:space="preserve">. The offline tests and the evaluation fixture run without them.</w:t>
      </w:r>
    </w:p>
    <w:p>
      <w:pPr>
        <w:pStyle w:val="Heading2"/>
        <w:spacing w:after="120" w:before="240"/>
      </w:pPr>
      <w:r>
        <w:t xml:space="preserve">3.2 Backend Setup</w:t>
      </w:r>
    </w:p>
    <w:p>
      <w:pPr>
        <w:shd w:fill="F3F4F6" w:val="clear"/>
        <w:spacing w:after="0"/>
        <w:ind w:left="200"/>
      </w:pPr>
      <w:r>
        <w:rPr>
          <w:rFonts w:ascii="Consolas" w:cs="Consolas" w:eastAsia="Consolas" w:hAnsi="Consolas"/>
          <w:sz w:val="18"/>
          <w:szCs w:val="18"/>
        </w:rPr>
        <w:t xml:space="preserve">cd backend</w:t>
      </w:r>
    </w:p>
    <w:p>
      <w:pPr>
        <w:shd w:fill="F3F4F6" w:val="clear"/>
        <w:spacing w:after="0"/>
        <w:ind w:left="200"/>
      </w:pPr>
      <w:r>
        <w:rPr>
          <w:rFonts w:ascii="Consolas" w:cs="Consolas" w:eastAsia="Consolas" w:hAnsi="Consolas"/>
          <w:sz w:val="18"/>
          <w:szCs w:val="18"/>
        </w:rPr>
        <w:t xml:space="preserve">python -m venv venv &amp;&amp; venv\Scripts\activate   # or a conda env</w:t>
      </w:r>
    </w:p>
    <w:p>
      <w:pPr>
        <w:shd w:fill="F3F4F6" w:val="clear"/>
        <w:spacing w:after="0"/>
        <w:ind w:left="200"/>
      </w:pPr>
      <w:r>
        <w:rPr>
          <w:rFonts w:ascii="Consolas" w:cs="Consolas" w:eastAsia="Consolas" w:hAnsi="Consolas"/>
          <w:sz w:val="18"/>
          <w:szCs w:val="18"/>
        </w:rPr>
        <w:t xml:space="preserve">pip install -r requirements.txt</w:t>
      </w:r>
    </w:p>
    <w:p>
      <w:pPr>
        <w:shd w:fill="F3F4F6" w:val="clear"/>
        <w:spacing w:after="140"/>
        <w:ind w:left="200"/>
      </w:pPr>
      <w:r>
        <w:rPr>
          <w:rFonts w:ascii="Consolas" w:cs="Consolas" w:eastAsia="Consolas" w:hAnsi="Consolas"/>
          <w:sz w:val="18"/>
          <w:szCs w:val="18"/>
        </w:rPr>
        <w:t xml:space="preserve">copy .env.example .env    # cloud profile: then set OPENAI_API_KEY=&lt;Gemini key&gt;</w:t>
      </w:r>
    </w:p>
    <w:p>
      <w:pPr>
        <w:spacing w:after="120"/>
      </w:pPr>
      <w:r>
        <w:t xml:space="preserve">Configuration is entirely environment-driven: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2300"/>
        <w:gridCol w:w="3400"/>
      </w:tblGrid>
      <w:tr>
        <w:trPr>
          <w:tblHeader/>
        </w:trPr>
        <w:tc>
          <w:tcPr>
            <w:tcW w:type="dxa" w:w="3300"/>
            <w:shd w:fill="DCE3EF" w:val="clear"/>
            <w:tcMar>
              <w:top w:type="dxa" w:w="60"/>
              <w:left w:type="dxa" w:w="100"/>
              <w:bottom w:type="dxa" w:w="60"/>
              <w:right w:type="dxa" w:w="100"/>
            </w:tcMar>
          </w:tcPr>
          <w:p>
            <w:pPr>
              <w:spacing w:after="0"/>
            </w:pPr>
            <w:r>
              <w:rPr>
                <w:b/>
                <w:bCs/>
              </w:rPr>
              <w:t xml:space="preserve">Variable</w:t>
            </w:r>
          </w:p>
        </w:tc>
        <w:tc>
          <w:tcPr>
            <w:tcW w:type="dxa" w:w="2300"/>
            <w:shd w:fill="DCE3EF" w:val="clear"/>
            <w:tcMar>
              <w:top w:type="dxa" w:w="60"/>
              <w:left w:type="dxa" w:w="100"/>
              <w:bottom w:type="dxa" w:w="60"/>
              <w:right w:type="dxa" w:w="100"/>
            </w:tcMar>
          </w:tcPr>
          <w:p>
            <w:pPr>
              <w:spacing w:after="0"/>
            </w:pPr>
            <w:r>
              <w:rPr>
                <w:b/>
                <w:bCs/>
              </w:rPr>
              <w:t xml:space="preserve">Default</w:t>
            </w:r>
          </w:p>
        </w:tc>
        <w:tc>
          <w:tcPr>
            <w:tcW w:type="dxa" w:w="3400"/>
            <w:shd w:fill="DCE3EF" w:val="clear"/>
            <w:tcMar>
              <w:top w:type="dxa" w:w="60"/>
              <w:left w:type="dxa" w:w="100"/>
              <w:bottom w:type="dxa" w:w="60"/>
              <w:right w:type="dxa" w:w="100"/>
            </w:tcMar>
          </w:tcPr>
          <w:p>
            <w:pPr>
              <w:spacing w:after="0"/>
            </w:pPr>
            <w:r>
              <w:rPr>
                <w:b/>
                <w:bCs/>
              </w:rPr>
              <w:t xml:space="preserve">Purpose</w:t>
            </w:r>
          </w:p>
        </w:tc>
      </w:tr>
      <w:tr>
        <w:tc>
          <w:tcPr>
            <w:tcW w:type="dxa" w:w="3300"/>
            <w:tcMar>
              <w:top w:type="dxa" w:w="60"/>
              <w:left w:type="dxa" w:w="100"/>
              <w:bottom w:type="dxa" w:w="60"/>
              <w:right w:type="dxa" w:w="100"/>
            </w:tcMar>
          </w:tcPr>
          <w:p>
            <w:pPr>
              <w:spacing w:after="0"/>
            </w:pPr>
            <w:r>
              <w:rPr>
                <w:rFonts w:ascii="Consolas" w:cs="Consolas" w:eastAsia="Consolas" w:hAnsi="Consolas"/>
                <w:sz w:val="19"/>
                <w:szCs w:val="19"/>
              </w:rPr>
              <w:t xml:space="preserve">OPENAI_BASE_URL</w:t>
            </w:r>
            <w:r>
              <w:t xml:space="preserve"> / </w:t>
            </w:r>
            <w:r>
              <w:rPr>
                <w:rFonts w:ascii="Consolas" w:cs="Consolas" w:eastAsia="Consolas" w:hAnsi="Consolas"/>
                <w:sz w:val="19"/>
                <w:szCs w:val="19"/>
              </w:rPr>
              <w:t xml:space="preserve">OPENAI_API_KEY</w:t>
            </w:r>
          </w:p>
        </w:tc>
        <w:tc>
          <w:tcPr>
            <w:tcW w:type="dxa" w:w="2300"/>
            <w:tcMar>
              <w:top w:type="dxa" w:w="60"/>
              <w:left w:type="dxa" w:w="100"/>
              <w:bottom w:type="dxa" w:w="60"/>
              <w:right w:type="dxa" w:w="100"/>
            </w:tcMar>
          </w:tcPr>
          <w:p>
            <w:pPr>
              <w:spacing w:after="0"/>
            </w:pPr>
            <w:r>
              <w:t xml:space="preserve">Gemini compat endpoint / —</w:t>
            </w:r>
          </w:p>
        </w:tc>
        <w:tc>
          <w:tcPr>
            <w:tcW w:type="dxa" w:w="3400"/>
            <w:tcMar>
              <w:top w:type="dxa" w:w="60"/>
              <w:left w:type="dxa" w:w="100"/>
              <w:bottom w:type="dxa" w:w="60"/>
              <w:right w:type="dxa" w:w="100"/>
            </w:tcMar>
          </w:tcPr>
          <w:p>
            <w:pPr>
              <w:spacing w:after="0"/>
            </w:pPr>
            <w:r>
              <w:t xml:space="preserve">provider endpoint and credential (Section 2.5)</w:t>
            </w:r>
          </w:p>
        </w:tc>
      </w:tr>
      <w:tr>
        <w:tc>
          <w:tcPr>
            <w:tcW w:type="dxa" w:w="3300"/>
            <w:tcMar>
              <w:top w:type="dxa" w:w="60"/>
              <w:left w:type="dxa" w:w="100"/>
              <w:bottom w:type="dxa" w:w="60"/>
              <w:right w:type="dxa" w:w="100"/>
            </w:tcMar>
          </w:tcPr>
          <w:p>
            <w:pPr>
              <w:spacing w:after="0"/>
            </w:pPr>
            <w:r>
              <w:rPr>
                <w:rFonts w:ascii="Consolas" w:cs="Consolas" w:eastAsia="Consolas" w:hAnsi="Consolas"/>
                <w:sz w:val="19"/>
                <w:szCs w:val="19"/>
              </w:rPr>
              <w:t xml:space="preserve">OPENAI_MODEL</w:t>
            </w:r>
            <w:r>
              <w:t xml:space="preserve"> / </w:t>
            </w:r>
            <w:r>
              <w:rPr>
                <w:rFonts w:ascii="Consolas" w:cs="Consolas" w:eastAsia="Consolas" w:hAnsi="Consolas"/>
                <w:sz w:val="19"/>
                <w:szCs w:val="19"/>
              </w:rPr>
              <w:t xml:space="preserve">OPENAI_FALLBACK_MODEL</w:t>
            </w:r>
          </w:p>
        </w:tc>
        <w:tc>
          <w:tcPr>
            <w:tcW w:type="dxa" w:w="2300"/>
            <w:tcMar>
              <w:top w:type="dxa" w:w="60"/>
              <w:left w:type="dxa" w:w="100"/>
              <w:bottom w:type="dxa" w:w="60"/>
              <w:right w:type="dxa" w:w="100"/>
            </w:tcMar>
          </w:tcPr>
          <w:p>
            <w:pPr>
              <w:spacing w:after="0"/>
            </w:pPr>
            <w:r>
              <w:t xml:space="preserve">gemini-2.5-flash / gemini-3.5-flash</w:t>
            </w:r>
          </w:p>
        </w:tc>
        <w:tc>
          <w:tcPr>
            <w:tcW w:type="dxa" w:w="3400"/>
            <w:tcMar>
              <w:top w:type="dxa" w:w="60"/>
              <w:left w:type="dxa" w:w="100"/>
              <w:bottom w:type="dxa" w:w="60"/>
              <w:right w:type="dxa" w:w="100"/>
            </w:tcMar>
          </w:tcPr>
          <w:p>
            <w:pPr>
              <w:spacing w:after="0"/>
            </w:pPr>
            <w:r>
              <w:t xml:space="preserve">primary and fallback models</w:t>
            </w:r>
          </w:p>
        </w:tc>
      </w:tr>
      <w:tr>
        <w:tc>
          <w:tcPr>
            <w:tcW w:type="dxa" w:w="3300"/>
            <w:tcMar>
              <w:top w:type="dxa" w:w="60"/>
              <w:left w:type="dxa" w:w="100"/>
              <w:bottom w:type="dxa" w:w="60"/>
              <w:right w:type="dxa" w:w="100"/>
            </w:tcMar>
          </w:tcPr>
          <w:p>
            <w:pPr>
              <w:spacing w:after="0"/>
            </w:pPr>
            <w:r>
              <w:rPr>
                <w:rFonts w:ascii="Consolas" w:cs="Consolas" w:eastAsia="Consolas" w:hAnsi="Consolas"/>
                <w:sz w:val="19"/>
                <w:szCs w:val="19"/>
              </w:rPr>
              <w:t xml:space="preserve">MAX_REVIEW_SAMPLE</w:t>
            </w:r>
          </w:p>
        </w:tc>
        <w:tc>
          <w:tcPr>
            <w:tcW w:type="dxa" w:w="2300"/>
            <w:tcMar>
              <w:top w:type="dxa" w:w="60"/>
              <w:left w:type="dxa" w:w="100"/>
              <w:bottom w:type="dxa" w:w="60"/>
              <w:right w:type="dxa" w:w="100"/>
            </w:tcMar>
          </w:tcPr>
          <w:p>
            <w:pPr>
              <w:spacing w:after="0"/>
            </w:pPr>
            <w:r>
              <w:t xml:space="preserve">100</w:t>
            </w:r>
          </w:p>
        </w:tc>
        <w:tc>
          <w:tcPr>
            <w:tcW w:type="dxa" w:w="3400"/>
            <w:tcMar>
              <w:top w:type="dxa" w:w="60"/>
              <w:left w:type="dxa" w:w="100"/>
              <w:bottom w:type="dxa" w:w="60"/>
              <w:right w:type="dxa" w:w="100"/>
            </w:tcMar>
          </w:tcPr>
          <w:p>
            <w:pPr>
              <w:spacing w:after="0"/>
            </w:pPr>
            <w:r>
              <w:t xml:space="preserve">review cap per restaurant, validated 1–100</w:t>
            </w:r>
          </w:p>
        </w:tc>
      </w:tr>
      <w:tr>
        <w:tc>
          <w:tcPr>
            <w:tcW w:type="dxa" w:w="3300"/>
            <w:tcMar>
              <w:top w:type="dxa" w:w="60"/>
              <w:left w:type="dxa" w:w="100"/>
              <w:bottom w:type="dxa" w:w="60"/>
              <w:right w:type="dxa" w:w="100"/>
            </w:tcMar>
          </w:tcPr>
          <w:p>
            <w:pPr>
              <w:spacing w:after="0"/>
            </w:pPr>
            <w:r>
              <w:rPr>
                <w:rFonts w:ascii="Consolas" w:cs="Consolas" w:eastAsia="Consolas" w:hAnsi="Consolas"/>
                <w:sz w:val="19"/>
                <w:szCs w:val="19"/>
              </w:rPr>
              <w:t xml:space="preserve">RANDOM_SEED</w:t>
            </w:r>
          </w:p>
        </w:tc>
        <w:tc>
          <w:tcPr>
            <w:tcW w:type="dxa" w:w="2300"/>
            <w:tcMar>
              <w:top w:type="dxa" w:w="60"/>
              <w:left w:type="dxa" w:w="100"/>
              <w:bottom w:type="dxa" w:w="60"/>
              <w:right w:type="dxa" w:w="100"/>
            </w:tcMar>
          </w:tcPr>
          <w:p>
            <w:pPr>
              <w:spacing w:after="0"/>
            </w:pPr>
            <w:r>
              <w:t xml:space="preserve">42</w:t>
            </w:r>
          </w:p>
        </w:tc>
        <w:tc>
          <w:tcPr>
            <w:tcW w:type="dxa" w:w="3400"/>
            <w:tcMar>
              <w:top w:type="dxa" w:w="60"/>
              <w:left w:type="dxa" w:w="100"/>
              <w:bottom w:type="dxa" w:w="60"/>
              <w:right w:type="dxa" w:w="100"/>
            </w:tcMar>
          </w:tcPr>
          <w:p>
            <w:pPr>
              <w:spacing w:after="0"/>
            </w:pPr>
            <w:r>
              <w:t xml:space="preserve">reproducible review sampling</w:t>
            </w:r>
          </w:p>
        </w:tc>
      </w:tr>
      <w:tr>
        <w:tc>
          <w:tcPr>
            <w:tcW w:type="dxa" w:w="3300"/>
            <w:tcMar>
              <w:top w:type="dxa" w:w="60"/>
              <w:left w:type="dxa" w:w="100"/>
              <w:bottom w:type="dxa" w:w="60"/>
              <w:right w:type="dxa" w:w="100"/>
            </w:tcMar>
          </w:tcPr>
          <w:p>
            <w:pPr>
              <w:spacing w:after="0"/>
            </w:pPr>
            <w:r>
              <w:rPr>
                <w:rFonts w:ascii="Consolas" w:cs="Consolas" w:eastAsia="Consolas" w:hAnsi="Consolas"/>
                <w:sz w:val="19"/>
                <w:szCs w:val="19"/>
              </w:rPr>
              <w:t xml:space="preserve">ANALYSIS_BATCH_SIZE</w:t>
            </w:r>
          </w:p>
        </w:tc>
        <w:tc>
          <w:tcPr>
            <w:tcW w:type="dxa" w:w="2300"/>
            <w:tcMar>
              <w:top w:type="dxa" w:w="60"/>
              <w:left w:type="dxa" w:w="100"/>
              <w:bottom w:type="dxa" w:w="60"/>
              <w:right w:type="dxa" w:w="100"/>
            </w:tcMar>
          </w:tcPr>
          <w:p>
            <w:pPr>
              <w:spacing w:after="0"/>
            </w:pPr>
            <w:r>
              <w:t xml:space="preserve">10</w:t>
            </w:r>
          </w:p>
        </w:tc>
        <w:tc>
          <w:tcPr>
            <w:tcW w:type="dxa" w:w="3400"/>
            <w:tcMar>
              <w:top w:type="dxa" w:w="60"/>
              <w:left w:type="dxa" w:w="100"/>
              <w:bottom w:type="dxa" w:w="60"/>
              <w:right w:type="dxa" w:w="100"/>
            </w:tcMar>
          </w:tcPr>
          <w:p>
            <w:pPr>
              <w:spacing w:after="0"/>
            </w:pPr>
            <w:r>
              <w:t xml:space="preserve">reviews per Analysis Agent LLM call</w:t>
            </w:r>
          </w:p>
        </w:tc>
      </w:tr>
      <w:tr>
        <w:tc>
          <w:tcPr>
            <w:tcW w:type="dxa" w:w="3300"/>
            <w:tcMar>
              <w:top w:type="dxa" w:w="60"/>
              <w:left w:type="dxa" w:w="100"/>
              <w:bottom w:type="dxa" w:w="60"/>
              <w:right w:type="dxa" w:w="100"/>
            </w:tcMar>
          </w:tcPr>
          <w:p>
            <w:pPr>
              <w:spacing w:after="0"/>
            </w:pPr>
            <w:r>
              <w:rPr>
                <w:rFonts w:ascii="Consolas" w:cs="Consolas" w:eastAsia="Consolas" w:hAnsi="Consolas"/>
                <w:sz w:val="19"/>
                <w:szCs w:val="19"/>
              </w:rPr>
              <w:t xml:space="preserve">YELP_BUSINESS_PATH</w:t>
            </w:r>
            <w:r>
              <w:t xml:space="preserve"> / </w:t>
            </w:r>
            <w:r>
              <w:rPr>
                <w:rFonts w:ascii="Consolas" w:cs="Consolas" w:eastAsia="Consolas" w:hAnsi="Consolas"/>
                <w:sz w:val="19"/>
                <w:szCs w:val="19"/>
              </w:rPr>
              <w:t xml:space="preserve">YELP_REVIEW_PATH</w:t>
            </w:r>
            <w:r>
              <w:t xml:space="preserve"> / </w:t>
            </w:r>
            <w:r>
              <w:rPr>
                <w:rFonts w:ascii="Consolas" w:cs="Consolas" w:eastAsia="Consolas" w:hAnsi="Consolas"/>
                <w:sz w:val="19"/>
                <w:szCs w:val="19"/>
              </w:rPr>
              <w:t xml:space="preserve">YELP_DB_PATH</w:t>
            </w:r>
          </w:p>
        </w:tc>
        <w:tc>
          <w:tcPr>
            <w:tcW w:type="dxa" w:w="2300"/>
            <w:tcMar>
              <w:top w:type="dxa" w:w="60"/>
              <w:left w:type="dxa" w:w="100"/>
              <w:bottom w:type="dxa" w:w="60"/>
              <w:right w:type="dxa" w:w="100"/>
            </w:tcMar>
          </w:tcPr>
          <w:p>
            <w:pPr>
              <w:spacing w:after="0"/>
            </w:pPr>
            <w:r>
              <w:t xml:space="preserve">repo-relative defaults</w:t>
            </w:r>
          </w:p>
        </w:tc>
        <w:tc>
          <w:tcPr>
            <w:tcW w:type="dxa" w:w="3400"/>
            <w:tcMar>
              <w:top w:type="dxa" w:w="60"/>
              <w:left w:type="dxa" w:w="100"/>
              <w:bottom w:type="dxa" w:w="60"/>
              <w:right w:type="dxa" w:w="100"/>
            </w:tcMar>
          </w:tcPr>
          <w:p>
            <w:pPr>
              <w:spacing w:after="0"/>
            </w:pPr>
            <w:r>
              <w:t xml:space="preserve">dataset and index locations</w:t>
            </w:r>
          </w:p>
        </w:tc>
      </w:tr>
    </w:tbl>
    <w:p>
      <w:pPr>
        <w:spacing w:after="120"/>
      </w:pPr>
    </w:p>
    <w:p>
      <w:pPr>
        <w:pStyle w:val="Heading2"/>
        <w:spacing w:after="120" w:before="240"/>
      </w:pPr>
      <w:r>
        <w:t xml:space="preserve">3.3 Frontend Setup</w:t>
      </w:r>
    </w:p>
    <w:p>
      <w:pPr>
        <w:shd w:fill="F3F4F6" w:val="clear"/>
        <w:spacing w:after="0"/>
        <w:ind w:left="200"/>
      </w:pPr>
      <w:r>
        <w:rPr>
          <w:rFonts w:ascii="Consolas" w:cs="Consolas" w:eastAsia="Consolas" w:hAnsi="Consolas"/>
          <w:sz w:val="18"/>
          <w:szCs w:val="18"/>
        </w:rPr>
        <w:t xml:space="preserve">cd frontend</w:t>
      </w:r>
    </w:p>
    <w:p>
      <w:pPr>
        <w:shd w:fill="F3F4F6" w:val="clear"/>
        <w:spacing w:after="0"/>
        <w:ind w:left="200"/>
      </w:pPr>
      <w:r>
        <w:rPr>
          <w:rFonts w:ascii="Consolas" w:cs="Consolas" w:eastAsia="Consolas" w:hAnsi="Consolas"/>
          <w:sz w:val="18"/>
          <w:szCs w:val="18"/>
        </w:rPr>
        <w:t xml:space="preserve">npm install</w:t>
      </w:r>
    </w:p>
    <w:p>
      <w:pPr>
        <w:shd w:fill="F3F4F6" w:val="clear"/>
        <w:spacing w:after="140"/>
        <w:ind w:left="200"/>
      </w:pPr>
      <w:r>
        <w:rPr>
          <w:rFonts w:ascii="Consolas" w:cs="Consolas" w:eastAsia="Consolas" w:hAnsi="Consolas"/>
          <w:sz w:val="18"/>
          <w:szCs w:val="18"/>
        </w:rPr>
        <w:t xml:space="preserve">npm run dev    # Vite dev server on http://localhost:5173</w:t>
      </w:r>
    </w:p>
    <w:p>
      <w:pPr>
        <w:spacing w:after="120"/>
      </w:pPr>
      <w:r>
        <w:t xml:space="preserve">The frontend calls the backend at </w:t>
      </w:r>
      <w:r>
        <w:rPr>
          <w:rFonts w:ascii="Consolas" w:cs="Consolas" w:eastAsia="Consolas" w:hAnsi="Consolas"/>
          <w:sz w:val="19"/>
          <w:szCs w:val="19"/>
        </w:rPr>
        <w:t xml:space="preserve">http://localhost:8000</w:t>
      </w:r>
      <w:r>
        <w:t xml:space="preserve"> by default; set </w:t>
      </w:r>
      <w:r>
        <w:rPr>
          <w:rFonts w:ascii="Consolas" w:cs="Consolas" w:eastAsia="Consolas" w:hAnsi="Consolas"/>
          <w:sz w:val="19"/>
          <w:szCs w:val="19"/>
        </w:rPr>
        <w:t xml:space="preserve">VITE_API_BASE_URL</w:t>
      </w:r>
      <w:r>
        <w:t xml:space="preserve"> only if the backend lives elsewhere. </w:t>
      </w:r>
      <w:r>
        <w:rPr>
          <w:rFonts w:ascii="Consolas" w:cs="Consolas" w:eastAsia="Consolas" w:hAnsi="Consolas"/>
          <w:sz w:val="19"/>
          <w:szCs w:val="19"/>
        </w:rPr>
        <w:t xml:space="preserve">npm run build</w:t>
      </w:r>
      <w:r>
        <w:t xml:space="preserve"> produces the production bundle.</w:t>
      </w:r>
    </w:p>
    <w:p>
      <w:pPr>
        <w:pStyle w:val="Heading2"/>
        <w:spacing w:after="120" w:before="240"/>
      </w:pPr>
      <w:r>
        <w:t xml:space="preserve">3.4 Provider Configuration (Cloud vs Local)</w:t>
      </w:r>
    </w:p>
    <w:p>
      <w:pPr>
        <w:spacing w:after="120"/>
      </w:pPr>
      <w:r>
        <w:t xml:space="preserve">Use </w:t>
      </w:r>
      <w:r>
        <w:rPr>
          <w:rFonts w:ascii="Consolas" w:cs="Consolas" w:eastAsia="Consolas" w:hAnsi="Consolas"/>
          <w:sz w:val="19"/>
          <w:szCs w:val="19"/>
        </w:rPr>
        <w:t xml:space="preserve">.env.example</w:t>
      </w:r>
      <w:r>
        <w:t xml:space="preserve"> for cloud Gemini, or </w:t>
      </w:r>
      <w:r>
        <w:rPr>
          <w:rFonts w:ascii="Consolas" w:cs="Consolas" w:eastAsia="Consolas" w:hAnsi="Consolas"/>
          <w:sz w:val="19"/>
          <w:szCs w:val="19"/>
        </w:rPr>
        <w:t xml:space="preserve">.env.local.example</w:t>
      </w:r>
      <w:r>
        <w:t xml:space="preserve"> for local Ollama (</w:t>
      </w:r>
      <w:r>
        <w:rPr>
          <w:rFonts w:ascii="Consolas" w:cs="Consolas" w:eastAsia="Consolas" w:hAnsi="Consolas"/>
          <w:sz w:val="19"/>
          <w:szCs w:val="19"/>
        </w:rPr>
        <w:t xml:space="preserve">OPENAI_BASE_URL=http://localhost:11434/v1</w:t>
      </w:r>
      <w:r>
        <w:t xml:space="preserve">, </w:t>
      </w:r>
      <w:r>
        <w:rPr>
          <w:rFonts w:ascii="Consolas" w:cs="Consolas" w:eastAsia="Consolas" w:hAnsi="Consolas"/>
          <w:sz w:val="19"/>
          <w:szCs w:val="19"/>
        </w:rPr>
        <w:t xml:space="preserve">OPENAI_MODEL=llama3.1</w:t>
      </w:r>
      <w:r>
        <w:t xml:space="preserve">, placeholder key). Start </w:t>
      </w:r>
      <w:r>
        <w:rPr>
          <w:rFonts w:ascii="Consolas" w:cs="Consolas" w:eastAsia="Consolas" w:hAnsi="Consolas"/>
          <w:sz w:val="19"/>
          <w:szCs w:val="19"/>
        </w:rPr>
        <w:t xml:space="preserve">ollama serve</w:t>
      </w:r>
      <w:r>
        <w:t xml:space="preserve"> with the model pulled before running the local profile, and keep </w:t>
      </w:r>
      <w:r>
        <w:rPr>
          <w:rFonts w:ascii="Consolas" w:cs="Consolas" w:eastAsia="Consolas" w:hAnsi="Consolas"/>
          <w:sz w:val="19"/>
          <w:szCs w:val="19"/>
        </w:rPr>
        <w:t xml:space="preserve">MAX_REVIEW_SAMPLE</w:t>
      </w:r>
      <w:r>
        <w:t xml:space="preserve"> modest (20–50) on CPU-only machines — a small local model is slow on the per-review analysis stage. Whichever profile runs, the dump's </w:t>
      </w:r>
      <w:r>
        <w:rPr>
          <w:rFonts w:ascii="Consolas" w:cs="Consolas" w:eastAsia="Consolas" w:hAnsi="Consolas"/>
          <w:sz w:val="19"/>
          <w:szCs w:val="19"/>
        </w:rPr>
        <w:t xml:space="preserve">_summary.json -&gt; run_config</w:t>
      </w:r>
      <w:r>
        <w:t xml:space="preserve"> records the provider and models actually used, so a local run is verifiable as local.</w:t>
      </w:r>
    </w:p>
    <w:p>
      <w:pPr>
        <w:pBdr>
          <w:left w:val="single" w:color="B45309" w:sz="18" w:space="4"/>
        </w:pBdr>
        <w:shd w:fill="FFF2CC" w:val="clear"/>
        <w:spacing w:after="140"/>
        <w:ind w:left="200"/>
      </w:pPr>
      <w:r>
        <w:rPr>
          <w:b/>
          <w:bCs/>
          <w:color w:val="B45309"/>
        </w:rPr>
        <w:t xml:space="preserve">NEEDS HUMAN INPUT / LIVE DATA — </w:t>
      </w:r>
      <w:r>
        <w:t xml:space="preserve">docs/LOCAL_LLM.md — the step-by-step local-LLM walkthrough referenced from eight places in the repository (and from this section's source skeleton) has never been written. Since it is the written evidence for the Option D local-LLM requirement, write it (setup, run, verification showing run_config = ollama-local) before submission.</w:t>
      </w:r>
    </w:p>
    <w:p>
      <w:pPr>
        <w:pStyle w:val="Heading2"/>
        <w:spacing w:after="120" w:before="240"/>
      </w:pPr>
      <w:r>
        <w:t xml:space="preserve">3.5 Running the System (CLI / Web / Server)</w:t>
      </w:r>
    </w:p>
    <w:p>
      <w:pPr>
        <w:spacing w:after="120"/>
      </w:pPr>
      <w:r>
        <w:rPr>
          <w:b/>
          <w:bCs/>
        </w:rPr>
        <w:t xml:space="preserve">CLI (fastest check):</w:t>
      </w:r>
    </w:p>
    <w:p>
      <w:pPr>
        <w:shd w:fill="F3F4F6" w:val="clear"/>
        <w:spacing w:after="0"/>
        <w:ind w:left="200"/>
      </w:pPr>
      <w:r>
        <w:rPr>
          <w:rFonts w:ascii="Consolas" w:cs="Consolas" w:eastAsia="Consolas" w:hAnsi="Consolas"/>
          <w:sz w:val="18"/>
          <w:szCs w:val="18"/>
        </w:rPr>
        <w:t xml:space="preserve">python run_pipeline.py --name "McDonald's" --pick 1 --dump-stages out/</w:t>
      </w:r>
    </w:p>
    <w:p>
      <w:pPr>
        <w:shd w:fill="F3F4F6" w:val="clear"/>
        <w:spacing w:after="140"/>
        <w:ind w:left="200"/>
      </w:pPr>
      <w:r>
        <w:rPr>
          <w:rFonts w:ascii="Consolas" w:cs="Consolas" w:eastAsia="Consolas" w:hAnsi="Consolas"/>
          <w:sz w:val="18"/>
          <w:szCs w:val="18"/>
        </w:rPr>
        <w:t xml:space="preserve">cat out/_summary.json      # run_config confirms which provider ran</w:t>
      </w:r>
    </w:p>
    <w:p>
      <w:pPr>
        <w:spacing w:after="120"/>
      </w:pPr>
      <w:r>
        <w:t xml:space="preserve">Flags: </w:t>
      </w:r>
      <w:r>
        <w:rPr>
          <w:rFonts w:ascii="Consolas" w:cs="Consolas" w:eastAsia="Consolas" w:hAnsi="Consolas"/>
          <w:sz w:val="19"/>
          <w:szCs w:val="19"/>
        </w:rPr>
        <w:t xml:space="preserve">--pick N</w:t>
      </w:r>
      <w:r>
        <w:t xml:space="preserve"> auto-selects the Nth fuzzy match, </w:t>
      </w:r>
      <w:r>
        <w:rPr>
          <w:rFonts w:ascii="Consolas" w:cs="Consolas" w:eastAsia="Consolas" w:hAnsi="Consolas"/>
          <w:sz w:val="19"/>
          <w:szCs w:val="19"/>
        </w:rPr>
        <w:t xml:space="preserve">--sample-size N</w:t>
      </w:r>
      <w:r>
        <w:t xml:space="preserve"> (1–100) bounds the sample, </w:t>
      </w:r>
      <w:r>
        <w:rPr>
          <w:rFonts w:ascii="Consolas" w:cs="Consolas" w:eastAsia="Consolas" w:hAnsi="Consolas"/>
          <w:sz w:val="19"/>
          <w:szCs w:val="19"/>
        </w:rPr>
        <w:t xml:space="preserve">--json</w:t>
      </w:r>
      <w:r>
        <w:t xml:space="preserve"> prints the raw report, </w:t>
      </w:r>
      <w:r>
        <w:rPr>
          <w:rFonts w:ascii="Consolas" w:cs="Consolas" w:eastAsia="Consolas" w:hAnsi="Consolas"/>
          <w:sz w:val="19"/>
          <w:szCs w:val="19"/>
        </w:rPr>
        <w:t xml:space="preserve">--dump-stages DIR</w:t>
      </w:r>
      <w:r>
        <w:t xml:space="preserve"> writes each agent's output plus </w:t>
      </w:r>
      <w:r>
        <w:rPr>
          <w:rFonts w:ascii="Consolas" w:cs="Consolas" w:eastAsia="Consolas" w:hAnsi="Consolas"/>
          <w:sz w:val="19"/>
          <w:szCs w:val="19"/>
        </w:rPr>
        <w:t xml:space="preserve">_summary.json</w:t>
      </w:r>
      <w:r>
        <w:t xml:space="preserve"> — the input format the evaluation harness consumes (a deliberate decoupling: any run can later be evaluated).</w:t>
      </w:r>
    </w:p>
    <w:p>
      <w:pPr>
        <w:spacing w:after="120"/>
      </w:pPr>
      <w:r>
        <w:rPr>
          <w:b/>
          <w:bCs/>
        </w:rPr>
        <w:t xml:space="preserve">Local web app:</w:t>
      </w:r>
      <w:r>
        <w:t xml:space="preserve"> terminal A runs </w:t>
      </w:r>
      <w:r>
        <w:rPr>
          <w:rFonts w:ascii="Consolas" w:cs="Consolas" w:eastAsia="Consolas" w:hAnsi="Consolas"/>
          <w:sz w:val="19"/>
          <w:szCs w:val="19"/>
        </w:rPr>
        <w:t xml:space="preserve">uvicorn app.main:app --reload --port 8000</w:t>
      </w:r>
      <w:r>
        <w:t xml:space="preserve"> from </w:t>
      </w:r>
      <w:r>
        <w:rPr>
          <w:rFonts w:ascii="Consolas" w:cs="Consolas" w:eastAsia="Consolas" w:hAnsi="Consolas"/>
          <w:sz w:val="19"/>
          <w:szCs w:val="19"/>
        </w:rPr>
        <w:t xml:space="preserve">backend/</w:t>
      </w:r>
      <w:r>
        <w:t xml:space="preserve">; terminal B runs </w:t>
      </w:r>
      <w:r>
        <w:rPr>
          <w:rFonts w:ascii="Consolas" w:cs="Consolas" w:eastAsia="Consolas" w:hAnsi="Consolas"/>
          <w:sz w:val="19"/>
          <w:szCs w:val="19"/>
        </w:rPr>
        <w:t xml:space="preserve">npm run dev</w:t>
      </w:r>
      <w:r>
        <w:t xml:space="preserve"> in </w:t>
      </w:r>
      <w:r>
        <w:rPr>
          <w:rFonts w:ascii="Consolas" w:cs="Consolas" w:eastAsia="Consolas" w:hAnsi="Consolas"/>
          <w:sz w:val="19"/>
          <w:szCs w:val="19"/>
        </w:rPr>
        <w:t xml:space="preserve">frontend/</w:t>
      </w:r>
      <w:r>
        <w:t xml:space="preserve">. Open http://localhost:5173, search a restaurant, confirm the branch, then either request a synchronous report or watch the live SSE pipeline in the Pipeline Monitor.</w:t>
      </w:r>
    </w:p>
    <w:p>
      <w:pPr>
        <w:spacing w:after="120"/>
      </w:pPr>
      <w:r>
        <w:rPr>
          <w:b/>
          <w:bCs/>
        </w:rPr>
        <w:t xml:space="preserve">Hosted server (the ideal demo):</w:t>
      </w:r>
      <w:r>
        <w:t xml:space="preserve"> build the frontend single-origin (</w:t>
      </w:r>
      <w:r>
        <w:rPr>
          <w:rFonts w:ascii="Consolas" w:cs="Consolas" w:eastAsia="Consolas" w:hAnsi="Consolas"/>
          <w:sz w:val="19"/>
          <w:szCs w:val="19"/>
        </w:rPr>
        <w:t xml:space="preserve">VITE_API_BASE_URL="" npm run build</w:t>
      </w:r>
      <w:r>
        <w:t xml:space="preserve">) so static files call </w:t>
      </w:r>
      <w:r>
        <w:rPr>
          <w:rFonts w:ascii="Consolas" w:cs="Consolas" w:eastAsia="Consolas" w:hAnsi="Consolas"/>
          <w:sz w:val="19"/>
          <w:szCs w:val="19"/>
        </w:rPr>
        <w:t xml:space="preserve">/api/...</w:t>
      </w:r>
      <w:r>
        <w:t xml:space="preserve"> relatively, run </w:t>
      </w:r>
      <w:r>
        <w:rPr>
          <w:rFonts w:ascii="Consolas" w:cs="Consolas" w:eastAsia="Consolas" w:hAnsi="Consolas"/>
          <w:sz w:val="19"/>
          <w:szCs w:val="19"/>
        </w:rPr>
        <w:t xml:space="preserve">uvicorn --host 0.0.0.0</w:t>
      </w:r>
      <w:r>
        <w:t xml:space="preserve">, and front it with a reverse proxy or a tunnel (cloudflared/ngrok) for HTTPS. Project-specific gotchas: the SSE stream stalls unless proxy response buffering is disabled (nginx </w:t>
      </w:r>
      <w:r>
        <w:rPr>
          <w:rFonts w:ascii="Consolas" w:cs="Consolas" w:eastAsia="Consolas" w:hAnsi="Consolas"/>
          <w:sz w:val="19"/>
          <w:szCs w:val="19"/>
        </w:rPr>
        <w:t xml:space="preserve">proxy_buffering off;</w:t>
      </w:r>
      <w:r>
        <w:t xml:space="preserve">); a fresh host has no dataset (upload the SQLite index); a hosted box naturally demos the cloud profile — the local-LLM demo is shown on a laptop; and given the API's local-demo security posture (Section 7.3), a public URL should not be left up unattended.</w:t>
      </w:r>
    </w:p>
    <w:p>
      <w:pPr>
        <w:pStyle w:val="Heading2"/>
        <w:spacing w:after="120" w:before="240"/>
      </w:pPr>
      <w:r>
        <w:t xml:space="preserve">3.6 Building the SQLite Index</w:t>
      </w:r>
    </w:p>
    <w:p>
      <w:pPr>
        <w:shd w:fill="F3F4F6" w:val="clear"/>
        <w:spacing w:after="0"/>
        <w:ind w:left="200"/>
      </w:pPr>
      <w:r>
        <w:rPr>
          <w:rFonts w:ascii="Consolas" w:cs="Consolas" w:eastAsia="Consolas" w:hAnsi="Consolas"/>
          <w:sz w:val="18"/>
          <w:szCs w:val="18"/>
        </w:rPr>
        <w:t xml:space="preserve">cd backend</w:t>
      </w:r>
    </w:p>
    <w:p>
      <w:pPr>
        <w:shd w:fill="F3F4F6" w:val="clear"/>
        <w:spacing w:after="0"/>
        <w:ind w:left="200"/>
      </w:pPr>
      <w:r>
        <w:rPr>
          <w:rFonts w:ascii="Consolas" w:cs="Consolas" w:eastAsia="Consolas" w:hAnsi="Consolas"/>
          <w:sz w:val="18"/>
          <w:szCs w:val="18"/>
        </w:rPr>
        <w:t xml:space="preserve">python scripts/build_db.py          # one-time, ~2-3 min; writes data/processed/yelp.db</w:t>
      </w:r>
    </w:p>
    <w:p>
      <w:pPr>
        <w:shd w:fill="F3F4F6" w:val="clear"/>
        <w:spacing w:after="140"/>
        <w:ind w:left="200"/>
      </w:pPr>
      <w:r>
        <w:rPr>
          <w:rFonts w:ascii="Consolas" w:cs="Consolas" w:eastAsia="Consolas" w:hAnsi="Consolas"/>
          <w:sz w:val="18"/>
          <w:szCs w:val="18"/>
        </w:rPr>
        <w:t xml:space="preserve">python scripts/build_db.py --rebuild # replace an existing DB</w:t>
      </w:r>
    </w:p>
    <w:p>
      <w:pPr>
        <w:spacing w:after="120"/>
      </w:pPr>
      <w:r>
        <w:t xml:space="preserve">Without the index every report request scans the 5.34 GB review file (one measured raw lookup took 77.5 s); with it, lookups are keyed on </w:t>
      </w:r>
      <w:r>
        <w:rPr>
          <w:rFonts w:ascii="Consolas" w:cs="Consolas" w:eastAsia="Consolas" w:hAnsi="Consolas"/>
          <w:sz w:val="19"/>
          <w:szCs w:val="19"/>
        </w:rPr>
        <w:t xml:space="preserve">business_id</w:t>
      </w:r>
      <w:r>
        <w:t xml:space="preserve"> and take milliseconds. After building, the raw JSON files may even be deleted — the app reads everything from the DB, falling back to a raw scan only when the DB is absent. Known limitation: the builder writes directly to the final path, so an interrupted build can leave a partial file that the loader treats as valid — rebuild with </w:t>
      </w:r>
      <w:r>
        <w:rPr>
          <w:rFonts w:ascii="Consolas" w:cs="Consolas" w:eastAsia="Consolas" w:hAnsi="Consolas"/>
          <w:sz w:val="19"/>
          <w:szCs w:val="19"/>
        </w:rPr>
        <w:t xml:space="preserve">--rebuild</w:t>
      </w:r>
      <w:r>
        <w:t xml:space="preserve"> if in doubt (Section 7.2).</w:t>
      </w:r>
    </w:p>
    <w:p>
      <w:pPr>
        <w:pStyle w:val="Heading1"/>
        <w:spacing w:after="160" w:before="360"/>
      </w:pPr>
      <w:r>
        <w:t xml:space="preserve">4. Implementation Details</w:t>
      </w:r>
    </w:p>
    <w:p>
      <w:pPr>
        <w:pBdr>
          <w:left w:val="single" w:color="B45309" w:sz="18" w:space="4"/>
        </w:pBdr>
        <w:shd w:fill="FFF2CC" w:val="clear"/>
        <w:spacing w:after="140"/>
        <w:ind w:left="200"/>
      </w:pPr>
      <w:r>
        <w:rPr>
          <w:b/>
          <w:bCs/>
          <w:color w:val="B45309"/>
        </w:rPr>
        <w:t xml:space="preserve">NEEDS HUMAN INPUT / LIVE DATA — </w:t>
      </w:r>
      <w:r>
        <w:t xml:space="preserve">Section 4 attribution is reconstructed from git history (branches, PRs #7–#12, per-path commit counts). Each member should verify their subsection, add their student ID, and expand the personal 'challenges' paragraph in their own words — the guidance asks for ~2–4 pages per member; the drafts below are the verified technical skeleton to build on. The Member 1–5 numbering must be confirmed by the team.</w:t>
      </w:r>
    </w:p>
    <w:p>
      <w:pPr>
        <w:pStyle w:val="Heading2"/>
        <w:spacing w:after="120" w:before="240"/>
      </w:pPr>
      <w:r>
        <w:t xml:space="preserve">4.1 [Member — Tran Manh Duc]: Integration, API and Delivery</w:t>
      </w:r>
    </w:p>
    <w:p>
      <w:pPr>
        <w:spacing w:after="120"/>
      </w:pPr>
      <w:r>
        <w:rPr>
          <w:b/>
          <w:bCs/>
        </w:rPr>
        <w:t xml:space="preserve">Owner:</w:t>
      </w:r>
      <w:r>
        <w:t xml:space="preserve"> repository owner (</w:t>
      </w:r>
      <w:r>
        <w:rPr>
          <w:rFonts w:ascii="Consolas" w:cs="Consolas" w:eastAsia="Consolas" w:hAnsi="Consolas"/>
          <w:sz w:val="19"/>
          <w:szCs w:val="19"/>
        </w:rPr>
        <w:t xml:space="preserve">TranDuc511</w:t>
      </w:r>
      <w:r>
        <w:t xml:space="preserve">); merged and reviewed PRs #7–#12; API wiring and frontend contributions.</w:t>
      </w:r>
    </w:p>
    <w:p>
      <w:pPr>
        <w:pStyle w:val="ListParagraph"/>
        <w:numPr>
          <w:ilvl w:val="0"/>
          <w:numId w:val="2"/>
        </w:numPr>
        <w:spacing w:after="80"/>
      </w:pPr>
      <w:r>
        <w:t xml:space="preserve">Built the FastAPI delivery layer around the pipeline: business search, synchronous report POST, and the SSE streaming endpoint, including the shared </w:t>
      </w:r>
      <w:r>
        <w:rPr>
          <w:rFonts w:ascii="Consolas" w:cs="Consolas" w:eastAsia="Consolas" w:hAnsi="Consolas"/>
          <w:sz w:val="19"/>
          <w:szCs w:val="19"/>
        </w:rPr>
        <w:t xml:space="preserve">_build_report_response</w:t>
      </w:r>
      <w:r>
        <w:t xml:space="preserve"> path so both endpoints return identical, trusted metadata (business name and sample size overwritten from validated state, never from model output).</w:t>
      </w:r>
    </w:p>
    <w:p>
      <w:pPr>
        <w:pStyle w:val="ListParagraph"/>
        <w:numPr>
          <w:ilvl w:val="0"/>
          <w:numId w:val="2"/>
        </w:numPr>
        <w:spacing w:after="80"/>
      </w:pPr>
      <w:r>
        <w:t xml:space="preserve">Maintained integration discipline across four contributors: feature branches merged through reviewed PRs; the repository rules in AGENTS.md (protected files, contract-change agreement) kept the shared contracts stable across the project.</w:t>
      </w:r>
    </w:p>
    <w:p>
      <w:pPr>
        <w:pStyle w:val="ListParagraph"/>
        <w:numPr>
          <w:ilvl w:val="0"/>
          <w:numId w:val="2"/>
        </w:numPr>
        <w:spacing w:after="80"/>
      </w:pPr>
      <w:r>
        <w:t xml:space="preserve">Contributed to the React frontend (Dashboard / Pipeline Monitor navigation and report rendering).</w:t>
      </w:r>
    </w:p>
    <w:p>
      <w:pPr>
        <w:pStyle w:val="ListParagraph"/>
        <w:numPr>
          <w:ilvl w:val="0"/>
          <w:numId w:val="2"/>
        </w:numPr>
        <w:spacing w:after="80"/>
      </w:pPr>
      <w:r>
        <w:rPr>
          <w:b/>
          <w:bCs/>
        </w:rPr>
        <w:t xml:space="preserve">Delivery-path decisions:</w:t>
      </w:r>
      <w:r>
        <w:t xml:space="preserve"> the CLI, the API, and the live e2e test all import the same production nodes (</w:t>
      </w:r>
      <w:r>
        <w:rPr>
          <w:rFonts w:ascii="Consolas" w:cs="Consolas" w:eastAsia="Consolas" w:hAnsi="Consolas"/>
          <w:sz w:val="19"/>
          <w:szCs w:val="19"/>
        </w:rPr>
        <w:t xml:space="preserve">app/core/nodes.py</w:t>
      </w:r>
      <w:r>
        <w:t xml:space="preserve"> via </w:t>
      </w:r>
      <w:r>
        <w:rPr>
          <w:rFonts w:ascii="Consolas" w:cs="Consolas" w:eastAsia="Consolas" w:hAnsi="Consolas"/>
          <w:sz w:val="19"/>
          <w:szCs w:val="19"/>
        </w:rPr>
        <w:t xml:space="preserve">app/core/pipeline.py</w:t>
      </w:r>
      <w:r>
        <w:t xml:space="preserve">) rather than maintaining parallel wirings — one shared implementation means the demo, the tests, and the endpoints cannot drift apart; and the hosted-demo path is single-origin (static frontend served against </w:t>
      </w:r>
      <w:r>
        <w:rPr>
          <w:rFonts w:ascii="Consolas" w:cs="Consolas" w:eastAsia="Consolas" w:hAnsi="Consolas"/>
          <w:sz w:val="19"/>
          <w:szCs w:val="19"/>
        </w:rPr>
        <w:t xml:space="preserve">/api/...</w:t>
      </w:r>
      <w:r>
        <w:t xml:space="preserve"> relatively) to avoid cross-origin juggling.</w:t>
      </w:r>
    </w:p>
    <w:p>
      <w:pPr>
        <w:pBdr>
          <w:left w:val="single" w:color="B45309" w:sz="18" w:space="4"/>
        </w:pBdr>
        <w:shd w:fill="FFF2CC" w:val="clear"/>
        <w:spacing w:after="140"/>
        <w:ind w:left="200"/>
      </w:pPr>
      <w:r>
        <w:rPr>
          <w:b/>
          <w:bCs/>
          <w:color w:val="B45309"/>
        </w:rPr>
        <w:t xml:space="preserve">NEEDS HUMAN INPUT / LIVE DATA — </w:t>
      </w:r>
      <w:r>
        <w:t xml:space="preserve">Member to add: design decisions and challenges in their own words (e.g. SSE emitter rewrite for the hub contract, CORS/dev-origin handling, merge-conflict war stories).</w:t>
      </w:r>
    </w:p>
    <w:p>
      <w:pPr>
        <w:pStyle w:val="Heading2"/>
        <w:spacing w:after="120" w:before="240"/>
      </w:pPr>
      <w:r>
        <w:t xml:space="preserve">4.2 [Member — Khanh Nguyen]: Data Pipeline and Matching</w:t>
      </w:r>
    </w:p>
    <w:p>
      <w:pPr>
        <w:spacing w:after="120"/>
      </w:pPr>
      <w:r>
        <w:rPr>
          <w:b/>
          <w:bCs/>
        </w:rPr>
        <w:t xml:space="preserve">Owner:</w:t>
      </w:r>
      <w:r>
        <w:t xml:space="preserve"> branch </w:t>
      </w:r>
      <w:r>
        <w:rPr>
          <w:rFonts w:ascii="Consolas" w:cs="Consolas" w:eastAsia="Consolas" w:hAnsi="Consolas"/>
          <w:sz w:val="19"/>
          <w:szCs w:val="19"/>
        </w:rPr>
        <w:t xml:space="preserve">feature/khanh-data</w:t>
      </w:r>
      <w:r>
        <w:t xml:space="preserve">; </w:t>
      </w:r>
      <w:r>
        <w:rPr>
          <w:rFonts w:ascii="Consolas" w:cs="Consolas" w:eastAsia="Consolas" w:hAnsi="Consolas"/>
          <w:sz w:val="19"/>
          <w:szCs w:val="19"/>
        </w:rPr>
        <w:t xml:space="preserve">backend/app/data/</w:t>
      </w:r>
      <w:r>
        <w:t xml:space="preserve"> (loader, matching, preprocessor) and </w:t>
      </w:r>
      <w:r>
        <w:rPr>
          <w:rFonts w:ascii="Consolas" w:cs="Consolas" w:eastAsia="Consolas" w:hAnsi="Consolas"/>
          <w:sz w:val="19"/>
          <w:szCs w:val="19"/>
        </w:rPr>
        <w:t xml:space="preserve">scripts/build_db.py</w:t>
      </w:r>
      <w:r>
        <w:t xml:space="preserve">. The component's own design record is </w:t>
      </w:r>
      <w:r>
        <w:rPr>
          <w:rFonts w:ascii="Consolas" w:cs="Consolas" w:eastAsia="Consolas" w:hAnsi="Consolas"/>
          <w:sz w:val="19"/>
          <w:szCs w:val="19"/>
        </w:rPr>
        <w:t xml:space="preserve">Member2 changes report.MD</w:t>
      </w:r>
      <w:r>
        <w:t xml:space="preserve">.</w:t>
      </w:r>
    </w:p>
    <w:p>
      <w:pPr>
        <w:pStyle w:val="ListParagraph"/>
        <w:numPr>
          <w:ilvl w:val="0"/>
          <w:numId w:val="2"/>
        </w:numPr>
        <w:spacing w:after="80"/>
      </w:pPr>
      <w:r>
        <w:rPr>
          <w:b/>
          <w:bCs/>
        </w:rPr>
        <w:t xml:space="preserve">Loader with dual paths:</w:t>
      </w:r>
      <w:r>
        <w:t xml:space="preserve"> SQLite-first with raw-JSON line-scan fallback; both paths share one seeded sampling helper, so the same data, seed, and cap return identical review-ID sets — verified by a parity regression test. The business dataset (~150k records) is loaded once into a module-level cache so concurrent API searches never re-read the file.</w:t>
      </w:r>
    </w:p>
    <w:p>
      <w:pPr>
        <w:pStyle w:val="ListParagraph"/>
        <w:numPr>
          <w:ilvl w:val="0"/>
          <w:numId w:val="2"/>
        </w:numPr>
        <w:spacing w:after="80"/>
      </w:pPr>
      <w:r>
        <w:rPr>
          <w:b/>
          <w:bCs/>
        </w:rPr>
        <w:t xml:space="preserve">Reproducible bounded sampling:</w:t>
      </w:r>
      <w:r>
        <w:t xml:space="preserve"> </w:t>
      </w:r>
      <w:r>
        <w:rPr>
          <w:rFonts w:ascii="Consolas" w:cs="Consolas" w:eastAsia="Consolas" w:hAnsi="Consolas"/>
          <w:sz w:val="19"/>
          <w:szCs w:val="19"/>
        </w:rPr>
        <w:t xml:space="preserve">MAX_REVIEW_SAMPLE</w:t>
      </w:r>
      <w:r>
        <w:t xml:space="preserve"> validated 1–100 (default 100; deliberately reduced from the brief's original 500-most-recent to bound LLM cost), candidates sorted by review ID to remove storage-order dependence, then sampled with </w:t>
      </w:r>
      <w:r>
        <w:rPr>
          <w:rFonts w:ascii="Consolas" w:cs="Consolas" w:eastAsia="Consolas" w:hAnsi="Consolas"/>
          <w:sz w:val="19"/>
          <w:szCs w:val="19"/>
        </w:rPr>
        <w:t xml:space="preserve">RANDOM_SEED</w:t>
      </w:r>
      <w:r>
        <w:t xml:space="preserve"> (42). Request-level </w:t>
      </w:r>
      <w:r>
        <w:rPr>
          <w:rFonts w:ascii="Consolas" w:cs="Consolas" w:eastAsia="Consolas" w:hAnsi="Consolas"/>
          <w:sz w:val="19"/>
          <w:szCs w:val="19"/>
        </w:rPr>
        <w:t xml:space="preserve">sample_size</w:t>
      </w:r>
      <w:r>
        <w:t xml:space="preserve"> is honoured in POST, SSE, and CLI paths.</w:t>
      </w:r>
    </w:p>
    <w:p>
      <w:pPr>
        <w:pStyle w:val="ListParagraph"/>
        <w:numPr>
          <w:ilvl w:val="0"/>
          <w:numId w:val="2"/>
        </w:numPr>
        <w:spacing w:after="80"/>
      </w:pPr>
      <w:r>
        <w:rPr>
          <w:b/>
          <w:bCs/>
        </w:rPr>
        <w:t xml:space="preserve">Fuzzy matching — measured engineering decisions:</w:t>
      </w:r>
      <w:r>
        <w:t xml:space="preserve"> the brief listed </w:t>
      </w:r>
      <w:r>
        <w:rPr>
          <w:rFonts w:ascii="Consolas" w:cs="Consolas" w:eastAsia="Consolas" w:hAnsi="Consolas"/>
          <w:sz w:val="19"/>
          <w:szCs w:val="19"/>
        </w:rPr>
        <w:t xml:space="preserve">fuzzywuzzy</w:t>
      </w:r>
      <w:r>
        <w:t xml:space="preserve">, but at ~150k businesses it cost 10–15 s per query; </w:t>
      </w:r>
      <w:r>
        <w:rPr>
          <w:rFonts w:ascii="Consolas" w:cs="Consolas" w:eastAsia="Consolas" w:hAnsi="Consolas"/>
          <w:sz w:val="19"/>
          <w:szCs w:val="19"/>
        </w:rPr>
        <w:t xml:space="preserve">rapidfuzz</w:t>
      </w:r>
      <w:r>
        <w:t xml:space="preserve"> computes identical Levenshtein-based scores in C++ in under 1 s, so it replaced fuzzywuzzy with no accuracy trade-off. A first-character pre-filter shrinks the candidate pool to ~5–10k (falling back to the full list below 10 candidates). </w:t>
      </w:r>
      <w:r>
        <w:rPr>
          <w:rFonts w:ascii="Consolas" w:cs="Consolas" w:eastAsia="Consolas" w:hAnsi="Consolas"/>
          <w:sz w:val="19"/>
          <w:szCs w:val="19"/>
        </w:rPr>
        <w:t xml:space="preserve">review_count</w:t>
      </w:r>
      <w:r>
        <w:t xml:space="preserve"> and </w:t>
      </w:r>
      <w:r>
        <w:rPr>
          <w:rFonts w:ascii="Consolas" w:cs="Consolas" w:eastAsia="Consolas" w:hAnsi="Consolas"/>
          <w:sz w:val="19"/>
          <w:szCs w:val="19"/>
        </w:rPr>
        <w:t xml:space="preserve">address</w:t>
      </w:r>
      <w:r>
        <w:t xml:space="preserve"> were added to the business record — the former as a ranking tiebreaker (more reviews = more analysable data), the latter so users can tell branches of a chain apart.</w:t>
      </w:r>
    </w:p>
    <w:p>
      <w:pPr>
        <w:pStyle w:val="ListParagraph"/>
        <w:numPr>
          <w:ilvl w:val="0"/>
          <w:numId w:val="2"/>
        </w:numPr>
        <w:spacing w:after="80"/>
      </w:pPr>
      <w:r>
        <w:rPr>
          <w:b/>
          <w:bCs/>
        </w:rPr>
        <w:t xml:space="preserve">Chain handling:</w:t>
      </w:r>
      <w:r>
        <w:t xml:space="preserve"> when the top score is exactly 100 (e.g. "McDonald's" matching dozens of branches), all score-100 branches are returned sorted by review count rather than capping at top-3 — branch disambiguation is pushed to the user, who is the only one who knows which branch they meant.</w:t>
      </w:r>
    </w:p>
    <w:p>
      <w:pPr>
        <w:pStyle w:val="ListParagraph"/>
        <w:numPr>
          <w:ilvl w:val="0"/>
          <w:numId w:val="2"/>
        </w:numPr>
        <w:spacing w:after="80"/>
      </w:pPr>
      <w:r>
        <w:rPr>
          <w:b/>
          <w:bCs/>
        </w:rPr>
        <w:t xml:space="preserve">SQLite index builder:</w:t>
      </w:r>
      <w:r>
        <w:t xml:space="preserve"> one-time ~2–3 minute build producing </w:t>
      </w:r>
      <w:r>
        <w:rPr>
          <w:rFonts w:ascii="Consolas" w:cs="Consolas" w:eastAsia="Consolas" w:hAnsi="Consolas"/>
          <w:sz w:val="19"/>
          <w:szCs w:val="19"/>
        </w:rPr>
        <w:t xml:space="preserve">businesses</w:t>
      </w:r>
      <w:r>
        <w:t xml:space="preserve"> and </w:t>
      </w:r>
      <w:r>
        <w:rPr>
          <w:rFonts w:ascii="Consolas" w:cs="Consolas" w:eastAsia="Consolas" w:hAnsi="Consolas"/>
          <w:sz w:val="19"/>
          <w:szCs w:val="19"/>
        </w:rPr>
        <w:t xml:space="preserve">reviews</w:t>
      </w:r>
      <w:r>
        <w:t xml:space="preserve"> tables indexed on </w:t>
      </w:r>
      <w:r>
        <w:rPr>
          <w:rFonts w:ascii="Consolas" w:cs="Consolas" w:eastAsia="Consolas" w:hAnsi="Consolas"/>
          <w:sz w:val="19"/>
          <w:szCs w:val="19"/>
        </w:rPr>
        <w:t xml:space="preserve">business_id</w:t>
      </w:r>
      <w:r>
        <w:t xml:space="preserve">; turns the measured 77.5 s raw scan into millisecond lookups.</w:t>
      </w:r>
    </w:p>
    <w:p>
      <w:pPr>
        <w:pStyle w:val="ListParagraph"/>
        <w:numPr>
          <w:ilvl w:val="0"/>
          <w:numId w:val="2"/>
        </w:numPr>
        <w:spacing w:after="80"/>
      </w:pPr>
      <w:r>
        <w:rPr>
          <w:b/>
          <w:bCs/>
        </w:rPr>
        <w:t xml:space="preserve">Preprocessing:</w:t>
      </w:r>
      <w:r>
        <w:t xml:space="preserve"> a frozen five-column contract (review_id, business_id, stars int 1–5 clipped, text stripped, date parsed) with empty-text and duplicate-ID removal — declared frozen precisely because downstream agents depend on it.</w:t>
      </w:r>
    </w:p>
    <w:p>
      <w:pPr>
        <w:pBdr>
          <w:left w:val="single" w:color="B45309" w:sz="18" w:space="4"/>
        </w:pBdr>
        <w:shd w:fill="FFF2CC" w:val="clear"/>
        <w:spacing w:after="140"/>
        <w:ind w:left="200"/>
      </w:pPr>
      <w:r>
        <w:rPr>
          <w:b/>
          <w:bCs/>
          <w:color w:val="B45309"/>
        </w:rPr>
        <w:t xml:space="preserve">NEEDS HUMAN INPUT / LIVE DATA — </w:t>
      </w:r>
      <w:r>
        <w:t xml:space="preserve">Member to add: personal challenges paragraph in their own words (the technical content above is verified from Member2 changes report.MD and the code; what's missing is the first-person narrative).</w:t>
      </w:r>
    </w:p>
    <w:p>
      <w:pPr>
        <w:pStyle w:val="Heading2"/>
        <w:spacing w:after="120" w:before="240"/>
      </w:pPr>
      <w:r>
        <w:t xml:space="preserve">4.3 Member 3 — Pham Ho Quang Dung: Analysis and Reasoning Agents; Hub Supervision</w:t>
      </w:r>
    </w:p>
    <w:p>
      <w:pPr>
        <w:spacing w:after="120"/>
      </w:pPr>
      <w:r>
        <w:rPr>
          <w:b/>
          <w:bCs/>
        </w:rPr>
        <w:t xml:space="preserve">Owner:</w:t>
      </w:r>
      <w:r>
        <w:t xml:space="preserve"> branch </w:t>
      </w:r>
      <w:r>
        <w:rPr>
          <w:rFonts w:ascii="Consolas" w:cs="Consolas" w:eastAsia="Consolas" w:hAnsi="Consolas"/>
          <w:sz w:val="19"/>
          <w:szCs w:val="19"/>
        </w:rPr>
        <w:t xml:space="preserve">dung/analysis-reasoning-agent</w:t>
      </w:r>
      <w:r>
        <w:t xml:space="preserve">; </w:t>
      </w:r>
      <w:r>
        <w:rPr>
          <w:rFonts w:ascii="Consolas" w:cs="Consolas" w:eastAsia="Consolas" w:hAnsi="Consolas"/>
          <w:sz w:val="19"/>
          <w:szCs w:val="19"/>
        </w:rPr>
        <w:t xml:space="preserve">analysis_agent.py</w:t>
      </w:r>
      <w:r>
        <w:t xml:space="preserve">, </w:t>
      </w:r>
      <w:r>
        <w:rPr>
          <w:rFonts w:ascii="Consolas" w:cs="Consolas" w:eastAsia="Consolas" w:hAnsi="Consolas"/>
          <w:sz w:val="19"/>
          <w:szCs w:val="19"/>
        </w:rPr>
        <w:t xml:space="preserve">reasoning_agent.py</w:t>
      </w:r>
      <w:r>
        <w:t xml:space="preserve">, the </w:t>
      </w:r>
      <w:r>
        <w:rPr>
          <w:rFonts w:ascii="Consolas" w:cs="Consolas" w:eastAsia="Consolas" w:hAnsi="Consolas"/>
          <w:sz w:val="19"/>
          <w:szCs w:val="19"/>
        </w:rPr>
        <w:t xml:space="preserve">BaseAgent</w:t>
      </w:r>
      <w:r>
        <w:t xml:space="preserve"> self-correction loop, and the simple-hub supervision module (design and implementation, commit 953a6bd).</w:t>
      </w:r>
    </w:p>
    <w:p>
      <w:pPr>
        <w:pStyle w:val="ListParagraph"/>
        <w:numPr>
          <w:ilvl w:val="0"/>
          <w:numId w:val="2"/>
        </w:numPr>
        <w:spacing w:after="80"/>
      </w:pPr>
      <w:r>
        <w:rPr>
          <w:b/>
          <w:bCs/>
        </w:rPr>
        <w:t xml:space="preserve">BaseAgent self-correction:</w:t>
      </w:r>
      <w:r>
        <w:t xml:space="preserve"> one shared retry loop for all agents — JSON response mode, Pydantic validation, a correction prompt carrying the exact validation error, at most two retries, then a structured </w:t>
      </w:r>
      <w:r>
        <w:rPr>
          <w:rFonts w:ascii="Consolas" w:cs="Consolas" w:eastAsia="Consolas" w:hAnsi="Consolas"/>
          <w:sz w:val="19"/>
          <w:szCs w:val="19"/>
        </w:rPr>
        <w:t xml:space="preserve">AgentError</w:t>
      </w:r>
      <w:r>
        <w:t xml:space="preserve"> that never swallows the underlying error string. Token usage is accounted per call for the evaluation harness.</w:t>
      </w:r>
    </w:p>
    <w:p>
      <w:pPr>
        <w:pStyle w:val="ListParagraph"/>
        <w:numPr>
          <w:ilvl w:val="0"/>
          <w:numId w:val="2"/>
        </w:numPr>
        <w:spacing w:after="80"/>
      </w:pPr>
      <w:r>
        <w:rPr>
          <w:b/>
          <w:bCs/>
        </w:rPr>
        <w:t xml:space="preserve">Analysis Agent:</w:t>
      </w:r>
      <w:r>
        <w:t xml:space="preserve"> batched classification (10 reviews per call) with a cross-record batch validator: returned review IDs must equal the input IDs in order, or the batch re-enters the correction loop. On total batch failure it emits one </w:t>
      </w:r>
      <w:r>
        <w:rPr>
          <w:rFonts w:ascii="Consolas" w:cs="Consolas" w:eastAsia="Consolas" w:hAnsi="Consolas"/>
          <w:sz w:val="19"/>
          <w:szCs w:val="19"/>
        </w:rPr>
        <w:t xml:space="preserve">AgentError</w:t>
      </w:r>
      <w:r>
        <w:t xml:space="preserve"> per review so downstream counts stay aligned.</w:t>
      </w:r>
    </w:p>
    <w:p>
      <w:pPr>
        <w:pStyle w:val="ListParagraph"/>
        <w:numPr>
          <w:ilvl w:val="0"/>
          <w:numId w:val="2"/>
        </w:numPr>
        <w:spacing w:after="80"/>
      </w:pPr>
      <w:r>
        <w:rPr>
          <w:b/>
          <w:bCs/>
        </w:rPr>
        <w:t xml:space="preserve">Reasoning Agent:</w:t>
      </w:r>
      <w:r>
        <w:t xml:space="preserve"> pattern detection and root-cause hypotheses over the aggregated analysis rows, with contract-enforced evidence lists (</w:t>
      </w:r>
      <w:r>
        <w:rPr>
          <w:rFonts w:ascii="Consolas" w:cs="Consolas" w:eastAsia="Consolas" w:hAnsi="Consolas"/>
          <w:sz w:val="19"/>
          <w:szCs w:val="19"/>
        </w:rPr>
        <w:t xml:space="preserve">evidence_review_ids</w:t>
      </w:r>
      <w:r>
        <w:t xml:space="preserve"> min length 1) and calibrated confidence labels.</w:t>
      </w:r>
    </w:p>
    <w:p>
      <w:pPr>
        <w:pStyle w:val="ListParagraph"/>
        <w:numPr>
          <w:ilvl w:val="0"/>
          <w:numId w:val="2"/>
        </w:numPr>
        <w:spacing w:after="80"/>
      </w:pPr>
      <w:r>
        <w:rPr>
          <w:b/>
          <w:bCs/>
        </w:rPr>
        <w:t xml:space="preserve">Simple-hub supervision (Option B):</w:t>
      </w:r>
      <w:r>
        <w:t xml:space="preserve"> authored the design document (</w:t>
      </w:r>
      <w:r>
        <w:rPr>
          <w:rFonts w:ascii="Consolas" w:cs="Consolas" w:eastAsia="Consolas" w:hAnsi="Consolas"/>
          <w:sz w:val="19"/>
          <w:szCs w:val="19"/>
        </w:rPr>
        <w:t xml:space="preserve">docs/ORCHESTRATOR_SIMPLE_HUB.md</w:t>
      </w:r>
      <w:r>
        <w:t xml:space="preserve">) comparing it against the team's full validator-node redesign, including three defects found in the original design (self-contradictory skip semantics; verdict overwriting terminal pipeline status; an unspecified data path for impact-weighted priorities); then implemented </w:t>
      </w:r>
      <w:r>
        <w:rPr>
          <w:rFonts w:ascii="Consolas" w:cs="Consolas" w:eastAsia="Consolas" w:hAnsi="Consolas"/>
          <w:sz w:val="19"/>
          <w:szCs w:val="19"/>
        </w:rPr>
        <w:t xml:space="preserve">supervision.py</w:t>
      </w:r>
      <w:r>
        <w:t xml:space="preserve"> (</w:t>
      </w:r>
      <w:r>
        <w:rPr>
          <w:rFonts w:ascii="Consolas" w:cs="Consolas" w:eastAsia="Consolas" w:hAnsi="Consolas"/>
          <w:sz w:val="19"/>
          <w:szCs w:val="19"/>
        </w:rPr>
        <w:t xml:space="preserve">measure</w:t>
      </w:r>
      <w:r>
        <w:t xml:space="preserve">/</w:t>
      </w:r>
      <w:r>
        <w:rPr>
          <w:rFonts w:ascii="Consolas" w:cs="Consolas" w:eastAsia="Consolas" w:hAnsi="Consolas"/>
          <w:sz w:val="19"/>
          <w:szCs w:val="19"/>
        </w:rPr>
        <w:t xml:space="preserve">decide</w:t>
      </w:r>
      <w:r>
        <w:t xml:space="preserve">, thresholds as module constants, 23 unit tests fixtured on real run dumps), the hub wiring in </w:t>
      </w:r>
      <w:r>
        <w:rPr>
          <w:rFonts w:ascii="Consolas" w:cs="Consolas" w:eastAsia="Consolas" w:hAnsi="Consolas"/>
          <w:sz w:val="19"/>
          <w:szCs w:val="19"/>
        </w:rPr>
        <w:t xml:space="preserve">graph.py</w:t>
      </w:r>
      <w:r>
        <w:t xml:space="preserve">, the retry-feedback mechanism, and the frequency recompute-and-overwrite.</w:t>
      </w:r>
    </w:p>
    <w:p>
      <w:pPr>
        <w:pStyle w:val="ListParagraph"/>
        <w:numPr>
          <w:ilvl w:val="0"/>
          <w:numId w:val="2"/>
        </w:numPr>
        <w:spacing w:after="80"/>
      </w:pPr>
      <w:r>
        <w:rPr>
          <w:b/>
          <w:bCs/>
        </w:rPr>
        <w:t xml:space="preserve">Design insight worth recording:</w:t>
      </w:r>
      <w:r>
        <w:t xml:space="preserve"> at temperature 0, a retry without new information is a wasted retry — the identical prompt reproduces the identical wrong output. Feeding the measured failure back into the prompt (the same mechanism as schema self-correction) is what makes graph-level retries meaningful.</w:t>
      </w:r>
    </w:p>
    <w:p>
      <w:pPr>
        <w:pBdr>
          <w:left w:val="single" w:color="B45309" w:sz="18" w:space="4"/>
        </w:pBdr>
        <w:shd w:fill="FFF2CC" w:val="clear"/>
        <w:spacing w:after="140"/>
        <w:ind w:left="200"/>
      </w:pPr>
      <w:r>
        <w:rPr>
          <w:b/>
          <w:bCs/>
          <w:color w:val="B45309"/>
        </w:rPr>
        <w:t xml:space="preserve">NEEDS HUMAN INPUT / LIVE DATA — </w:t>
      </w:r>
      <w:r>
        <w:t xml:space="preserve">Member to add: personal challenges paragraph (e.g. prompt iteration for mixed-sentiment reviews, debugging the mistyped evidence-ID class of errors, negotiating protected-file changes with the team).</w:t>
      </w:r>
    </w:p>
    <w:p>
      <w:pPr>
        <w:pStyle w:val="Heading2"/>
        <w:spacing w:after="120" w:before="240"/>
      </w:pPr>
      <w:r>
        <w:t xml:space="preserve">4.4 [Member — Hoang Huu Hoan]: Evaluation Harness and Core Orchestration</w:t>
      </w:r>
    </w:p>
    <w:p>
      <w:pPr>
        <w:spacing w:after="120"/>
      </w:pPr>
      <w:r>
        <w:rPr>
          <w:b/>
          <w:bCs/>
        </w:rPr>
        <w:t xml:space="preserve">Owner:</w:t>
      </w:r>
      <w:r>
        <w:t xml:space="preserve"> branch </w:t>
      </w:r>
      <w:r>
        <w:rPr>
          <w:rFonts w:ascii="Consolas" w:cs="Consolas" w:eastAsia="Consolas" w:hAnsi="Consolas"/>
          <w:sz w:val="19"/>
          <w:szCs w:val="19"/>
        </w:rPr>
        <w:t xml:space="preserve">eval/tier2-full-73-gold</w:t>
      </w:r>
      <w:r>
        <w:t xml:space="preserve">; </w:t>
      </w:r>
      <w:r>
        <w:rPr>
          <w:rFonts w:ascii="Consolas" w:cs="Consolas" w:eastAsia="Consolas" w:hAnsi="Consolas"/>
          <w:sz w:val="19"/>
          <w:szCs w:val="19"/>
        </w:rPr>
        <w:t xml:space="preserve">backend/eval/</w:t>
      </w:r>
      <w:r>
        <w:t xml:space="preserve"> (largest contributor) and core graph/orchestration contributions.</w:t>
      </w:r>
    </w:p>
    <w:p>
      <w:pPr>
        <w:pStyle w:val="ListParagraph"/>
        <w:numPr>
          <w:ilvl w:val="0"/>
          <w:numId w:val="2"/>
        </w:numPr>
        <w:spacing w:after="80"/>
      </w:pPr>
      <w:r>
        <w:rPr>
          <w:b/>
          <w:bCs/>
        </w:rPr>
        <w:t xml:space="preserve">Four-tier evaluation harness</w:t>
      </w:r>
      <w:r>
        <w:t xml:space="preserve"> (Section 5): Tier 1 deterministic consistency checks over stage dumps; Tier 1b reproducibility / latency / cost / failure-injection harness; Tier 2 gold-set scoring (sklearn accuracy and macro-F1); Tier 3 LLM-as-judge runner with written rubrics and an independent judge model. The tiered methodology was decided on 2026-06-13 (recorded in </w:t>
      </w:r>
      <w:r>
        <w:rPr>
          <w:rFonts w:ascii="Consolas" w:cs="Consolas" w:eastAsia="Consolas" w:hAnsi="Consolas"/>
          <w:sz w:val="19"/>
          <w:szCs w:val="19"/>
        </w:rPr>
        <w:t xml:space="preserve">docs/DECISIONS.md</w:t>
      </w:r>
      <w:r>
        <w:t xml:space="preserve">) from one observation: each stage's output is derivable from the previous, so most correctness questions reduce to deterministic checks needing no ground truth — only the Analysis Agent has objectively checkable labels, and only the subjective stages need a judge.</w:t>
      </w:r>
    </w:p>
    <w:p>
      <w:pPr>
        <w:pStyle w:val="ListParagraph"/>
        <w:numPr>
          <w:ilvl w:val="0"/>
          <w:numId w:val="2"/>
        </w:numPr>
        <w:spacing w:after="80"/>
      </w:pPr>
      <w:r>
        <w:rPr>
          <w:b/>
          <w:bCs/>
        </w:rPr>
        <w:t xml:space="preserve">Run/evaluation decoupling:</w:t>
      </w:r>
      <w:r>
        <w:t xml:space="preserve"> evaluation consumes the </w:t>
      </w:r>
      <w:r>
        <w:rPr>
          <w:rFonts w:ascii="Consolas" w:cs="Consolas" w:eastAsia="Consolas" w:hAnsi="Consolas"/>
          <w:sz w:val="19"/>
          <w:szCs w:val="19"/>
        </w:rPr>
        <w:t xml:space="preserve">--dump-stages</w:t>
      </w:r>
      <w:r>
        <w:t xml:space="preserve"> JSON artifacts rather than re-running the pipeline, so any past run — demo, debug, or benchmark — can be evaluated after the fact, and a degraded stage is immediately visible in its own artifact.</w:t>
      </w:r>
    </w:p>
    <w:p>
      <w:pPr>
        <w:pStyle w:val="ListParagraph"/>
        <w:numPr>
          <w:ilvl w:val="0"/>
          <w:numId w:val="2"/>
        </w:numPr>
        <w:spacing w:after="80"/>
      </w:pPr>
      <w:r>
        <w:rPr>
          <w:b/>
          <w:bCs/>
        </w:rPr>
        <w:t xml:space="preserve">Gold set:</w:t>
      </w:r>
      <w:r>
        <w:t xml:space="preserve"> hand-labelled all 73 LOVE Grille reviews (initial 40-review sample stratified across star ratings, then extended to the full business so the sample cannot be cherry-picked — a decision that also retroactively validated the stratified 40, whose sentiment accuracy moved only 0.750 → 0.753).</w:t>
      </w:r>
    </w:p>
    <w:p>
      <w:pPr>
        <w:pStyle w:val="ListParagraph"/>
        <w:numPr>
          <w:ilvl w:val="0"/>
          <w:numId w:val="2"/>
        </w:numPr>
        <w:spacing w:after="80"/>
      </w:pPr>
      <w:r>
        <w:rPr>
          <w:b/>
          <w:bCs/>
        </w:rPr>
        <w:t xml:space="preserve">Judge-model maintenance:</w:t>
      </w:r>
      <w:r>
        <w:t xml:space="preserve"> diagnosed the deprecated default judge (</w:t>
      </w:r>
      <w:r>
        <w:rPr>
          <w:rFonts w:ascii="Consolas" w:cs="Consolas" w:eastAsia="Consolas" w:hAnsi="Consolas"/>
          <w:sz w:val="19"/>
          <w:szCs w:val="19"/>
        </w:rPr>
        <w:t xml:space="preserve">gemini-2.5-pro</w:t>
      </w:r>
      <w:r>
        <w:t xml:space="preserve"> returning 404) and repointed Tier 3 to </w:t>
      </w:r>
      <w:r>
        <w:rPr>
          <w:rFonts w:ascii="Consolas" w:cs="Consolas" w:eastAsia="Consolas" w:hAnsi="Consolas"/>
          <w:sz w:val="19"/>
          <w:szCs w:val="19"/>
        </w:rPr>
        <w:t xml:space="preserve">gemini-pro-latest</w:t>
      </w:r>
      <w:r>
        <w:t xml:space="preserve">, keeping the judge distinct from and stronger than the pipeline model.</w:t>
      </w:r>
    </w:p>
    <w:p>
      <w:pPr>
        <w:pStyle w:val="ListParagraph"/>
        <w:numPr>
          <w:ilvl w:val="0"/>
          <w:numId w:val="2"/>
        </w:numPr>
        <w:spacing w:after="80"/>
      </w:pPr>
      <w:r>
        <w:t xml:space="preserve">Contributed to </w:t>
      </w:r>
      <w:r>
        <w:rPr>
          <w:rFonts w:ascii="Consolas" w:cs="Consolas" w:eastAsia="Consolas" w:hAnsi="Consolas"/>
          <w:sz w:val="19"/>
          <w:szCs w:val="19"/>
        </w:rPr>
        <w:t xml:space="preserve">app/core/</w:t>
      </w:r>
      <w:r>
        <w:t xml:space="preserve"> graph and orchestration code alongside Members 1 and 3; the live e2e test's retry-up-to-3 design (a single run legitimately degrades ~20% of the time by skipping a non-critical agent, so 3 attempts ≈ 99% reliability while keeping the strong all-stages assertion) is recorded in the decision log.</w:t>
      </w:r>
    </w:p>
    <w:p>
      <w:pPr>
        <w:pBdr>
          <w:left w:val="single" w:color="B45309" w:sz="18" w:space="4"/>
        </w:pBdr>
        <w:shd w:fill="FFF2CC" w:val="clear"/>
        <w:spacing w:after="140"/>
        <w:ind w:left="200"/>
      </w:pPr>
      <w:r>
        <w:rPr>
          <w:b/>
          <w:bCs/>
          <w:color w:val="B45309"/>
        </w:rPr>
        <w:t xml:space="preserve">NEEDS HUMAN INPUT / LIVE DATA — </w:t>
      </w:r>
      <w:r>
        <w:t xml:space="preserve">Member to add: personal challenges paragraph (e.g. labelling methodology and edge cases, judge prompt design, keeping fixtures deterministic).</w:t>
      </w:r>
    </w:p>
    <w:p>
      <w:pPr>
        <w:pStyle w:val="Heading1"/>
        <w:spacing w:after="160" w:before="360"/>
      </w:pPr>
      <w:r>
        <w:t xml:space="preserve">5. Experimentation and Evaluation</w:t>
      </w:r>
    </w:p>
    <w:p>
      <w:pPr>
        <w:pStyle w:val="Heading2"/>
        <w:spacing w:after="120" w:before="240"/>
      </w:pPr>
      <w:r>
        <w:t xml:space="preserve">5.1 Evaluation Methodology</w:t>
      </w:r>
    </w:p>
    <w:p>
      <w:pPr>
        <w:spacing w:after="120"/>
      </w:pPr>
      <w:r>
        <w:t xml:space="preserve">The harness has four tiers, each answering a question the previous tier cannot:</w:t>
      </w:r>
    </w:p>
    <w:p>
      <w:pPr>
        <w:pStyle w:val="ListParagraph"/>
        <w:numPr>
          <w:ilvl w:val="0"/>
          <w:numId w:val="2"/>
        </w:numPr>
        <w:spacing w:after="80"/>
      </w:pPr>
      <w:r>
        <w:rPr>
          <w:b/>
          <w:bCs/>
        </w:rPr>
        <w:t xml:space="preserve">Tier 1 — deterministic consistency (no labels, no API).</w:t>
      </w:r>
      <w:r>
        <w:t xml:space="preserve"> Because each stage is derivable from the previous one, correctness reduces to consistency checks that need no ground truth: schema validity, evidence-ID existence, aspect grounding, frequency recomputation, recommendation traceability, report-subset checks, completion status. Offline and CI-suitable.</w:t>
      </w:r>
    </w:p>
    <w:p>
      <w:pPr>
        <w:pStyle w:val="ListParagraph"/>
        <w:numPr>
          <w:ilvl w:val="0"/>
          <w:numId w:val="2"/>
        </w:numPr>
        <w:spacing w:after="80"/>
      </w:pPr>
      <w:r>
        <w:rPr>
          <w:b/>
          <w:bCs/>
        </w:rPr>
        <w:t xml:space="preserve">Tier 1b — behaviour.</w:t>
      </w:r>
      <w:r>
        <w:t xml:space="preserve"> Reproducibility across seeded runs, latency and token cost, and eight failure-injection scenarios exercising every orchestrator recovery route.</w:t>
      </w:r>
    </w:p>
    <w:p>
      <w:pPr>
        <w:pStyle w:val="ListParagraph"/>
        <w:numPr>
          <w:ilvl w:val="0"/>
          <w:numId w:val="2"/>
        </w:numPr>
        <w:spacing w:after="80"/>
      </w:pPr>
      <w:r>
        <w:rPr>
          <w:b/>
          <w:bCs/>
        </w:rPr>
        <w:t xml:space="preserve">Tier 2 — objective accuracy.</w:t>
      </w:r>
      <w:r>
        <w:t xml:space="preserve"> The Analysis Agent (the only stage with objectively checkable answers) scored against a human gold set with accuracy and macro-F1 — macro-averaging chosen because it weights all classes equally under imbalance [21].</w:t>
      </w:r>
    </w:p>
    <w:p>
      <w:pPr>
        <w:pStyle w:val="ListParagraph"/>
        <w:numPr>
          <w:ilvl w:val="0"/>
          <w:numId w:val="2"/>
        </w:numPr>
        <w:spacing w:after="80"/>
      </w:pPr>
      <w:r>
        <w:rPr>
          <w:b/>
          <w:bCs/>
        </w:rPr>
        <w:t xml:space="preserve">Tier 3 — subjective usefulness.</w:t>
      </w:r>
      <w:r>
        <w:t xml:space="preserve"> The stages with no formula (root causes, recommendations, report) scored 1–5 against written rubrics by an </w:t>
      </w:r>
      <w:r>
        <w:rPr>
          <w:b/>
          <w:bCs/>
        </w:rPr>
        <w:t xml:space="preserve">independent, stronger judge model</w:t>
      </w:r>
      <w:r>
        <w:t xml:space="preserve"> — LLM-as-judge in the sense of [10][11], with a different model from the pipeline to mitigate self-preference bias [13].</w:t>
      </w:r>
    </w:p>
    <w:p>
      <w:pPr>
        <w:spacing w:after="120"/>
      </w:pPr>
      <w:r>
        <w:t xml:space="preserve">Test subject: </w:t>
      </w:r>
      <w:r>
        <w:rPr>
          <w:b/>
          <w:bCs/>
        </w:rPr>
        <w:t xml:space="preserve">LOVE Grille</w:t>
      </w:r>
      <w:r>
        <w:t xml:space="preserve">, Philadelphia (</w:t>
      </w:r>
      <w:r>
        <w:rPr>
          <w:rFonts w:ascii="Consolas" w:cs="Consolas" w:eastAsia="Consolas" w:hAnsi="Consolas"/>
          <w:sz w:val="19"/>
          <w:szCs w:val="19"/>
        </w:rPr>
        <w:t xml:space="preserve">business_id 4Env6uGYxMhXFKPfcuzUuQ</w:t>
      </w:r>
      <w:r>
        <w:t xml:space="preserve">, 3.0★), all </w:t>
      </w:r>
      <w:r>
        <w:rPr>
          <w:b/>
          <w:bCs/>
        </w:rPr>
        <w:t xml:space="preserve">73</w:t>
      </w:r>
      <w:r>
        <w:t xml:space="preserve"> of its reviews (below the 100 cap, so no sampling noise). Pipeline model </w:t>
      </w:r>
      <w:r>
        <w:rPr>
          <w:rFonts w:ascii="Consolas" w:cs="Consolas" w:eastAsia="Consolas" w:hAnsi="Consolas"/>
          <w:sz w:val="19"/>
          <w:szCs w:val="19"/>
        </w:rPr>
        <w:t xml:space="preserve">gemini-2.5-flash</w:t>
      </w:r>
      <w:r>
        <w:t xml:space="preserve">; judge </w:t>
      </w:r>
      <w:r>
        <w:rPr>
          <w:rFonts w:ascii="Consolas" w:cs="Consolas" w:eastAsia="Consolas" w:hAnsi="Consolas"/>
          <w:sz w:val="19"/>
          <w:szCs w:val="19"/>
        </w:rPr>
        <w:t xml:space="preserve">gemini-pro-latest</w:t>
      </w:r>
      <w:r>
        <w:t xml:space="preserve">. The methodology was fixed early (decision log, 2026-06-13) and executed live end-to-end on 2026-07-15, closing the harness's own "never run live" blocker; the gold set was extended from the stratified 40 to the full 73 in the same pass. The composition of these four tiers into one harness is the team's own methodology — each tier individually follows established practice, but the bundle is not a named method from the literature (Section 7.5).</w:t>
      </w:r>
    </w:p>
    <w:p>
      <w:pPr>
        <w:pStyle w:val="Heading2"/>
        <w:spacing w:after="120" w:before="240"/>
      </w:pPr>
      <w:r>
        <w:t xml:space="preserve">5.2 Tier 1 — Deterministic Checks</w:t>
      </w:r>
    </w:p>
    <w:p>
      <w:pPr>
        <w:spacing w:after="120"/>
      </w:pPr>
      <w:r>
        <w:rPr>
          <w:b/>
          <w:bCs/>
        </w:rPr>
        <w:t xml:space="preserve">Result: 24 / 25 checks passed</w:t>
      </w:r>
      <w:r>
        <w:t xml:space="preserve"> on the live 73-review run (committed artifact </w:t>
      </w:r>
      <w:r>
        <w:rPr>
          <w:rFonts w:ascii="Consolas" w:cs="Consolas" w:eastAsia="Consolas" w:hAnsi="Consolas"/>
          <w:sz w:val="19"/>
          <w:szCs w:val="19"/>
        </w:rPr>
        <w:t xml:space="preserve">backend/out/tier1_report.json</w:t>
      </w:r>
      <w:r>
        <w:t xml:space="preserve">). The committed offline fixture passes 16/16, and a later live run of the hub pipeline on a different provider passed 22/22 (</w:t>
      </w:r>
      <w:r>
        <w:rPr>
          <w:rFonts w:ascii="Consolas" w:cs="Consolas" w:eastAsia="Consolas" w:hAnsi="Consolas"/>
          <w:sz w:val="19"/>
          <w:szCs w:val="19"/>
        </w:rPr>
        <w:t xml:space="preserve">backend/out_hub/</w:t>
      </w:r>
      <w:r>
        <w:t xml:space="preserve">).</w:t>
      </w:r>
    </w:p>
    <w:p>
      <w:pPr>
        <w:spacing w:after="120"/>
      </w:pPr>
      <w:r>
        <w:t xml:space="preserve">The single failure is the healthiest possible outcome: the Reasoning Agent cited evidence ID </w:t>
      </w:r>
      <w:r>
        <w:rPr>
          <w:rFonts w:ascii="Consolas" w:cs="Consolas" w:eastAsia="Consolas" w:hAnsi="Consolas"/>
          <w:sz w:val="19"/>
          <w:szCs w:val="19"/>
        </w:rPr>
        <w:t xml:space="preserve">SKXs-JiPXpVnAwcXhA5wA</w:t>
      </w:r>
      <w:r>
        <w:t xml:space="preserve">, which does not exist — the real ID is </w:t>
      </w:r>
      <w:r>
        <w:rPr>
          <w:rFonts w:ascii="Consolas" w:cs="Consolas" w:eastAsia="Consolas" w:hAnsi="Consolas"/>
          <w:sz w:val="19"/>
          <w:szCs w:val="19"/>
        </w:rPr>
        <w:t xml:space="preserve">SKXs-JiPX3pVnAwcXhA5wA</w:t>
      </w:r>
      <w:r>
        <w:t xml:space="preserve">; the model dropped one character while copying a 22-character Yelp ID. The evidence-existence check scored 27/28 valid IDs and failed that pattern exactly as designed. The defect is real but cosmetic (the pattern's aspect and recomputed frequency remain correct), and a clean 25/25 would arguably have been more concerning — catching one honest error with zero false positives is evidence the harness tests something. All frequency recomputations agreed with claims within ±0.05 (e.g. claimed 0.397 vs recomputed 0.40); all 5 strategy recommendations traced to upstream causes; the report was a faithful subset of upstream outputs.</w:t>
      </w:r>
    </w:p>
    <w:p>
      <w:pPr>
        <w:pStyle w:val="Heading2"/>
        <w:spacing w:after="120" w:before="240"/>
      </w:pPr>
      <w:r>
        <w:t xml:space="preserve">5.3 Tier 2 — Analysis Gold Set</w:t>
      </w:r>
    </w:p>
    <w:p>
      <w:pPr>
        <w:spacing w:after="120"/>
      </w:pPr>
      <w:r>
        <w:t xml:space="preserve">All 73 LOVE Grille reviews were hand-labelled for sentiment and aspect mentions (first a 40-review sample stratified across star ratings, then extended to the complete business — full coverage removes any cherry-picking concern). Against these gold labels: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CE3EF" w:val="clear"/>
            <w:tcMar>
              <w:top w:type="dxa" w:w="60"/>
              <w:left w:type="dxa" w:w="100"/>
              <w:bottom w:type="dxa" w:w="60"/>
              <w:right w:type="dxa" w:w="100"/>
            </w:tcMar>
          </w:tcPr>
          <w:p>
            <w:pPr>
              <w:spacing w:after="0"/>
            </w:pPr>
            <w:r>
              <w:rPr>
                <w:b/>
                <w:bCs/>
              </w:rPr>
              <w:t xml:space="preserve">Metric</w:t>
            </w:r>
          </w:p>
        </w:tc>
        <w:tc>
          <w:tcPr>
            <w:tcW w:type="dxa" w:w="4500"/>
            <w:shd w:fill="DCE3EF" w:val="clear"/>
            <w:tcMar>
              <w:top w:type="dxa" w:w="60"/>
              <w:left w:type="dxa" w:w="100"/>
              <w:bottom w:type="dxa" w:w="60"/>
              <w:right w:type="dxa" w:w="100"/>
            </w:tcMar>
          </w:tcPr>
          <w:p>
            <w:pPr>
              <w:spacing w:after="0"/>
            </w:pPr>
            <w:r>
              <w:rPr>
                <w:b/>
                <w:bCs/>
              </w:rPr>
              <w:t xml:space="preserve">Score</w:t>
            </w:r>
          </w:p>
        </w:tc>
      </w:tr>
      <w:tr>
        <w:tc>
          <w:tcPr>
            <w:tcW w:type="dxa" w:w="4500"/>
            <w:tcMar>
              <w:top w:type="dxa" w:w="60"/>
              <w:left w:type="dxa" w:w="100"/>
              <w:bottom w:type="dxa" w:w="60"/>
              <w:right w:type="dxa" w:w="100"/>
            </w:tcMar>
          </w:tcPr>
          <w:p>
            <w:pPr>
              <w:spacing w:after="0"/>
            </w:pPr>
            <w:r>
              <w:t xml:space="preserve">Sentiment accuracy</w:t>
            </w:r>
          </w:p>
        </w:tc>
        <w:tc>
          <w:tcPr>
            <w:tcW w:type="dxa" w:w="4500"/>
            <w:tcMar>
              <w:top w:type="dxa" w:w="60"/>
              <w:left w:type="dxa" w:w="100"/>
              <w:bottom w:type="dxa" w:w="60"/>
              <w:right w:type="dxa" w:w="100"/>
            </w:tcMar>
          </w:tcPr>
          <w:p>
            <w:pPr>
              <w:spacing w:after="0"/>
            </w:pPr>
            <w:r>
              <w:rPr>
                <w:b/>
                <w:bCs/>
              </w:rPr>
              <w:t xml:space="preserve">0.753</w:t>
            </w:r>
            <w:r>
              <w:t xml:space="preserve"> (55/73)</w:t>
            </w:r>
          </w:p>
        </w:tc>
      </w:tr>
      <w:tr>
        <w:tc>
          <w:tcPr>
            <w:tcW w:type="dxa" w:w="4500"/>
            <w:tcMar>
              <w:top w:type="dxa" w:w="60"/>
              <w:left w:type="dxa" w:w="100"/>
              <w:bottom w:type="dxa" w:w="60"/>
              <w:right w:type="dxa" w:w="100"/>
            </w:tcMar>
          </w:tcPr>
          <w:p>
            <w:pPr>
              <w:spacing w:after="0"/>
            </w:pPr>
            <w:r>
              <w:t xml:space="preserve">Aspect macro-F1</w:t>
            </w:r>
          </w:p>
        </w:tc>
        <w:tc>
          <w:tcPr>
            <w:tcW w:type="dxa" w:w="4500"/>
            <w:tcMar>
              <w:top w:type="dxa" w:w="60"/>
              <w:left w:type="dxa" w:w="100"/>
              <w:bottom w:type="dxa" w:w="60"/>
              <w:right w:type="dxa" w:w="100"/>
            </w:tcMar>
          </w:tcPr>
          <w:p>
            <w:pPr>
              <w:spacing w:after="0"/>
            </w:pPr>
            <w:r>
              <w:rPr>
                <w:b/>
                <w:bCs/>
              </w:rPr>
              <w:t xml:space="preserve">0.852</w:t>
            </w:r>
          </w:p>
        </w:tc>
      </w:tr>
    </w:tbl>
    <w:p>
      <w:pPr>
        <w:spacing w:after="120"/>
      </w:pPr>
    </w:p>
    <w:p>
      <w:pPr>
        <w:spacing w:after="120"/>
      </w:pPr>
      <w:r>
        <w:t xml:space="preserve">Per-aspect F1 (binary "is this aspect mentioned"), with gold support: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00"/>
      </w:tblGrid>
      <w:tr>
        <w:trPr>
          <w:tblHeader/>
        </w:trPr>
        <w:tc>
          <w:tcPr>
            <w:tcW w:type="dxa" w:w="3000"/>
            <w:shd w:fill="DCE3EF" w:val="clear"/>
            <w:tcMar>
              <w:top w:type="dxa" w:w="60"/>
              <w:left w:type="dxa" w:w="100"/>
              <w:bottom w:type="dxa" w:w="60"/>
              <w:right w:type="dxa" w:w="100"/>
            </w:tcMar>
          </w:tcPr>
          <w:p>
            <w:pPr>
              <w:spacing w:after="0"/>
            </w:pPr>
            <w:r>
              <w:rPr>
                <w:b/>
                <w:bCs/>
              </w:rPr>
              <w:t xml:space="preserve">Aspect</w:t>
            </w:r>
          </w:p>
        </w:tc>
        <w:tc>
          <w:tcPr>
            <w:tcW w:type="dxa" w:w="1500"/>
            <w:shd w:fill="DCE3EF" w:val="clear"/>
            <w:tcMar>
              <w:top w:type="dxa" w:w="60"/>
              <w:left w:type="dxa" w:w="100"/>
              <w:bottom w:type="dxa" w:w="60"/>
              <w:right w:type="dxa" w:w="100"/>
            </w:tcMar>
          </w:tcPr>
          <w:p>
            <w:pPr>
              <w:spacing w:after="0"/>
            </w:pPr>
            <w:r>
              <w:rPr>
                <w:b/>
                <w:bCs/>
              </w:rPr>
              <w:t xml:space="preserve">F1</w:t>
            </w:r>
          </w:p>
        </w:tc>
        <w:tc>
          <w:tcPr>
            <w:tcW w:type="dxa" w:w="4500"/>
            <w:shd w:fill="DCE3EF" w:val="clear"/>
            <w:tcMar>
              <w:top w:type="dxa" w:w="60"/>
              <w:left w:type="dxa" w:w="100"/>
              <w:bottom w:type="dxa" w:w="60"/>
              <w:right w:type="dxa" w:w="100"/>
            </w:tcMar>
          </w:tcPr>
          <w:p>
            <w:pPr>
              <w:spacing w:after="0"/>
            </w:pPr>
            <w:r>
              <w:rPr>
                <w:b/>
                <w:bCs/>
              </w:rPr>
              <w:t xml:space="preserve">Gold support (mentions)</w:t>
            </w:r>
          </w:p>
        </w:tc>
      </w:tr>
      <w:tr>
        <w:tc>
          <w:tcPr>
            <w:tcW w:type="dxa" w:w="3000"/>
            <w:tcMar>
              <w:top w:type="dxa" w:w="60"/>
              <w:left w:type="dxa" w:w="100"/>
              <w:bottom w:type="dxa" w:w="60"/>
              <w:right w:type="dxa" w:w="100"/>
            </w:tcMar>
          </w:tcPr>
          <w:p>
            <w:pPr>
              <w:spacing w:after="0"/>
            </w:pPr>
            <w:r>
              <w:t xml:space="preserve">cleanliness</w:t>
            </w:r>
          </w:p>
        </w:tc>
        <w:tc>
          <w:tcPr>
            <w:tcW w:type="dxa" w:w="1500"/>
            <w:tcMar>
              <w:top w:type="dxa" w:w="60"/>
              <w:left w:type="dxa" w:w="100"/>
              <w:bottom w:type="dxa" w:w="60"/>
              <w:right w:type="dxa" w:w="100"/>
            </w:tcMar>
          </w:tcPr>
          <w:p>
            <w:pPr>
              <w:spacing w:after="0"/>
            </w:pPr>
            <w:r>
              <w:t xml:space="preserve">1.000</w:t>
            </w:r>
          </w:p>
        </w:tc>
        <w:tc>
          <w:tcPr>
            <w:tcW w:type="dxa" w:w="4500"/>
            <w:tcMar>
              <w:top w:type="dxa" w:w="60"/>
              <w:left w:type="dxa" w:w="100"/>
              <w:bottom w:type="dxa" w:w="60"/>
              <w:right w:type="dxa" w:w="100"/>
            </w:tcMar>
          </w:tcPr>
          <w:p>
            <w:pPr>
              <w:spacing w:after="0"/>
            </w:pPr>
            <w:r>
              <w:t xml:space="preserve">4 (low support — indicative only)</w:t>
            </w:r>
          </w:p>
        </w:tc>
      </w:tr>
      <w:tr>
        <w:tc>
          <w:tcPr>
            <w:tcW w:type="dxa" w:w="3000"/>
            <w:tcMar>
              <w:top w:type="dxa" w:w="60"/>
              <w:left w:type="dxa" w:w="100"/>
              <w:bottom w:type="dxa" w:w="60"/>
              <w:right w:type="dxa" w:w="100"/>
            </w:tcMar>
          </w:tcPr>
          <w:p>
            <w:pPr>
              <w:spacing w:after="0"/>
            </w:pPr>
            <w:r>
              <w:t xml:space="preserve">food_quality</w:t>
            </w:r>
          </w:p>
        </w:tc>
        <w:tc>
          <w:tcPr>
            <w:tcW w:type="dxa" w:w="1500"/>
            <w:tcMar>
              <w:top w:type="dxa" w:w="60"/>
              <w:left w:type="dxa" w:w="100"/>
              <w:bottom w:type="dxa" w:w="60"/>
              <w:right w:type="dxa" w:w="100"/>
            </w:tcMar>
          </w:tcPr>
          <w:p>
            <w:pPr>
              <w:spacing w:after="0"/>
            </w:pPr>
            <w:r>
              <w:t xml:space="preserve">0.975</w:t>
            </w:r>
          </w:p>
        </w:tc>
        <w:tc>
          <w:tcPr>
            <w:tcW w:type="dxa" w:w="4500"/>
            <w:tcMar>
              <w:top w:type="dxa" w:w="60"/>
              <w:left w:type="dxa" w:w="100"/>
              <w:bottom w:type="dxa" w:w="60"/>
              <w:right w:type="dxa" w:w="100"/>
            </w:tcMar>
          </w:tcPr>
          <w:p>
            <w:pPr>
              <w:spacing w:after="0"/>
            </w:pPr>
            <w:r>
              <w:t xml:space="preserve">59</w:t>
            </w:r>
          </w:p>
        </w:tc>
      </w:tr>
      <w:tr>
        <w:tc>
          <w:tcPr>
            <w:tcW w:type="dxa" w:w="3000"/>
            <w:tcMar>
              <w:top w:type="dxa" w:w="60"/>
              <w:left w:type="dxa" w:w="100"/>
              <w:bottom w:type="dxa" w:w="60"/>
              <w:right w:type="dxa" w:w="100"/>
            </w:tcMar>
          </w:tcPr>
          <w:p>
            <w:pPr>
              <w:spacing w:after="0"/>
            </w:pPr>
            <w:r>
              <w:t xml:space="preserve">staff_attitude</w:t>
            </w:r>
          </w:p>
        </w:tc>
        <w:tc>
          <w:tcPr>
            <w:tcW w:type="dxa" w:w="1500"/>
            <w:tcMar>
              <w:top w:type="dxa" w:w="60"/>
              <w:left w:type="dxa" w:w="100"/>
              <w:bottom w:type="dxa" w:w="60"/>
              <w:right w:type="dxa" w:w="100"/>
            </w:tcMar>
          </w:tcPr>
          <w:p>
            <w:pPr>
              <w:spacing w:after="0"/>
            </w:pPr>
            <w:r>
              <w:t xml:space="preserve">0.966</w:t>
            </w:r>
          </w:p>
        </w:tc>
        <w:tc>
          <w:tcPr>
            <w:tcW w:type="dxa" w:w="4500"/>
            <w:tcMar>
              <w:top w:type="dxa" w:w="60"/>
              <w:left w:type="dxa" w:w="100"/>
              <w:bottom w:type="dxa" w:w="60"/>
              <w:right w:type="dxa" w:w="100"/>
            </w:tcMar>
          </w:tcPr>
          <w:p>
            <w:pPr>
              <w:spacing w:after="0"/>
            </w:pPr>
            <w:r>
              <w:t xml:space="preserve">43</w:t>
            </w:r>
          </w:p>
        </w:tc>
      </w:tr>
      <w:tr>
        <w:tc>
          <w:tcPr>
            <w:tcW w:type="dxa" w:w="3000"/>
            <w:tcMar>
              <w:top w:type="dxa" w:w="60"/>
              <w:left w:type="dxa" w:w="100"/>
              <w:bottom w:type="dxa" w:w="60"/>
              <w:right w:type="dxa" w:w="100"/>
            </w:tcMar>
          </w:tcPr>
          <w:p>
            <w:pPr>
              <w:spacing w:after="0"/>
            </w:pPr>
            <w:r>
              <w:t xml:space="preserve">pricing</w:t>
            </w:r>
          </w:p>
        </w:tc>
        <w:tc>
          <w:tcPr>
            <w:tcW w:type="dxa" w:w="1500"/>
            <w:tcMar>
              <w:top w:type="dxa" w:w="60"/>
              <w:left w:type="dxa" w:w="100"/>
              <w:bottom w:type="dxa" w:w="60"/>
              <w:right w:type="dxa" w:w="100"/>
            </w:tcMar>
          </w:tcPr>
          <w:p>
            <w:pPr>
              <w:spacing w:after="0"/>
            </w:pPr>
            <w:r>
              <w:t xml:space="preserve">0.958</w:t>
            </w:r>
          </w:p>
        </w:tc>
        <w:tc>
          <w:tcPr>
            <w:tcW w:type="dxa" w:w="4500"/>
            <w:tcMar>
              <w:top w:type="dxa" w:w="60"/>
              <w:left w:type="dxa" w:w="100"/>
              <w:bottom w:type="dxa" w:w="60"/>
              <w:right w:type="dxa" w:w="100"/>
            </w:tcMar>
          </w:tcPr>
          <w:p>
            <w:pPr>
              <w:spacing w:after="0"/>
            </w:pPr>
            <w:r>
              <w:t xml:space="preserve">34</w:t>
            </w:r>
          </w:p>
        </w:tc>
      </w:tr>
      <w:tr>
        <w:tc>
          <w:tcPr>
            <w:tcW w:type="dxa" w:w="3000"/>
            <w:tcMar>
              <w:top w:type="dxa" w:w="60"/>
              <w:left w:type="dxa" w:w="100"/>
              <w:bottom w:type="dxa" w:w="60"/>
              <w:right w:type="dxa" w:w="100"/>
            </w:tcMar>
          </w:tcPr>
          <w:p>
            <w:pPr>
              <w:spacing w:after="0"/>
            </w:pPr>
            <w:r>
              <w:t xml:space="preserve">wait_time</w:t>
            </w:r>
          </w:p>
        </w:tc>
        <w:tc>
          <w:tcPr>
            <w:tcW w:type="dxa" w:w="1500"/>
            <w:tcMar>
              <w:top w:type="dxa" w:w="60"/>
              <w:left w:type="dxa" w:w="100"/>
              <w:bottom w:type="dxa" w:w="60"/>
              <w:right w:type="dxa" w:w="100"/>
            </w:tcMar>
          </w:tcPr>
          <w:p>
            <w:pPr>
              <w:spacing w:after="0"/>
            </w:pPr>
            <w:r>
              <w:t xml:space="preserve">0.905</w:t>
            </w:r>
          </w:p>
        </w:tc>
        <w:tc>
          <w:tcPr>
            <w:tcW w:type="dxa" w:w="4500"/>
            <w:tcMar>
              <w:top w:type="dxa" w:w="60"/>
              <w:left w:type="dxa" w:w="100"/>
              <w:bottom w:type="dxa" w:w="60"/>
              <w:right w:type="dxa" w:w="100"/>
            </w:tcMar>
          </w:tcPr>
          <w:p>
            <w:pPr>
              <w:spacing w:after="0"/>
            </w:pPr>
            <w:r>
              <w:t xml:space="preserve">22</w:t>
            </w:r>
          </w:p>
        </w:tc>
      </w:tr>
      <w:tr>
        <w:tc>
          <w:tcPr>
            <w:tcW w:type="dxa" w:w="3000"/>
            <w:tcMar>
              <w:top w:type="dxa" w:w="60"/>
              <w:left w:type="dxa" w:w="100"/>
              <w:bottom w:type="dxa" w:w="60"/>
              <w:right w:type="dxa" w:w="100"/>
            </w:tcMar>
          </w:tcPr>
          <w:p>
            <w:pPr>
              <w:spacing w:after="0"/>
            </w:pPr>
            <w:r>
              <w:t xml:space="preserve">other</w:t>
            </w:r>
          </w:p>
        </w:tc>
        <w:tc>
          <w:tcPr>
            <w:tcW w:type="dxa" w:w="1500"/>
            <w:tcMar>
              <w:top w:type="dxa" w:w="60"/>
              <w:left w:type="dxa" w:w="100"/>
              <w:bottom w:type="dxa" w:w="60"/>
              <w:right w:type="dxa" w:w="100"/>
            </w:tcMar>
          </w:tcPr>
          <w:p>
            <w:pPr>
              <w:spacing w:after="0"/>
            </w:pPr>
            <w:r>
              <w:t xml:space="preserve">0.734</w:t>
            </w:r>
          </w:p>
        </w:tc>
        <w:tc>
          <w:tcPr>
            <w:tcW w:type="dxa" w:w="4500"/>
            <w:tcMar>
              <w:top w:type="dxa" w:w="60"/>
              <w:left w:type="dxa" w:w="100"/>
              <w:bottom w:type="dxa" w:w="60"/>
              <w:right w:type="dxa" w:w="100"/>
            </w:tcMar>
          </w:tcPr>
          <w:p>
            <w:pPr>
              <w:spacing w:after="0"/>
            </w:pPr>
            <w:r>
              <w:t xml:space="preserve">35</w:t>
            </w:r>
          </w:p>
        </w:tc>
      </w:tr>
      <w:tr>
        <w:tc>
          <w:tcPr>
            <w:tcW w:type="dxa" w:w="3000"/>
            <w:tcMar>
              <w:top w:type="dxa" w:w="60"/>
              <w:left w:type="dxa" w:w="100"/>
              <w:bottom w:type="dxa" w:w="60"/>
              <w:right w:type="dxa" w:w="100"/>
            </w:tcMar>
          </w:tcPr>
          <w:p>
            <w:pPr>
              <w:spacing w:after="0"/>
            </w:pPr>
            <w:r>
              <w:t xml:space="preserve">ambience</w:t>
            </w:r>
          </w:p>
        </w:tc>
        <w:tc>
          <w:tcPr>
            <w:tcW w:type="dxa" w:w="1500"/>
            <w:tcMar>
              <w:top w:type="dxa" w:w="60"/>
              <w:left w:type="dxa" w:w="100"/>
              <w:bottom w:type="dxa" w:w="60"/>
              <w:right w:type="dxa" w:w="100"/>
            </w:tcMar>
          </w:tcPr>
          <w:p>
            <w:pPr>
              <w:spacing w:after="0"/>
            </w:pPr>
            <w:r>
              <w:t xml:space="preserve">0.429</w:t>
            </w:r>
          </w:p>
        </w:tc>
        <w:tc>
          <w:tcPr>
            <w:tcW w:type="dxa" w:w="4500"/>
            <w:tcMar>
              <w:top w:type="dxa" w:w="60"/>
              <w:left w:type="dxa" w:w="100"/>
              <w:bottom w:type="dxa" w:w="60"/>
              <w:right w:type="dxa" w:w="100"/>
            </w:tcMar>
          </w:tcPr>
          <w:p>
            <w:pPr>
              <w:spacing w:after="0"/>
            </w:pPr>
            <w:r>
              <w:t xml:space="preserve">3 (low support — indicative only)</w:t>
            </w:r>
          </w:p>
        </w:tc>
      </w:tr>
    </w:tbl>
    <w:p>
      <w:pPr>
        <w:spacing w:after="120"/>
      </w:pPr>
    </w:p>
    <w:p>
      <w:pPr>
        <w:spacing w:after="120"/>
      </w:pPr>
      <w:r>
        <w:t xml:space="preserve">Aspect detection is strong on every well-supported category (≥ 0.905 wherever support ≥ 22). The two extremes — cleanliness at a perfect 1.000 on 4 mentions and ambience at 0.429 on 3 — are both low-support artifacts where a single disagreement swings F1 by 0.3+, and are reported with that footnote rather than as headline results. Sentiment accuracy at n=73 (0.753) was essentially unchanged from n=40 (0.750), retroactively confirming the stratified 40 was representative. The gold set has a single annotator; inter-annotator agreement (Cohen's κ) is the one remaining gap for a fully defensible Tier 2 number (Section 8.3).</w:t>
      </w:r>
    </w:p>
    <w:p>
      <w:pPr>
        <w:pBdr>
          <w:left w:val="single" w:color="B45309" w:sz="18" w:space="4"/>
        </w:pBdr>
        <w:shd w:fill="FFF2CC" w:val="clear"/>
        <w:spacing w:after="140"/>
        <w:ind w:left="200"/>
      </w:pPr>
      <w:r>
        <w:rPr>
          <w:b/>
          <w:bCs/>
          <w:color w:val="B45309"/>
        </w:rPr>
        <w:t xml:space="preserve">NEEDS HUMAN INPUT / LIVE DATA — </w:t>
      </w:r>
      <w:r>
        <w:t xml:space="preserve">Reproducibility gap: these Tier 2 numbers exist as prose in docs/EVALUATION_REPORT.md, but the backing artifacts (eval/gold/analysis_gold.jsonl and eval/gold/tier2_scores.json) are NOT committed to the repository — only the labelling worksheet (.xlsx) and the builder script exist. Regenerate them before submission: pip install openpyxl (missing from requirements.txt), run eval/gold/build_gold_jsonl.py on the worksheet, then python -m eval.tier2_analysis, and commit both artifacts.</w:t>
      </w:r>
    </w:p>
    <w:p>
      <w:pPr>
        <w:pStyle w:val="Heading2"/>
        <w:spacing w:after="120" w:before="240"/>
      </w:pPr>
      <w:r>
        <w:t xml:space="preserve">5.4 Tier 3 — LLM-as-Judge (Rubrics)</w:t>
      </w:r>
    </w:p>
    <w:p>
      <w:pPr>
        <w:spacing w:after="120"/>
      </w:pPr>
      <w:r>
        <w:t xml:space="preserve">An independent, stronger judge (</w:t>
      </w:r>
      <w:r>
        <w:rPr>
          <w:rFonts w:ascii="Consolas" w:cs="Consolas" w:eastAsia="Consolas" w:hAnsi="Consolas"/>
          <w:sz w:val="19"/>
          <w:szCs w:val="19"/>
        </w:rPr>
        <w:t xml:space="preserve">gemini-pro-latest</w:t>
      </w:r>
      <w:r>
        <w:t xml:space="preserve"> — deliberately different from the pipeline's </w:t>
      </w:r>
      <w:r>
        <w:rPr>
          <w:rFonts w:ascii="Consolas" w:cs="Consolas" w:eastAsia="Consolas" w:hAnsi="Consolas"/>
          <w:sz w:val="19"/>
          <w:szCs w:val="19"/>
        </w:rPr>
        <w:t xml:space="preserve">gemini-2.5-flash</w:t>
      </w:r>
      <w:r>
        <w:t xml:space="preserve"> to avoid self-judging [13]) scored each subjective output 1–5 against fixed written rubrics (committed artifact </w:t>
      </w:r>
      <w:r>
        <w:rPr>
          <w:rFonts w:ascii="Consolas" w:cs="Consolas" w:eastAsia="Consolas" w:hAnsi="Consolas"/>
          <w:sz w:val="19"/>
          <w:szCs w:val="19"/>
        </w:rPr>
        <w:t xml:space="preserve">backend/out/tier3_scores.json</w:t>
      </w:r>
      <w: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700"/>
        <w:gridCol w:w="4400"/>
      </w:tblGrid>
      <w:tr>
        <w:trPr>
          <w:tblHeader/>
        </w:trPr>
        <w:tc>
          <w:tcPr>
            <w:tcW w:type="dxa" w:w="2600"/>
            <w:shd w:fill="DCE3EF" w:val="clear"/>
            <w:tcMar>
              <w:top w:type="dxa" w:w="60"/>
              <w:left w:type="dxa" w:w="100"/>
              <w:bottom w:type="dxa" w:w="60"/>
              <w:right w:type="dxa" w:w="100"/>
            </w:tcMar>
          </w:tcPr>
          <w:p>
            <w:pPr>
              <w:spacing w:after="0"/>
            </w:pPr>
            <w:r>
              <w:rPr>
                <w:b/>
                <w:bCs/>
              </w:rPr>
              <w:t xml:space="preserve">Dimension</w:t>
            </w:r>
          </w:p>
        </w:tc>
        <w:tc>
          <w:tcPr>
            <w:tcW w:type="dxa" w:w="1300"/>
            <w:shd w:fill="DCE3EF" w:val="clear"/>
            <w:tcMar>
              <w:top w:type="dxa" w:w="60"/>
              <w:left w:type="dxa" w:w="100"/>
              <w:bottom w:type="dxa" w:w="60"/>
              <w:right w:type="dxa" w:w="100"/>
            </w:tcMar>
          </w:tcPr>
          <w:p>
            <w:pPr>
              <w:spacing w:after="0"/>
            </w:pPr>
            <w:r>
              <w:rPr>
                <w:b/>
                <w:bCs/>
              </w:rPr>
              <w:t xml:space="preserve">Mean (1–5)</w:t>
            </w:r>
          </w:p>
        </w:tc>
        <w:tc>
          <w:tcPr>
            <w:tcW w:type="dxa" w:w="700"/>
            <w:shd w:fill="DCE3EF" w:val="clear"/>
            <w:tcMar>
              <w:top w:type="dxa" w:w="60"/>
              <w:left w:type="dxa" w:w="100"/>
              <w:bottom w:type="dxa" w:w="60"/>
              <w:right w:type="dxa" w:w="100"/>
            </w:tcMar>
          </w:tcPr>
          <w:p>
            <w:pPr>
              <w:spacing w:after="0"/>
            </w:pPr>
            <w:r>
              <w:rPr>
                <w:b/>
                <w:bCs/>
              </w:rPr>
              <w:t xml:space="preserve">n</w:t>
            </w:r>
          </w:p>
        </w:tc>
        <w:tc>
          <w:tcPr>
            <w:tcW w:type="dxa" w:w="4400"/>
            <w:shd w:fill="DCE3EF" w:val="clear"/>
            <w:tcMar>
              <w:top w:type="dxa" w:w="60"/>
              <w:left w:type="dxa" w:w="100"/>
              <w:bottom w:type="dxa" w:w="60"/>
              <w:right w:type="dxa" w:w="100"/>
            </w:tcMar>
          </w:tcPr>
          <w:p>
            <w:pPr>
              <w:spacing w:after="0"/>
            </w:pPr>
            <w:r>
              <w:rPr>
                <w:b/>
                <w:bCs/>
              </w:rPr>
              <w:t xml:space="preserve">Notes</w:t>
            </w:r>
          </w:p>
        </w:tc>
      </w:tr>
      <w:tr>
        <w:tc>
          <w:tcPr>
            <w:tcW w:type="dxa" w:w="2600"/>
            <w:tcMar>
              <w:top w:type="dxa" w:w="60"/>
              <w:left w:type="dxa" w:w="100"/>
              <w:bottom w:type="dxa" w:w="60"/>
              <w:right w:type="dxa" w:w="100"/>
            </w:tcMar>
          </w:tcPr>
          <w:p>
            <w:pPr>
              <w:spacing w:after="0"/>
            </w:pPr>
            <w:r>
              <w:t xml:space="preserve">Root-cause plausibility</w:t>
            </w:r>
          </w:p>
        </w:tc>
        <w:tc>
          <w:tcPr>
            <w:tcW w:type="dxa" w:w="1300"/>
            <w:tcMar>
              <w:top w:type="dxa" w:w="60"/>
              <w:left w:type="dxa" w:w="100"/>
              <w:bottom w:type="dxa" w:w="60"/>
              <w:right w:type="dxa" w:w="100"/>
            </w:tcMar>
          </w:tcPr>
          <w:p>
            <w:pPr>
              <w:spacing w:after="0"/>
            </w:pPr>
            <w:r>
              <w:rPr>
                <w:b/>
                <w:bCs/>
              </w:rPr>
              <w:t xml:space="preserve">4.8</w:t>
            </w:r>
          </w:p>
        </w:tc>
        <w:tc>
          <w:tcPr>
            <w:tcW w:type="dxa" w:w="700"/>
            <w:tcMar>
              <w:top w:type="dxa" w:w="60"/>
              <w:left w:type="dxa" w:w="100"/>
              <w:bottom w:type="dxa" w:w="60"/>
              <w:right w:type="dxa" w:w="100"/>
            </w:tcMar>
          </w:tcPr>
          <w:p>
            <w:pPr>
              <w:spacing w:after="0"/>
            </w:pPr>
            <w:r>
              <w:t xml:space="preserve">5</w:t>
            </w:r>
          </w:p>
        </w:tc>
        <w:tc>
          <w:tcPr>
            <w:tcW w:type="dxa" w:w="4400"/>
            <w:tcMar>
              <w:top w:type="dxa" w:w="60"/>
              <w:left w:type="dxa" w:w="100"/>
              <w:bottom w:type="dxa" w:w="60"/>
              <w:right w:type="dxa" w:w="100"/>
            </w:tcMar>
          </w:tcPr>
          <w:p>
            <w:pPr>
              <w:spacing w:after="0"/>
            </w:pPr>
            <w:r>
              <w:t xml:space="preserve">four 5s; the lone 4 was an inherently generic "unspecified negative experiences" cause</w:t>
            </w:r>
          </w:p>
        </w:tc>
      </w:tr>
      <w:tr>
        <w:tc>
          <w:tcPr>
            <w:tcW w:type="dxa" w:w="2600"/>
            <w:tcMar>
              <w:top w:type="dxa" w:w="60"/>
              <w:left w:type="dxa" w:w="100"/>
              <w:bottom w:type="dxa" w:w="60"/>
              <w:right w:type="dxa" w:w="100"/>
            </w:tcMar>
          </w:tcPr>
          <w:p>
            <w:pPr>
              <w:spacing w:after="0"/>
            </w:pPr>
            <w:r>
              <w:t xml:space="preserve">Recommendation actionability</w:t>
            </w:r>
          </w:p>
        </w:tc>
        <w:tc>
          <w:tcPr>
            <w:tcW w:type="dxa" w:w="1300"/>
            <w:tcMar>
              <w:top w:type="dxa" w:w="60"/>
              <w:left w:type="dxa" w:w="100"/>
              <w:bottom w:type="dxa" w:w="60"/>
              <w:right w:type="dxa" w:w="100"/>
            </w:tcMar>
          </w:tcPr>
          <w:p>
            <w:pPr>
              <w:spacing w:after="0"/>
            </w:pPr>
            <w:r>
              <w:rPr>
                <w:b/>
                <w:bCs/>
              </w:rPr>
              <w:t xml:space="preserve">4.2</w:t>
            </w:r>
          </w:p>
        </w:tc>
        <w:tc>
          <w:tcPr>
            <w:tcW w:type="dxa" w:w="700"/>
            <w:tcMar>
              <w:top w:type="dxa" w:w="60"/>
              <w:left w:type="dxa" w:w="100"/>
              <w:bottom w:type="dxa" w:w="60"/>
              <w:right w:type="dxa" w:w="100"/>
            </w:tcMar>
          </w:tcPr>
          <w:p>
            <w:pPr>
              <w:spacing w:after="0"/>
            </w:pPr>
            <w:r>
              <w:t xml:space="preserve">5</w:t>
            </w:r>
          </w:p>
        </w:tc>
        <w:tc>
          <w:tcPr>
            <w:tcW w:type="dxa" w:w="4400"/>
            <w:tcMar>
              <w:top w:type="dxa" w:w="60"/>
              <w:left w:type="dxa" w:w="100"/>
              <w:bottom w:type="dxa" w:w="60"/>
              <w:right w:type="dxa" w:w="100"/>
            </w:tcMar>
          </w:tcPr>
          <w:p>
            <w:pPr>
              <w:spacing w:after="0"/>
            </w:pPr>
            <w:r>
              <w:t xml:space="preserve">four 4s; the single 5 (QR-code feedback system) was praised as implementable "within a week"</w:t>
            </w:r>
          </w:p>
        </w:tc>
      </w:tr>
      <w:tr>
        <w:tc>
          <w:tcPr>
            <w:tcW w:type="dxa" w:w="2600"/>
            <w:tcMar>
              <w:top w:type="dxa" w:w="60"/>
              <w:left w:type="dxa" w:w="100"/>
              <w:bottom w:type="dxa" w:w="60"/>
              <w:right w:type="dxa" w:w="100"/>
            </w:tcMar>
          </w:tcPr>
          <w:p>
            <w:pPr>
              <w:spacing w:after="0"/>
            </w:pPr>
            <w:r>
              <w:t xml:space="preserve">Report usefulness</w:t>
            </w:r>
          </w:p>
        </w:tc>
        <w:tc>
          <w:tcPr>
            <w:tcW w:type="dxa" w:w="1300"/>
            <w:tcMar>
              <w:top w:type="dxa" w:w="60"/>
              <w:left w:type="dxa" w:w="100"/>
              <w:bottom w:type="dxa" w:w="60"/>
              <w:right w:type="dxa" w:w="100"/>
            </w:tcMar>
          </w:tcPr>
          <w:p>
            <w:pPr>
              <w:spacing w:after="0"/>
            </w:pPr>
            <w:r>
              <w:rPr>
                <w:b/>
                <w:bCs/>
              </w:rPr>
              <w:t xml:space="preserve">5.0</w:t>
            </w:r>
          </w:p>
        </w:tc>
        <w:tc>
          <w:tcPr>
            <w:tcW w:type="dxa" w:w="700"/>
            <w:tcMar>
              <w:top w:type="dxa" w:w="60"/>
              <w:left w:type="dxa" w:w="100"/>
              <w:bottom w:type="dxa" w:w="60"/>
              <w:right w:type="dxa" w:w="100"/>
            </w:tcMar>
          </w:tcPr>
          <w:p>
            <w:pPr>
              <w:spacing w:after="0"/>
            </w:pPr>
            <w:r>
              <w:t xml:space="preserve">1</w:t>
            </w:r>
          </w:p>
        </w:tc>
        <w:tc>
          <w:tcPr>
            <w:tcW w:type="dxa" w:w="4400"/>
            <w:tcMar>
              <w:top w:type="dxa" w:w="60"/>
              <w:left w:type="dxa" w:w="100"/>
              <w:bottom w:type="dxa" w:w="60"/>
              <w:right w:type="dxa" w:w="100"/>
            </w:tcMar>
          </w:tcPr>
          <w:p>
            <w:pPr>
              <w:spacing w:after="0"/>
            </w:pPr>
            <w:r>
              <w:t xml:space="preserve">"findings/root causes/recommendations logically linked... limitations clearly and honestly stated"</w:t>
            </w:r>
          </w:p>
        </w:tc>
      </w:tr>
    </w:tbl>
    <w:p>
      <w:pPr>
        <w:spacing w:after="120"/>
      </w:pPr>
    </w:p>
    <w:p>
      <w:pPr>
        <w:spacing w:after="120"/>
      </w:pPr>
      <w:r>
        <w:t xml:space="preserve">The judge reproduced an earlier scoring run exactly (4.8 / 4.2 / 5.0), a positive reliability signal. These scores correspond to the pre-hub Gemini run; re-judging a current hub-pipeline dump would keep Tier 3 aligned with the architecture described in Section 2 (advisable, not blocking).</w:t>
      </w:r>
    </w:p>
    <w:p>
      <w:pPr>
        <w:pStyle w:val="Heading2"/>
        <w:spacing w:after="120" w:before="240"/>
      </w:pPr>
      <w:r>
        <w:t xml:space="preserve">5.5 Latency and Cost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DCE3EF" w:val="clear"/>
            <w:tcMar>
              <w:top w:type="dxa" w:w="60"/>
              <w:left w:type="dxa" w:w="100"/>
              <w:bottom w:type="dxa" w:w="60"/>
              <w:right w:type="dxa" w:w="100"/>
            </w:tcMar>
          </w:tcPr>
          <w:p>
            <w:pPr>
              <w:spacing w:after="0"/>
            </w:pPr>
            <w:r>
              <w:rPr>
                <w:b/>
                <w:bCs/>
              </w:rPr>
              <w:t xml:space="preserve">Stage</w:t>
            </w:r>
          </w:p>
        </w:tc>
        <w:tc>
          <w:tcPr>
            <w:tcW w:type="dxa" w:w="6000"/>
            <w:shd w:fill="DCE3EF" w:val="clear"/>
            <w:tcMar>
              <w:top w:type="dxa" w:w="60"/>
              <w:left w:type="dxa" w:w="100"/>
              <w:bottom w:type="dxa" w:w="60"/>
              <w:right w:type="dxa" w:w="100"/>
            </w:tcMar>
          </w:tcPr>
          <w:p>
            <w:pPr>
              <w:spacing w:after="0"/>
            </w:pPr>
            <w:r>
              <w:rPr>
                <w:b/>
                <w:bCs/>
              </w:rPr>
              <w:t xml:space="preserve">Time (73 reviews)</w:t>
            </w:r>
          </w:p>
        </w:tc>
      </w:tr>
      <w:tr>
        <w:tc>
          <w:tcPr>
            <w:tcW w:type="dxa" w:w="3000"/>
            <w:tcMar>
              <w:top w:type="dxa" w:w="60"/>
              <w:left w:type="dxa" w:w="100"/>
              <w:bottom w:type="dxa" w:w="60"/>
              <w:right w:type="dxa" w:w="100"/>
            </w:tcMar>
          </w:tcPr>
          <w:p>
            <w:pPr>
              <w:spacing w:after="0"/>
            </w:pPr>
            <w:r>
              <w:t xml:space="preserve">analysis</w:t>
            </w:r>
          </w:p>
        </w:tc>
        <w:tc>
          <w:tcPr>
            <w:tcW w:type="dxa" w:w="6000"/>
            <w:tcMar>
              <w:top w:type="dxa" w:w="60"/>
              <w:left w:type="dxa" w:w="100"/>
              <w:bottom w:type="dxa" w:w="60"/>
              <w:right w:type="dxa" w:w="100"/>
            </w:tcMar>
          </w:tcPr>
          <w:p>
            <w:pPr>
              <w:spacing w:after="0"/>
            </w:pPr>
            <w:r>
              <w:t xml:space="preserve">192.06 s (~74% of wall time)</w:t>
            </w:r>
          </w:p>
        </w:tc>
      </w:tr>
      <w:tr>
        <w:tc>
          <w:tcPr>
            <w:tcW w:type="dxa" w:w="3000"/>
            <w:tcMar>
              <w:top w:type="dxa" w:w="60"/>
              <w:left w:type="dxa" w:w="100"/>
              <w:bottom w:type="dxa" w:w="60"/>
              <w:right w:type="dxa" w:w="100"/>
            </w:tcMar>
          </w:tcPr>
          <w:p>
            <w:pPr>
              <w:spacing w:after="0"/>
            </w:pPr>
            <w:r>
              <w:t xml:space="preserve">reasoning</w:t>
            </w:r>
          </w:p>
        </w:tc>
        <w:tc>
          <w:tcPr>
            <w:tcW w:type="dxa" w:w="6000"/>
            <w:tcMar>
              <w:top w:type="dxa" w:w="60"/>
              <w:left w:type="dxa" w:w="100"/>
              <w:bottom w:type="dxa" w:w="60"/>
              <w:right w:type="dxa" w:w="100"/>
            </w:tcMar>
          </w:tcPr>
          <w:p>
            <w:pPr>
              <w:spacing w:after="0"/>
            </w:pPr>
            <w:r>
              <w:t xml:space="preserve">31.12 s</w:t>
            </w:r>
          </w:p>
        </w:tc>
      </w:tr>
      <w:tr>
        <w:tc>
          <w:tcPr>
            <w:tcW w:type="dxa" w:w="3000"/>
            <w:tcMar>
              <w:top w:type="dxa" w:w="60"/>
              <w:left w:type="dxa" w:w="100"/>
              <w:bottom w:type="dxa" w:w="60"/>
              <w:right w:type="dxa" w:w="100"/>
            </w:tcMar>
          </w:tcPr>
          <w:p>
            <w:pPr>
              <w:spacing w:after="0"/>
            </w:pPr>
            <w:r>
              <w:t xml:space="preserve">strategy</w:t>
            </w:r>
          </w:p>
        </w:tc>
        <w:tc>
          <w:tcPr>
            <w:tcW w:type="dxa" w:w="6000"/>
            <w:tcMar>
              <w:top w:type="dxa" w:w="60"/>
              <w:left w:type="dxa" w:w="100"/>
              <w:bottom w:type="dxa" w:w="60"/>
              <w:right w:type="dxa" w:w="100"/>
            </w:tcMar>
          </w:tcPr>
          <w:p>
            <w:pPr>
              <w:spacing w:after="0"/>
            </w:pPr>
            <w:r>
              <w:t xml:space="preserve">16.82 s</w:t>
            </w:r>
          </w:p>
        </w:tc>
      </w:tr>
      <w:tr>
        <w:tc>
          <w:tcPr>
            <w:tcW w:type="dxa" w:w="3000"/>
            <w:tcMar>
              <w:top w:type="dxa" w:w="60"/>
              <w:left w:type="dxa" w:w="100"/>
              <w:bottom w:type="dxa" w:w="60"/>
              <w:right w:type="dxa" w:w="100"/>
            </w:tcMar>
          </w:tcPr>
          <w:p>
            <w:pPr>
              <w:spacing w:after="0"/>
            </w:pPr>
            <w:r>
              <w:t xml:space="preserve">report</w:t>
            </w:r>
          </w:p>
        </w:tc>
        <w:tc>
          <w:tcPr>
            <w:tcW w:type="dxa" w:w="6000"/>
            <w:tcMar>
              <w:top w:type="dxa" w:w="60"/>
              <w:left w:type="dxa" w:w="100"/>
              <w:bottom w:type="dxa" w:w="60"/>
              <w:right w:type="dxa" w:w="100"/>
            </w:tcMar>
          </w:tcPr>
          <w:p>
            <w:pPr>
              <w:spacing w:after="0"/>
            </w:pPr>
            <w:r>
              <w:t xml:space="preserve">20.34 s</w:t>
            </w:r>
          </w:p>
        </w:tc>
      </w:tr>
      <w:tr>
        <w:tc>
          <w:tcPr>
            <w:tcW w:type="dxa" w:w="3000"/>
            <w:tcMar>
              <w:top w:type="dxa" w:w="60"/>
              <w:left w:type="dxa" w:w="100"/>
              <w:bottom w:type="dxa" w:w="60"/>
              <w:right w:type="dxa" w:w="100"/>
            </w:tcMar>
          </w:tcPr>
          <w:p>
            <w:pPr>
              <w:spacing w:after="0"/>
            </w:pPr>
            <w:r>
              <w:rPr>
                <w:b/>
                <w:bCs/>
              </w:rPr>
              <w:t xml:space="preserve">total</w:t>
            </w:r>
          </w:p>
        </w:tc>
        <w:tc>
          <w:tcPr>
            <w:tcW w:type="dxa" w:w="6000"/>
            <w:tcMar>
              <w:top w:type="dxa" w:w="60"/>
              <w:left w:type="dxa" w:w="100"/>
              <w:bottom w:type="dxa" w:w="60"/>
              <w:right w:type="dxa" w:w="100"/>
            </w:tcMar>
          </w:tcPr>
          <w:p>
            <w:pPr>
              <w:spacing w:after="0"/>
            </w:pPr>
            <w:r>
              <w:rPr>
                <w:b/>
                <w:bCs/>
              </w:rPr>
              <w:t xml:space="preserve">260.33 s</w:t>
            </w:r>
            <w:r>
              <w:t xml:space="preserve"> → </w:t>
            </w:r>
            <w:r>
              <w:rPr>
                <w:b/>
                <w:bCs/>
              </w:rPr>
              <w:t xml:space="preserve">356.62 s / 100 reviews</w:t>
            </w:r>
          </w:p>
        </w:tc>
      </w:tr>
      <w:tr>
        <w:tc>
          <w:tcPr>
            <w:tcW w:type="dxa" w:w="3000"/>
            <w:tcMar>
              <w:top w:type="dxa" w:w="60"/>
              <w:left w:type="dxa" w:w="100"/>
              <w:bottom w:type="dxa" w:w="60"/>
              <w:right w:type="dxa" w:w="100"/>
            </w:tcMar>
          </w:tcPr>
          <w:p>
            <w:pPr>
              <w:spacing w:after="0"/>
            </w:pPr>
            <w:r>
              <w:rPr>
                <w:b/>
                <w:bCs/>
              </w:rPr>
              <w:t xml:space="preserve">tokens</w:t>
            </w:r>
          </w:p>
        </w:tc>
        <w:tc>
          <w:tcPr>
            <w:tcW w:type="dxa" w:w="6000"/>
            <w:tcMar>
              <w:top w:type="dxa" w:w="60"/>
              <w:left w:type="dxa" w:w="100"/>
              <w:bottom w:type="dxa" w:w="60"/>
              <w:right w:type="dxa" w:w="100"/>
            </w:tcMar>
          </w:tcPr>
          <w:p>
            <w:pPr>
              <w:spacing w:after="0"/>
            </w:pPr>
            <w:r>
              <w:rPr>
                <w:b/>
                <w:bCs/>
              </w:rPr>
              <w:t xml:space="preserve">108,270</w:t>
            </w:r>
            <w:r>
              <w:t xml:space="preserve"> → </w:t>
            </w:r>
            <w:r>
              <w:rPr>
                <w:b/>
                <w:bCs/>
              </w:rPr>
              <w:t xml:space="preserve">148,315 / 100 reviews</w:t>
            </w:r>
          </w:p>
        </w:tc>
      </w:tr>
    </w:tbl>
    <w:p>
      <w:pPr>
        <w:spacing w:after="120"/>
      </w:pPr>
    </w:p>
    <w:p>
      <w:pPr>
        <w:spacing w:after="120"/>
      </w:pPr>
      <w:r>
        <w:t xml:space="preserve">Analysis dominates because it is per-review LLM classification in batches of 10; it is the only stage worth optimising (larger batches or concurrency) if demo latency matters. Reproducibility across two seed-42 runs: PASS. Failure-injection: </w:t>
      </w:r>
      <w:r>
        <w:rPr>
          <w:b/>
          <w:bCs/>
        </w:rPr>
        <w:t xml:space="preserve">8/8</w:t>
      </w:r>
      <w:r>
        <w:t xml:space="preserve"> scenarios pass in the current harness (healthy proceed, low-confidence flagging, insufficient-data halt, critical-majority-failure retry, critical-exhausted halt, fabricated-evidence retry, non-critical give-up on record, report give-up halt). Earlier documentation cites 6/6 — that count predates the hub's two additional scenarios.</w:t>
      </w:r>
    </w:p>
    <w:p>
      <w:pPr>
        <w:pBdr>
          <w:left w:val="single" w:color="B45309" w:sz="18" w:space="4"/>
        </w:pBdr>
        <w:shd w:fill="FFF2CC" w:val="clear"/>
        <w:spacing w:after="140"/>
        <w:ind w:left="200"/>
      </w:pPr>
      <w:r>
        <w:rPr>
          <w:b/>
          <w:bCs/>
          <w:color w:val="B45309"/>
        </w:rPr>
        <w:t xml:space="preserve">NEEDS HUMAN INPUT / LIVE DATA — </w:t>
      </w:r>
      <w:r>
        <w:t xml:space="preserve">The latency/token figures are prose-only (the harness printed but did not dump them). Re-run python -m eval.harness on the current hub graph to capture committed, current numbers — the hub adds orchestrator passes, so timings will differ slightly from the pre-hub run quoted above.</w:t>
      </w:r>
    </w:p>
    <w:p>
      <w:pPr>
        <w:pStyle w:val="Heading2"/>
        <w:spacing w:after="120" w:before="240"/>
      </w:pPr>
      <w:r>
        <w:t xml:space="preserve">5.6 Local vs Cloud Comparison</w:t>
      </w:r>
    </w:p>
    <w:p>
      <w:pPr>
        <w:pBdr>
          <w:left w:val="single" w:color="B45309" w:sz="18" w:space="4"/>
        </w:pBdr>
        <w:shd w:fill="FFF2CC" w:val="clear"/>
        <w:spacing w:after="140"/>
        <w:ind w:left="200"/>
      </w:pPr>
      <w:r>
        <w:rPr>
          <w:b/>
          <w:bCs/>
          <w:color w:val="B45309"/>
        </w:rPr>
        <w:t xml:space="preserve">NEEDS HUMAN INPUT / LIVE DATA — </w:t>
      </w:r>
      <w:r>
        <w:t xml:space="preserve">REQUIRES LIVE RUNS — this comparison has not been performed. No local-Ollama run exists anywhere in the repository; the only committed non-Gemini live dump used Groq (llama-3.3-70b-versatile, backend/out_hub/, Tier 1 22/22 — a useful third data point but neither 'local' nor the approved cloud profile). To complete this section: (1) run the pipeline on the Ollama profile (.env.local.example) against the same 73-review LOVE Grille set; (2) re-run the Gemini profile with the current code; (3) compare Tier 1 pass rates, Tier 2 scores, latency, and tokens, citing each run's recorded run_config as evidence. Until then the report can only claim that the local profile is implemented and provider-verified, not quantitatively compared.</w:t>
      </w:r>
    </w:p>
    <w:p>
      <w:pPr>
        <w:pStyle w:val="Heading1"/>
        <w:spacing w:after="160" w:before="360"/>
      </w:pPr>
      <w:r>
        <w:t xml:space="preserve">6. Demonstration Scenarios</w:t>
      </w:r>
    </w:p>
    <w:p>
      <w:pPr>
        <w:pStyle w:val="Heading2"/>
        <w:spacing w:after="120" w:before="240"/>
      </w:pPr>
      <w:r>
        <w:t xml:space="preserve">6.1 Scenario 1 — End-to-End Report for a Restaurant</w:t>
      </w:r>
    </w:p>
    <w:p>
      <w:pPr>
        <w:spacing w:after="120"/>
      </w:pPr>
      <w:r>
        <w:t xml:space="preserve">The canonical demo: search "LOVE Grille", confirm the Philadelphia branch from the fuzzy-match candidates, and stream the report. The committed artifacts of exactly this run exist in </w:t>
      </w:r>
      <w:r>
        <w:rPr>
          <w:rFonts w:ascii="Consolas" w:cs="Consolas" w:eastAsia="Consolas" w:hAnsi="Consolas"/>
          <w:sz w:val="19"/>
          <w:szCs w:val="19"/>
        </w:rPr>
        <w:t xml:space="preserve">backend/out/</w:t>
      </w:r>
      <w:r>
        <w:t xml:space="preserve"> — 73/73 successful analyses, 5 patterns with evidence IDs, 5 root causes, 5 prioritised recommendations, and a final report whose top recommendation (a QR-code table-feedback system) was the single item the Tier 3 judge scored 5/5 for actionability. Pipeline status </w:t>
      </w:r>
      <w:r>
        <w:rPr>
          <w:rFonts w:ascii="Consolas" w:cs="Consolas" w:eastAsia="Consolas" w:hAnsi="Consolas"/>
          <w:sz w:val="19"/>
          <w:szCs w:val="19"/>
        </w:rPr>
        <w:t xml:space="preserve">complete</w:t>
      </w:r>
      <w:r>
        <w:t xml:space="preserve">: 0 agents skipped, 0 failures, 0 retries.</w:t>
      </w:r>
    </w:p>
    <w:p>
      <w:pPr>
        <w:pBdr>
          <w:left w:val="single" w:color="B45309" w:sz="18" w:space="4"/>
        </w:pBdr>
        <w:shd w:fill="FFF2CC" w:val="clear"/>
        <w:spacing w:after="140"/>
        <w:ind w:left="200"/>
      </w:pPr>
      <w:r>
        <w:rPr>
          <w:b/>
          <w:bCs/>
          <w:color w:val="B45309"/>
        </w:rPr>
        <w:t xml:space="preserve">NEEDS HUMAN INPUT / LIVE DATA — </w:t>
      </w:r>
      <w:r>
        <w:t xml:space="preserve">FIGURE(S) — no UI screenshots exist anywhere in the repository. Capture from a live run: (a) the search/branch-confirmation view, (b) the Pipeline Monitor mid-run showing SSE stage progress and timings, (c) the final Dashboard report. One end-to-end run against the built SQLite index unlocks all three.</w:t>
      </w:r>
    </w:p>
    <w:p>
      <w:pPr>
        <w:pStyle w:val="Heading2"/>
        <w:spacing w:after="120" w:before="240"/>
      </w:pPr>
      <w:r>
        <w:t xml:space="preserve">6.2 Scenario 2 — Agent Failure and Recovery</w:t>
      </w:r>
    </w:p>
    <w:p>
      <w:pPr>
        <w:spacing w:after="120"/>
      </w:pPr>
      <w:r>
        <w:t xml:space="preserve">Recovery behaviour is demonstrable offline and deterministically: </w:t>
      </w:r>
      <w:r>
        <w:rPr>
          <w:rFonts w:ascii="Consolas" w:cs="Consolas" w:eastAsia="Consolas" w:hAnsi="Consolas"/>
          <w:sz w:val="19"/>
          <w:szCs w:val="19"/>
        </w:rPr>
        <w:t xml:space="preserve">python -m eval.harness --skip-live</w:t>
      </w:r>
      <w:r>
        <w:t xml:space="preserve"> replays the 8 failure-injection scenarios through the real graph with mock agents — showing a critical-stage failure retried then halting cleanly when exhausted, a fabricated evidence ID triggering a retry with the measured reason injected into the agent's prompt, and a non-critical stage giving up on record while the pipeline still ships a report flagged </w:t>
      </w:r>
      <w:r>
        <w:rPr>
          <w:rFonts w:ascii="Consolas" w:cs="Consolas" w:eastAsia="Consolas" w:hAnsi="Consolas"/>
          <w:sz w:val="19"/>
          <w:szCs w:val="19"/>
        </w:rPr>
        <w:t xml:space="preserve">gave_up_after_retries</w:t>
      </w:r>
      <w:r>
        <w:t xml:space="preserve">. The live evidence for supervision working end-to-end is the Tier 1 mistyped-ID catch (Section 5.2): a real LLM defect detected by the same </w:t>
      </w:r>
      <w:r>
        <w:rPr>
          <w:rFonts w:ascii="Consolas" w:cs="Consolas" w:eastAsia="Consolas" w:hAnsi="Consolas"/>
          <w:sz w:val="19"/>
          <w:szCs w:val="19"/>
        </w:rPr>
        <w:t xml:space="preserve">measure</w:t>
      </w:r>
      <w:r>
        <w:t xml:space="preserve"> logic the orchestrator now runs mid-pipeline.</w:t>
      </w:r>
    </w:p>
    <w:p>
      <w:pPr>
        <w:pStyle w:val="Heading2"/>
        <w:spacing w:after="120" w:before="240"/>
      </w:pPr>
      <w:r>
        <w:t xml:space="preserve">6.3 Scenario 3 — Local-LLM Run (Ollama)</w:t>
      </w:r>
    </w:p>
    <w:p>
      <w:pPr>
        <w:spacing w:after="120"/>
      </w:pPr>
      <w:r>
        <w:t xml:space="preserve">Procedure: copy </w:t>
      </w:r>
      <w:r>
        <w:rPr>
          <w:rFonts w:ascii="Consolas" w:cs="Consolas" w:eastAsia="Consolas" w:hAnsi="Consolas"/>
          <w:sz w:val="19"/>
          <w:szCs w:val="19"/>
        </w:rPr>
        <w:t xml:space="preserve">.env.local.example</w:t>
      </w:r>
      <w:r>
        <w:t xml:space="preserve"> over </w:t>
      </w:r>
      <w:r>
        <w:rPr>
          <w:rFonts w:ascii="Consolas" w:cs="Consolas" w:eastAsia="Consolas" w:hAnsi="Consolas"/>
          <w:sz w:val="19"/>
          <w:szCs w:val="19"/>
        </w:rPr>
        <w:t xml:space="preserve">.env</w:t>
      </w:r>
      <w:r>
        <w:t xml:space="preserve">, start Ollama with </w:t>
      </w:r>
      <w:r>
        <w:rPr>
          <w:rFonts w:ascii="Consolas" w:cs="Consolas" w:eastAsia="Consolas" w:hAnsi="Consolas"/>
          <w:sz w:val="19"/>
          <w:szCs w:val="19"/>
        </w:rPr>
        <w:t xml:space="preserve">llama3.1</w:t>
      </w:r>
      <w:r>
        <w:t xml:space="preserve">, and re-run Scenario 1. The dump's </w:t>
      </w:r>
      <w:r>
        <w:rPr>
          <w:rFonts w:ascii="Consolas" w:cs="Consolas" w:eastAsia="Consolas" w:hAnsi="Consolas"/>
          <w:sz w:val="19"/>
          <w:szCs w:val="19"/>
        </w:rPr>
        <w:t xml:space="preserve">_summary.json -&gt; run_config</w:t>
      </w:r>
      <w:r>
        <w:t xml:space="preserve"> will read </w:t>
      </w:r>
      <w:r>
        <w:rPr>
          <w:rFonts w:ascii="Consolas" w:cs="Consolas" w:eastAsia="Consolas" w:hAnsi="Consolas"/>
          <w:sz w:val="19"/>
          <w:szCs w:val="19"/>
        </w:rPr>
        <w:t xml:space="preserve">ollama-local (openai-compatible)</w:t>
      </w:r>
      <w:r>
        <w:t xml:space="preserve">, which is the demonstrable evidence that the same code ran on a locally-deployed LLM.</w:t>
      </w:r>
    </w:p>
    <w:p>
      <w:pPr>
        <w:pBdr>
          <w:left w:val="single" w:color="B45309" w:sz="18" w:space="4"/>
        </w:pBdr>
        <w:shd w:fill="FFF2CC" w:val="clear"/>
        <w:spacing w:after="140"/>
        <w:ind w:left="200"/>
      </w:pPr>
      <w:r>
        <w:rPr>
          <w:b/>
          <w:bCs/>
          <w:color w:val="B45309"/>
        </w:rPr>
        <w:t xml:space="preserve">NEEDS HUMAN INPUT / LIVE DATA — </w:t>
      </w:r>
      <w:r>
        <w:t xml:space="preserve">This scenario has not yet been executed — no Ollama run artifact exists. Run it once and keep the dump; it is also the missing half of Section 5.6.</w:t>
      </w:r>
    </w:p>
    <w:p>
      <w:pPr>
        <w:pStyle w:val="Heading1"/>
        <w:spacing w:after="160" w:before="360"/>
      </w:pPr>
      <w:r>
        <w:t xml:space="preserve">7. Critical Analysis of the Implementation</w:t>
      </w:r>
    </w:p>
    <w:p>
      <w:pPr>
        <w:pStyle w:val="Heading2"/>
        <w:spacing w:after="120" w:before="240"/>
      </w:pPr>
      <w:r>
        <w:t xml:space="preserve">7.1 Strengths</w:t>
      </w:r>
    </w:p>
    <w:p>
      <w:pPr>
        <w:pStyle w:val="ListParagraph"/>
        <w:numPr>
          <w:ilvl w:val="0"/>
          <w:numId w:val="2"/>
        </w:numPr>
        <w:spacing w:after="80"/>
      </w:pPr>
      <w:r>
        <w:rPr>
          <w:b/>
          <w:bCs/>
        </w:rPr>
        <w:t xml:space="preserve">Provider-agnostic by construction.</w:t>
      </w:r>
      <w:r>
        <w:t xml:space="preserve"> One OpenAI-compatible abstraction, environment-selected; the same code verifiably ran on Gemini and Groq, with a wired local Ollama profile — plus per-run provenance recording.</w:t>
      </w:r>
    </w:p>
    <w:p>
      <w:pPr>
        <w:pStyle w:val="ListParagraph"/>
        <w:numPr>
          <w:ilvl w:val="0"/>
          <w:numId w:val="2"/>
        </w:numPr>
        <w:spacing w:after="80"/>
      </w:pPr>
      <w:r>
        <w:rPr>
          <w:b/>
          <w:bCs/>
        </w:rPr>
        <w:t xml:space="preserve">Structured contracts everywhere.</w:t>
      </w:r>
      <w:r>
        <w:t xml:space="preserve"> Every inter-agent payload is Pydantic-validated at generation time and re-measured by the hub; evidence lists cannot be empty; limitations are schema-mandatory.</w:t>
      </w:r>
    </w:p>
    <w:p>
      <w:pPr>
        <w:pStyle w:val="ListParagraph"/>
        <w:numPr>
          <w:ilvl w:val="0"/>
          <w:numId w:val="2"/>
        </w:numPr>
        <w:spacing w:after="80"/>
      </w:pPr>
      <w:r>
        <w:rPr>
          <w:b/>
          <w:bCs/>
        </w:rPr>
        <w:t xml:space="preserve">Bounded, feedback-carrying recovery.</w:t>
      </w:r>
      <w:r>
        <w:t xml:space="preserve"> Two-retry caps at both the agent and graph level, retries that carry the measured failure into the prompt, and clean halts for critical stages instead of hollow reports.</w:t>
      </w:r>
    </w:p>
    <w:p>
      <w:pPr>
        <w:pStyle w:val="ListParagraph"/>
        <w:numPr>
          <w:ilvl w:val="0"/>
          <w:numId w:val="2"/>
        </w:numPr>
        <w:spacing w:after="80"/>
      </w:pPr>
      <w:r>
        <w:rPr>
          <w:b/>
          <w:bCs/>
        </w:rPr>
        <w:t xml:space="preserve">A four-tier evaluation harness with teeth.</w:t>
      </w:r>
      <w:r>
        <w:t xml:space="preserve"> Its single live failure was a genuine caught defect — the harness demonstrably detects real errors without false positives.</w:t>
      </w:r>
    </w:p>
    <w:p>
      <w:pPr>
        <w:pStyle w:val="ListParagraph"/>
        <w:numPr>
          <w:ilvl w:val="0"/>
          <w:numId w:val="2"/>
        </w:numPr>
        <w:spacing w:after="80"/>
      </w:pPr>
      <w:r>
        <w:rPr>
          <w:b/>
          <w:bCs/>
        </w:rPr>
        <w:t xml:space="preserve">Test discipline:</w:t>
      </w:r>
      <w:r>
        <w:t xml:space="preserve"> 119 tests collected, 113 passing offline without any API key (6 live integration tests deselected by marker), including 23 supervision unit tests fixtured on real run dumps.</w:t>
      </w:r>
    </w:p>
    <w:p>
      <w:pPr>
        <w:pStyle w:val="Heading2"/>
        <w:spacing w:after="120" w:before="240"/>
      </w:pPr>
      <w:r>
        <w:t xml:space="preserve">7.2 Limitations and Known Issues</w:t>
      </w:r>
    </w:p>
    <w:p>
      <w:pPr>
        <w:pStyle w:val="ListParagraph"/>
        <w:numPr>
          <w:ilvl w:val="0"/>
          <w:numId w:val="2"/>
        </w:numPr>
        <w:spacing w:after="80"/>
      </w:pPr>
      <w:r>
        <w:rPr>
          <w:b/>
          <w:bCs/>
        </w:rPr>
        <w:t xml:space="preserve">Business identity at the API boundary:</w:t>
      </w:r>
      <w:r>
        <w:t xml:space="preserve"> </w:t>
      </w:r>
      <w:r>
        <w:rPr>
          <w:rFonts w:ascii="Consolas" w:cs="Consolas" w:eastAsia="Consolas" w:hAnsi="Consolas"/>
          <w:sz w:val="19"/>
          <w:szCs w:val="19"/>
        </w:rPr>
        <w:t xml:space="preserve">business_id</w:t>
      </w:r>
      <w:r>
        <w:t xml:space="preserve"> and </w:t>
      </w:r>
      <w:r>
        <w:rPr>
          <w:rFonts w:ascii="Consolas" w:cs="Consolas" w:eastAsia="Consolas" w:hAnsi="Consolas"/>
          <w:sz w:val="19"/>
          <w:szCs w:val="19"/>
        </w:rPr>
        <w:t xml:space="preserve">restaurant_name</w:t>
      </w:r>
      <w:r>
        <w:t xml:space="preserve"> are accepted independently, fuzzy matching has no minimum acceptance score, and the report endpoint auto-selects the first match when no ID is supplied — a direct API client can mislabel one business's reviews with another's name.</w:t>
      </w:r>
    </w:p>
    <w:p>
      <w:pPr>
        <w:pStyle w:val="ListParagraph"/>
        <w:numPr>
          <w:ilvl w:val="0"/>
          <w:numId w:val="2"/>
        </w:numPr>
        <w:spacing w:after="80"/>
      </w:pPr>
      <w:r>
        <w:rPr>
          <w:b/>
          <w:bCs/>
        </w:rPr>
        <w:t xml:space="preserve">Reasoning sees statistics, not text.</w:t>
      </w:r>
      <w:r>
        <w:t xml:space="preserve"> The Reasoning Agent receives only review IDs, sentiments, and aspect labels — no review text, dates, or stars — so root causes are inferred from aspect statistics rather than what reviewers actually wrote, and no temporal reasoning is possible. Forwarding text and dates is the single highest-value improvement identified and deferred (Section 9.2).</w:t>
      </w:r>
    </w:p>
    <w:p>
      <w:pPr>
        <w:pStyle w:val="ListParagraph"/>
        <w:numPr>
          <w:ilvl w:val="0"/>
          <w:numId w:val="2"/>
        </w:numPr>
        <w:spacing w:after="80"/>
      </w:pPr>
      <w:r>
        <w:rPr>
          <w:b/>
          <w:bCs/>
        </w:rPr>
        <w:t xml:space="preserve">Batch failure granularity:</w:t>
      </w:r>
      <w:r>
        <w:t xml:space="preserve"> one failed batch of 10 costs all 10 reviews (each becomes an </w:t>
      </w:r>
      <w:r>
        <w:rPr>
          <w:rFonts w:ascii="Consolas" w:cs="Consolas" w:eastAsia="Consolas" w:hAnsi="Consolas"/>
          <w:sz w:val="19"/>
          <w:szCs w:val="19"/>
        </w:rPr>
        <w:t xml:space="preserve">AgentError</w:t>
      </w:r>
      <w:r>
        <w:t xml:space="preserve">), and analysis proceeds as long as the failure ratio is not above 50%.</w:t>
      </w:r>
    </w:p>
    <w:p>
      <w:pPr>
        <w:pStyle w:val="ListParagraph"/>
        <w:numPr>
          <w:ilvl w:val="0"/>
          <w:numId w:val="2"/>
        </w:numPr>
        <w:spacing w:after="80"/>
      </w:pPr>
      <w:r>
        <w:rPr>
          <w:b/>
          <w:bCs/>
        </w:rPr>
        <w:t xml:space="preserve">Non-atomic index build:</w:t>
      </w:r>
      <w:r>
        <w:t xml:space="preserve"> an interrupted </w:t>
      </w:r>
      <w:r>
        <w:rPr>
          <w:rFonts w:ascii="Consolas" w:cs="Consolas" w:eastAsia="Consolas" w:hAnsi="Consolas"/>
          <w:sz w:val="19"/>
          <w:szCs w:val="19"/>
        </w:rPr>
        <w:t xml:space="preserve">build_db.py</w:t>
      </w:r>
      <w:r>
        <w:t xml:space="preserve"> leaves a partial database that the loader's existence-check accepts as valid.</w:t>
      </w:r>
    </w:p>
    <w:p>
      <w:pPr>
        <w:pStyle w:val="ListParagraph"/>
        <w:numPr>
          <w:ilvl w:val="0"/>
          <w:numId w:val="2"/>
        </w:numPr>
        <w:spacing w:after="80"/>
      </w:pPr>
      <w:r>
        <w:rPr>
          <w:b/>
          <w:bCs/>
        </w:rPr>
        <w:t xml:space="preserve">Frontend gaps:</w:t>
      </w:r>
      <w:r>
        <w:t xml:space="preserve"> Dashboard and Pipeline Monitor own separate state (stale-report and duplicate-run risks); the Monitor does not yet consume the hub's </w:t>
      </w:r>
      <w:r>
        <w:rPr>
          <w:rFonts w:ascii="Consolas" w:cs="Consolas" w:eastAsia="Consolas" w:hAnsi="Consolas"/>
          <w:sz w:val="19"/>
          <w:szCs w:val="19"/>
        </w:rPr>
        <w:t xml:space="preserve">verdict</w:t>
      </w:r>
      <w:r>
        <w:t xml:space="preserve">/attempt SSE events; accessibility needs hardening (focus outlines, live regions, colour-only state, some sub-AA contrast).</w:t>
      </w:r>
    </w:p>
    <w:p>
      <w:pPr>
        <w:pStyle w:val="ListParagraph"/>
        <w:numPr>
          <w:ilvl w:val="0"/>
          <w:numId w:val="2"/>
        </w:numPr>
        <w:spacing w:after="80"/>
      </w:pPr>
      <w:r>
        <w:rPr>
          <w:b/>
          <w:bCs/>
        </w:rPr>
        <w:t xml:space="preserve">Dependency hygiene:</w:t>
      </w:r>
      <w:r>
        <w:t xml:space="preserve"> backend requirements unpinned and carrying two unused fuzzy-matching packages; </w:t>
      </w:r>
      <w:r>
        <w:rPr>
          <w:rFonts w:ascii="Consolas" w:cs="Consolas" w:eastAsia="Consolas" w:hAnsi="Consolas"/>
          <w:sz w:val="19"/>
          <w:szCs w:val="19"/>
        </w:rPr>
        <w:t xml:space="preserve">openpyxl</w:t>
      </w:r>
      <w:r>
        <w:t xml:space="preserve"> missing; frontend </w:t>
      </w:r>
      <w:r>
        <w:rPr>
          <w:rFonts w:ascii="Consolas" w:cs="Consolas" w:eastAsia="Consolas" w:hAnsi="Consolas"/>
          <w:sz w:val="19"/>
          <w:szCs w:val="19"/>
        </w:rPr>
        <w:t xml:space="preserve">package.json</w:t>
      </w:r>
      <w:r>
        <w:t xml:space="preserve"> declares </w:t>
      </w:r>
      <w:r>
        <w:rPr>
          <w:rFonts w:ascii="Consolas" w:cs="Consolas" w:eastAsia="Consolas" w:hAnsi="Consolas"/>
          <w:sz w:val="19"/>
          <w:szCs w:val="19"/>
        </w:rPr>
        <w:t xml:space="preserve">latest</w:t>
      </w:r>
      <w:r>
        <w:t xml:space="preserve"> (the lockfile pins actuals). No CI workflow runs any of the checks automatically.</w:t>
      </w:r>
    </w:p>
    <w:p>
      <w:pPr>
        <w:pStyle w:val="ListParagraph"/>
        <w:numPr>
          <w:ilvl w:val="0"/>
          <w:numId w:val="2"/>
        </w:numPr>
        <w:spacing w:after="80"/>
      </w:pPr>
      <w:r>
        <w:rPr>
          <w:b/>
          <w:bCs/>
        </w:rPr>
        <w:t xml:space="preserve">Evidence gaps for this report itself:</w:t>
      </w:r>
      <w:r>
        <w:t xml:space="preserve"> Tier 2 and latency artifacts are prose-backed only, and the committed Gemini dump predates </w:t>
      </w:r>
      <w:r>
        <w:rPr>
          <w:rFonts w:ascii="Consolas" w:cs="Consolas" w:eastAsia="Consolas" w:hAnsi="Consolas"/>
          <w:sz w:val="19"/>
          <w:szCs w:val="19"/>
        </w:rPr>
        <w:t xml:space="preserve">run_config</w:t>
      </w:r>
      <w:r>
        <w:t xml:space="preserve"> recording (flagged inline in Sections 2.5, 5.3, 5.5).</w:t>
      </w:r>
    </w:p>
    <w:p>
      <w:pPr>
        <w:pStyle w:val="Heading2"/>
        <w:spacing w:after="120" w:before="240"/>
      </w:pPr>
      <w:r>
        <w:t xml:space="preserve">7.3 Security and Deployment Considerations</w:t>
      </w:r>
    </w:p>
    <w:p>
      <w:pPr>
        <w:spacing w:after="120"/>
      </w:pPr>
      <w:r>
        <w:t xml:space="preserve">The API is deliberately a trusted-local-network demo: wildcard CORS, no authentication, no rate limiting, no LLM cost controls, and SSE error events that relay raw exception details. None of this is hidden — it is documented posture, acceptable for a course demonstration and explicitly not a public deployment. Hardening (auth, origin restrictions, error sanitisation, quota guards) is future work rather than a claimed feature.</w:t>
      </w:r>
    </w:p>
    <w:p>
      <w:pPr>
        <w:pStyle w:val="Heading2"/>
        <w:spacing w:after="120" w:before="240"/>
      </w:pPr>
      <w:r>
        <w:t xml:space="preserve">7.4 Design Trade-offs</w:t>
      </w:r>
    </w:p>
    <w:p>
      <w:pPr>
        <w:pStyle w:val="ListParagraph"/>
        <w:numPr>
          <w:ilvl w:val="0"/>
          <w:numId w:val="2"/>
        </w:numPr>
        <w:spacing w:after="80"/>
      </w:pPr>
      <w:r>
        <w:rPr>
          <w:b/>
          <w:bCs/>
        </w:rPr>
        <w:t xml:space="preserve">Sampling vs completeness:</w:t>
      </w:r>
      <w:r>
        <w:t xml:space="preserve"> a seeded ≤100-review sample keeps runs affordable and reproducible at the cost of coverage; the system compensates by stating the bound everywhere (schema-mandatory limitations, </w:t>
      </w:r>
      <w:r>
        <w:rPr>
          <w:rFonts w:ascii="Consolas" w:cs="Consolas" w:eastAsia="Consolas" w:hAnsi="Consolas"/>
          <w:sz w:val="19"/>
          <w:szCs w:val="19"/>
        </w:rPr>
        <w:t xml:space="preserve">sample_size</w:t>
      </w:r>
      <w:r>
        <w:t xml:space="preserve"> in the report) rather than pretending completeness. Note the median Yelp business has ~15 reviews, so for most businesses the cap is not the binding constraint — small-n is, which the hub flags (</w:t>
      </w:r>
      <w:r>
        <w:rPr>
          <w:rFonts w:ascii="Consolas" w:cs="Consolas" w:eastAsia="Consolas" w:hAnsi="Consolas"/>
          <w:sz w:val="19"/>
          <w:szCs w:val="19"/>
        </w:rPr>
        <w:t xml:space="preserve">low_confidence:n&lt;30</w:t>
      </w:r>
      <w:r>
        <w:t xml:space="preserve">).</w:t>
      </w:r>
    </w:p>
    <w:p>
      <w:pPr>
        <w:pStyle w:val="ListParagraph"/>
        <w:numPr>
          <w:ilvl w:val="0"/>
          <w:numId w:val="2"/>
        </w:numPr>
        <w:spacing w:after="80"/>
      </w:pPr>
      <w:r>
        <w:rPr>
          <w:b/>
          <w:bCs/>
        </w:rPr>
        <w:t xml:space="preserve">Prompted LLM vs fine-tuned ABSA:</w:t>
      </w:r>
      <w:r>
        <w:t xml:space="preserve"> published evaluations find prompting generally trails fine-tuned task-specific models on ABSA [15][16]. The team chose prompting for zero training cost, provider portability, and instant taxonomy changes — a flexibility/cost decision, not an accuracy-optimal one, and the report claims it as such.</w:t>
      </w:r>
    </w:p>
    <w:p>
      <w:pPr>
        <w:pStyle w:val="ListParagraph"/>
        <w:numPr>
          <w:ilvl w:val="0"/>
          <w:numId w:val="2"/>
        </w:numPr>
        <w:spacing w:after="80"/>
      </w:pPr>
      <w:r>
        <w:rPr>
          <w:b/>
          <w:bCs/>
        </w:rPr>
        <w:t xml:space="preserve">Deterministic vs LLM orchestration:</w:t>
      </w:r>
      <w:r>
        <w:t xml:space="preserve"> an LLM supervisor could route on nuance; a deterministic one is auditable, free, reproducible, and unit-testable. Given that every quantity worth routing on is already measurable in Python, the team kept the LLM out of the routine path (a logged LLM-escalation branch remains a ~15-line future option).</w:t>
      </w:r>
    </w:p>
    <w:p>
      <w:pPr>
        <w:pStyle w:val="ListParagraph"/>
        <w:numPr>
          <w:ilvl w:val="0"/>
          <w:numId w:val="2"/>
        </w:numPr>
        <w:spacing w:after="80"/>
      </w:pPr>
      <w:r>
        <w:rPr>
          <w:b/>
          <w:bCs/>
        </w:rPr>
        <w:t xml:space="preserve">Single vs multi-model:</w:t>
      </w:r>
      <w:r>
        <w:t xml:space="preserve"> one flash-class model for all four agents is cheap and simple; per-stage model selection (e.g. a stronger model only for reasoning) was left unexplored.</w:t>
      </w:r>
    </w:p>
    <w:p>
      <w:pPr>
        <w:pStyle w:val="ListParagraph"/>
        <w:numPr>
          <w:ilvl w:val="0"/>
          <w:numId w:val="2"/>
        </w:numPr>
        <w:spacing w:after="80"/>
      </w:pPr>
      <w:r>
        <w:rPr>
          <w:b/>
          <w:bCs/>
        </w:rPr>
        <w:t xml:space="preserve">Dropping </w:t>
      </w:r>
      <w:r>
        <w:rPr>
          <w:rFonts w:ascii="Consolas" w:cs="Consolas" w:eastAsia="Consolas" w:hAnsi="Consolas"/>
          <w:b/>
          <w:bCs/>
          <w:sz w:val="19"/>
          <w:szCs w:val="19"/>
        </w:rPr>
        <w:t xml:space="preserve">skip</w:t>
      </w:r>
      <w:r>
        <w:rPr>
          <w:b/>
          <w:bCs/>
        </w:rPr>
        <w:t xml:space="preserve">:</w:t>
      </w:r>
      <w:r>
        <w:t xml:space="preserve"> the redesign traded a five-verdict vocabulary for four, converting silent stage-skipping into on-record </w:t>
      </w:r>
      <w:r>
        <w:rPr>
          <w:rFonts w:ascii="Consolas" w:cs="Consolas" w:eastAsia="Consolas" w:hAnsi="Consolas"/>
          <w:sz w:val="19"/>
          <w:szCs w:val="19"/>
        </w:rPr>
        <w:t xml:space="preserve">proceed_with_warning</w:t>
      </w:r>
      <w:r>
        <w:t xml:space="preserve"> + flags — less magic, more traceability.</w:t>
      </w:r>
    </w:p>
    <w:p>
      <w:pPr>
        <w:pStyle w:val="Heading2"/>
        <w:spacing w:after="120" w:before="240"/>
      </w:pPr>
      <w:r>
        <w:t xml:space="preserve">7.5 Distinctive Contributions (Novelty Statement)</w:t>
      </w:r>
    </w:p>
    <w:p>
      <w:pPr>
        <w:spacing w:after="120"/>
      </w:pPr>
      <w:r>
        <w:t xml:space="preserve">Positioned as engineering contributions appropriate to a course project — each was checked against the literature survey in Section 5's citations and none is directly prescribed by a published method:</w:t>
      </w:r>
    </w:p>
    <w:p>
      <w:pPr>
        <w:pStyle w:val="ListParagraph"/>
        <w:numPr>
          <w:ilvl w:val="0"/>
          <w:numId w:val="2"/>
        </w:numPr>
        <w:spacing w:after="80"/>
      </w:pPr>
      <w:r>
        <w:rPr>
          <w:b/>
          <w:bCs/>
        </w:rPr>
        <w:t xml:space="preserve">Evaluation promoted into orchestration.</w:t>
      </w:r>
      <w:r>
        <w:t xml:space="preserve"> The Tier 1 deterministic checks were built first as an offline harness, then the same measurement logic was moved into the runtime supervisor, enforced after every stage — with the agent sequence imported from the supervision module so "measuring and routing can never disagree." Most systems evaluate after the fact; here the evaluation is the supervisor.</w:t>
      </w:r>
    </w:p>
    <w:p>
      <w:pPr>
        <w:pStyle w:val="ListParagraph"/>
        <w:numPr>
          <w:ilvl w:val="0"/>
          <w:numId w:val="2"/>
        </w:numPr>
        <w:spacing w:after="80"/>
      </w:pPr>
      <w:r>
        <w:rPr>
          <w:b/>
          <w:bCs/>
        </w:rPr>
        <w:t xml:space="preserve">A fully deterministic supervisor over an LLM multi-agent system.</w:t>
      </w:r>
      <w:r>
        <w:t xml:space="preserve"> The canonical supervisor pattern routes with an LLM [1][2][5]; this hub routes with hard rules over measured facts. The specific verdict vocabulary, criticality tagging, and threshold set have no direct literature source — they are the team's own design, validated by 23 unit tests and a live catch.</w:t>
      </w:r>
    </w:p>
    <w:p>
      <w:pPr>
        <w:pStyle w:val="ListParagraph"/>
        <w:numPr>
          <w:ilvl w:val="0"/>
          <w:numId w:val="2"/>
        </w:numPr>
        <w:spacing w:after="80"/>
      </w:pPr>
      <w:r>
        <w:rPr>
          <w:b/>
          <w:bCs/>
        </w:rPr>
        <w:t xml:space="preserve">Fabricated-statistic elimination by recompute-and-overwrite.</w:t>
      </w:r>
      <w:r>
        <w:t xml:space="preserve"> LLM-claimed pattern frequencies are recomputed from ground data in Python and overwritten, with divergence flagged. Numeric claims from the model are structurally advisory — a sharper mechanism than prompt-level grounding instructions.</w:t>
      </w:r>
    </w:p>
    <w:p>
      <w:pPr>
        <w:pStyle w:val="ListParagraph"/>
        <w:numPr>
          <w:ilvl w:val="0"/>
          <w:numId w:val="2"/>
        </w:numPr>
        <w:spacing w:after="80"/>
      </w:pPr>
      <w:r>
        <w:rPr>
          <w:b/>
          <w:bCs/>
        </w:rPr>
        <w:t xml:space="preserve">One correction mechanism, two semantic layers.</w:t>
      </w:r>
      <w:r>
        <w:t xml:space="preserve"> Schema errors (Pydantic traces) and supervision failures (measured facts like a non-existent evidence ID) feed the same bounded re-prompt loop — deterministic feedback text at both layers, in contrast to LLM-self-critique approaches [6]; plus the explicit recognition that temperature-0 retries without feedback are wasted.</w:t>
      </w:r>
    </w:p>
    <w:p>
      <w:pPr>
        <w:pStyle w:val="ListParagraph"/>
        <w:numPr>
          <w:ilvl w:val="0"/>
          <w:numId w:val="2"/>
        </w:numPr>
        <w:spacing w:after="80"/>
      </w:pPr>
      <w:r>
        <w:rPr>
          <w:b/>
          <w:bCs/>
        </w:rPr>
        <w:t xml:space="preserve">Honesty by contract.</w:t>
      </w:r>
      <w:r>
        <w:t xml:space="preserve"> Mandatory </w:t>
      </w:r>
      <w:r>
        <w:rPr>
          <w:rFonts w:ascii="Consolas" w:cs="Consolas" w:eastAsia="Consolas" w:hAnsi="Consolas"/>
          <w:sz w:val="19"/>
          <w:szCs w:val="19"/>
        </w:rPr>
        <w:t xml:space="preserve">limitations</w:t>
      </w:r>
      <w:r>
        <w:t xml:space="preserve"> in the report schema, trusted-state overwrite of report metadata, non-empty evidence lists, per-run provider provenance, and a stated never-claim-the-full-dataset bound — a coherent design stance that every claim is verified, recomputed, or bounded.</w:t>
      </w:r>
    </w:p>
    <w:p>
      <w:pPr>
        <w:pStyle w:val="ListParagraph"/>
        <w:numPr>
          <w:ilvl w:val="0"/>
          <w:numId w:val="2"/>
        </w:numPr>
        <w:spacing w:after="80"/>
      </w:pPr>
      <w:r>
        <w:rPr>
          <w:b/>
          <w:bCs/>
        </w:rPr>
        <w:t xml:space="preserve">The four-tier harness as a composition</w:t>
      </w:r>
      <w:r>
        <w:t xml:space="preserve">, including the argument that a 24/25 with one genuinely caught defect is stronger evidence than a suspicious 25/25. Each tier follows established practice ([21] for macro-F1; [10][11] for LLM-as-judge); the composition and the tier-1-needs-no-labels insight are the team's own.</w:t>
      </w:r>
    </w:p>
    <w:p>
      <w:pPr>
        <w:pStyle w:val="Heading1"/>
        <w:spacing w:after="160" w:before="360"/>
      </w:pPr>
      <w:r>
        <w:t xml:space="preserve">8. Discussion of Experimental Results</w:t>
      </w:r>
    </w:p>
    <w:p>
      <w:pPr>
        <w:pStyle w:val="Heading2"/>
        <w:spacing w:after="120" w:before="240"/>
      </w:pPr>
      <w:r>
        <w:t xml:space="preserve">8.1 Interpretation of Results</w:t>
      </w:r>
    </w:p>
    <w:p>
      <w:pPr>
        <w:spacing w:after="120"/>
      </w:pPr>
      <w:r>
        <w:t xml:space="preserve">Read together, the four tiers support four distinct claims. </w:t>
      </w:r>
      <w:r>
        <w:rPr>
          <w:b/>
          <w:bCs/>
        </w:rPr>
        <w:t xml:space="preserve">Honesty</w:t>
      </w:r>
      <w:r>
        <w:t xml:space="preserve"> (Tier 1): the pipeline's claims are internally consistent and grounded — every cited evidence review genuinely carries the claimed aspect, and claimed frequencies match recomputation; the one failure was a caught single-character transcription slip, which is the harness working, not failing. </w:t>
      </w:r>
      <w:r>
        <w:rPr>
          <w:b/>
          <w:bCs/>
        </w:rPr>
        <w:t xml:space="preserve">Robustness</w:t>
      </w:r>
      <w:r>
        <w:t xml:space="preserve"> (Tier 1b): identical outputs across seeded runs and correct behaviour on all eight injected failure routes. </w:t>
      </w:r>
      <w:r>
        <w:rPr>
          <w:b/>
          <w:bCs/>
        </w:rPr>
        <w:t xml:space="preserve">Accuracy</w:t>
      </w:r>
      <w:r>
        <w:t xml:space="preserve"> (Tier 2): 0.852 aspect macro-F1 on the full 73-review business, with every well-supported aspect ≥ 0.905. </w:t>
      </w:r>
      <w:r>
        <w:rPr>
          <w:b/>
          <w:bCs/>
        </w:rPr>
        <w:t xml:space="preserve">Usefulness</w:t>
      </w:r>
      <w:r>
        <w:t xml:space="preserve"> (Tier 3): 4.8 / 4.2 / 5.0 from an independent stronger judge.</w:t>
      </w:r>
    </w:p>
    <w:p>
      <w:pPr>
        <w:spacing w:after="120"/>
      </w:pPr>
      <w:r>
        <w:t xml:space="preserve">The gap between aspect macro-F1 (0.852) and sentiment accuracy (0.753) is informative rather than alarming: aspect mention is close to an objective property of the text, while overall sentiment of mixed and neutral reviews is genuinely subjective — the ~18 disagreements cluster exactly there. This is why sentiment is the only field treated as objectively scorable and the later stages are evaluated by rubric instead. The stability of sentiment accuracy from n=40 (0.750) to n=73 (0.753) suggests the metric is not sample-artefact noise.</w:t>
      </w:r>
    </w:p>
    <w:p>
      <w:pPr>
        <w:spacing w:after="120"/>
      </w:pPr>
      <w:r>
        <w:t xml:space="preserve">The judge's per-item comments also localise the system's quality ceiling: the weakest root cause was the inherently generic "unspecified negative experiences" (scored 4), and recommendations lost points mainly for leaving ownership details to the operator — both consistent with the Reasoning Agent's input being aspect statistics rather than review text (Section 7.2), which bounds how specific its explanations can be.</w:t>
      </w:r>
    </w:p>
    <w:p>
      <w:pPr>
        <w:pStyle w:val="Heading2"/>
        <w:spacing w:after="120" w:before="240"/>
      </w:pPr>
      <w:r>
        <w:t xml:space="preserve">8.2 Local vs Cloud Discussion</w:t>
      </w:r>
    </w:p>
    <w:p>
      <w:pPr>
        <w:spacing w:after="120"/>
      </w:pPr>
      <w:r>
        <w:t xml:space="preserve">What can be said today: the provider abstraction is real (verified Gemini and Groq runs with recorded provenance; a wired Ollama profile), and the architecture is provider-indifferent — no agent code changes across providers. The Groq run's clean 22/22 Tier 1 on a llama-3.3-70b model suggests the contracts-plus-supervision design transfers across model families, but a single run is anecdote, not comparison.</w:t>
      </w:r>
    </w:p>
    <w:p>
      <w:pPr>
        <w:pBdr>
          <w:left w:val="single" w:color="B45309" w:sz="18" w:space="4"/>
        </w:pBdr>
        <w:shd w:fill="FFF2CC" w:val="clear"/>
        <w:spacing w:after="140"/>
        <w:ind w:left="200"/>
      </w:pPr>
      <w:r>
        <w:rPr>
          <w:b/>
          <w:bCs/>
          <w:color w:val="B45309"/>
        </w:rPr>
        <w:t xml:space="preserve">NEEDS HUMAN INPUT / LIVE DATA — </w:t>
      </w:r>
      <w:r>
        <w:t xml:space="preserve">Blocked until the Section 5.6 runs exist. Once available, discuss: quality (Tier 1/2 deltas between gemini-2.5-flash and llama3.1), latency (local inference vs API round-trips on the ~150k-token workload), cost (API pricing vs local compute), and the deployment cases each suits (cloud for quality/throughput; local for data privacy, zero marginal cost, offline demos).</w:t>
      </w:r>
    </w:p>
    <w:p>
      <w:pPr>
        <w:pStyle w:val="Heading2"/>
        <w:spacing w:after="120" w:before="240"/>
      </w:pPr>
      <w:r>
        <w:t xml:space="preserve">8.3 Threats to Validity</w:t>
      </w:r>
    </w:p>
    <w:p>
      <w:pPr>
        <w:pStyle w:val="ListParagraph"/>
        <w:numPr>
          <w:ilvl w:val="0"/>
          <w:numId w:val="2"/>
        </w:numPr>
        <w:spacing w:after="80"/>
      </w:pPr>
      <w:r>
        <w:rPr>
          <w:b/>
          <w:bCs/>
        </w:rPr>
        <w:t xml:space="preserve">Single restaurant, single domain:</w:t>
      </w:r>
      <w:r>
        <w:t xml:space="preserve"> all live numbers come from one 73-review Philadelphia restaurant; they are indicative, not population estimates.</w:t>
      </w:r>
    </w:p>
    <w:p>
      <w:pPr>
        <w:pStyle w:val="ListParagraph"/>
        <w:numPr>
          <w:ilvl w:val="0"/>
          <w:numId w:val="2"/>
        </w:numPr>
        <w:spacing w:after="80"/>
      </w:pPr>
      <w:r>
        <w:rPr>
          <w:b/>
          <w:bCs/>
        </w:rPr>
        <w:t xml:space="preserve">Single annotator:</w:t>
      </w:r>
      <w:r>
        <w:t xml:space="preserve"> the Tier 2 gold set has no second annotator, so no inter-annotator agreement (Cohen's κ) can be reported; label subjectivity directly bounds the sentiment-accuracy ceiling.</w:t>
      </w:r>
    </w:p>
    <w:p>
      <w:pPr>
        <w:pStyle w:val="ListParagraph"/>
        <w:numPr>
          <w:ilvl w:val="0"/>
          <w:numId w:val="2"/>
        </w:numPr>
        <w:spacing w:after="80"/>
      </w:pPr>
      <w:r>
        <w:rPr>
          <w:b/>
          <w:bCs/>
        </w:rPr>
        <w:t xml:space="preserve">LLM-judge biases:</w:t>
      </w:r>
      <w:r>
        <w:t xml:space="preserve"> LLM judges exhibit position bias [12] and self-preference [13]; the design mitigates self-preference with an independent judge family but rubric scoring of single outputs (no pairwise comparison) leaves verbosity and leniency biases unquantified; the report-usefulness score rests on n=1.</w:t>
      </w:r>
    </w:p>
    <w:p>
      <w:pPr>
        <w:pStyle w:val="ListParagraph"/>
        <w:numPr>
          <w:ilvl w:val="0"/>
          <w:numId w:val="2"/>
        </w:numPr>
        <w:spacing w:after="80"/>
      </w:pPr>
      <w:r>
        <w:rPr>
          <w:b/>
          <w:bCs/>
        </w:rPr>
        <w:t xml:space="preserve">Provenance gaps:</w:t>
      </w:r>
      <w:r>
        <w:t xml:space="preserve"> Tier 2 scores and latency/cost figures are documented in prose but their backing artifacts are not committed; the Gemini dump lacks a recorded run_config (flagged in Sections 2.5/5.3/5.5 with the exact regeneration steps).</w:t>
      </w:r>
    </w:p>
    <w:p>
      <w:pPr>
        <w:pStyle w:val="ListParagraph"/>
        <w:numPr>
          <w:ilvl w:val="0"/>
          <w:numId w:val="2"/>
        </w:numPr>
        <w:spacing w:after="80"/>
      </w:pPr>
      <w:r>
        <w:rPr>
          <w:b/>
          <w:bCs/>
        </w:rPr>
        <w:t xml:space="preserve">Sampling noise:</w:t>
      </w:r>
      <w:r>
        <w:t xml:space="preserve"> not a factor for the 73-review test case (below the cap), but for large businesses a different seed samples different reviews; reproducibility is guaranteed per seed, not across seeds.</w:t>
      </w:r>
    </w:p>
    <w:p>
      <w:pPr>
        <w:pStyle w:val="ListParagraph"/>
        <w:numPr>
          <w:ilvl w:val="0"/>
          <w:numId w:val="2"/>
        </w:numPr>
        <w:spacing w:after="80"/>
      </w:pPr>
      <w:r>
        <w:rPr>
          <w:b/>
          <w:bCs/>
        </w:rPr>
        <w:t xml:space="preserve">Evaluation-supervision coupling:</w:t>
      </w:r>
      <w:r>
        <w:t xml:space="preserve"> the hub enforces the same checks Tier 1 measures, so post-hub Tier 1 pass rates partly measure the supervisor's own filtering — an inherent property of promoting evaluation into orchestration, worth stating when comparing pre- and post-hub numbers.</w:t>
      </w:r>
    </w:p>
    <w:p>
      <w:pPr>
        <w:pStyle w:val="Heading1"/>
        <w:spacing w:after="160" w:before="360"/>
      </w:pPr>
      <w:r>
        <w:t xml:space="preserve">9. Summary and Conclusion</w:t>
      </w:r>
    </w:p>
    <w:p>
      <w:pPr>
        <w:pStyle w:val="Heading2"/>
        <w:spacing w:after="120" w:before="240"/>
      </w:pPr>
      <w:r>
        <w:t xml:space="preserve">9.1 Summary of Achievements</w:t>
      </w:r>
    </w:p>
    <w:p>
      <w:pPr>
        <w:spacing w:after="120"/>
      </w:pPr>
      <w:r>
        <w:t xml:space="preserve">Against G1, the project delivered autonomous LLM agents with schema-validated output and bounded self-correction. Against G2, it delivered a four-agent collaborating system under a deterministic supervising hub that measures every stage, corrects fabricated statistics, retries with feedback, and halts honestly — implemented in LangGraph, delivered through FastAPI and a React dashboard with live progress streaming, and running unchanged on cloud and local LLM providers. The system was evaluated live on real Yelp data across four tiers: 24/25 deterministic checks (the single miss being a genuinely caught LLM defect), reproducible behaviour with 8/8 failure-injection scenarios, 0.753 sentiment accuracy and 0.852 aspect macro-F1 against a fully hand-labelled 73-review gold set, and 4.8 / 4.2 / 5.0 rubric scores from an independent judge. 113 offline tests pass without any API key.</w:t>
      </w:r>
    </w:p>
    <w:p>
      <w:pPr>
        <w:pStyle w:val="Heading2"/>
        <w:spacing w:after="120" w:before="240"/>
      </w:pPr>
      <w:r>
        <w:t xml:space="preserve">9.2 Future Work</w:t>
      </w:r>
    </w:p>
    <w:p>
      <w:pPr>
        <w:spacing w:after="120"/>
      </w:pPr>
      <w:r>
        <w:t xml:space="preserve">Prioritised:</w:t>
      </w:r>
    </w:p>
    <w:p>
      <w:pPr>
        <w:pStyle w:val="ListParagraph"/>
        <w:numPr>
          <w:ilvl w:val="0"/>
          <w:numId w:val="2"/>
        </w:numPr>
        <w:spacing w:after="80"/>
      </w:pPr>
      <w:r>
        <w:rPr>
          <w:b/>
          <w:bCs/>
        </w:rPr>
        <w:t xml:space="preserve">Close the evidence gaps in this report</w:t>
      </w:r>
      <w:r>
        <w:t xml:space="preserve"> (highest priority, hours of work): regenerate and commit the Tier 2 artifacts; re-run the harness for current latency numbers; one fresh Gemini dump with run_config; the Ollama run for Sections 5.6/6.3; UI screenshots; write </w:t>
      </w:r>
      <w:r>
        <w:rPr>
          <w:rFonts w:ascii="Consolas" w:cs="Consolas" w:eastAsia="Consolas" w:hAnsi="Consolas"/>
          <w:sz w:val="19"/>
          <w:szCs w:val="19"/>
        </w:rPr>
        <w:t xml:space="preserve">docs/LOCAL_LLM.md</w:t>
      </w:r>
      <w:r>
        <w:t xml:space="preserve">.</w:t>
      </w:r>
    </w:p>
    <w:p>
      <w:pPr>
        <w:pStyle w:val="ListParagraph"/>
        <w:numPr>
          <w:ilvl w:val="0"/>
          <w:numId w:val="2"/>
        </w:numPr>
        <w:spacing w:after="80"/>
      </w:pPr>
      <w:r>
        <w:rPr>
          <w:b/>
          <w:bCs/>
        </w:rPr>
        <w:t xml:space="preserve">Forward review text and dates to the Reasoning Agent</w:t>
      </w:r>
      <w:r>
        <w:t xml:space="preserve"> — the single highest-value quality fix: root causes grounded in what reviewers wrote, and temporal patterns (e.g. decline after a date) become possible.</w:t>
      </w:r>
    </w:p>
    <w:p>
      <w:pPr>
        <w:pStyle w:val="ListParagraph"/>
        <w:numPr>
          <w:ilvl w:val="0"/>
          <w:numId w:val="2"/>
        </w:numPr>
        <w:spacing w:after="80"/>
      </w:pPr>
      <w:r>
        <w:rPr>
          <w:b/>
          <w:bCs/>
        </w:rPr>
        <w:t xml:space="preserve">Business-identity hardening:</w:t>
      </w:r>
      <w:r>
        <w:t xml:space="preserve"> a minimum fuzzy-match acceptance score and ID/name consistency validation at the API boundary.</w:t>
      </w:r>
    </w:p>
    <w:p>
      <w:pPr>
        <w:pStyle w:val="ListParagraph"/>
        <w:numPr>
          <w:ilvl w:val="0"/>
          <w:numId w:val="2"/>
        </w:numPr>
        <w:spacing w:after="80"/>
      </w:pPr>
      <w:r>
        <w:rPr>
          <w:b/>
          <w:bCs/>
        </w:rPr>
        <w:t xml:space="preserve">Index-build atomicity</w:t>
      </w:r>
      <w:r>
        <w:t xml:space="preserve"> (write to temp path, validate, atomic rename) and a schema/completeness check in the loader.</w:t>
      </w:r>
    </w:p>
    <w:p>
      <w:pPr>
        <w:pStyle w:val="ListParagraph"/>
        <w:numPr>
          <w:ilvl w:val="0"/>
          <w:numId w:val="2"/>
        </w:numPr>
        <w:spacing w:after="80"/>
      </w:pPr>
      <w:r>
        <w:rPr>
          <w:b/>
          <w:bCs/>
        </w:rPr>
        <w:t xml:space="preserve">CI:</w:t>
      </w:r>
      <w:r>
        <w:t xml:space="preserve"> run the offline suite and Tier 1 fixture on every push; pin dependencies.</w:t>
      </w:r>
    </w:p>
    <w:p>
      <w:pPr>
        <w:pStyle w:val="ListParagraph"/>
        <w:numPr>
          <w:ilvl w:val="0"/>
          <w:numId w:val="2"/>
        </w:numPr>
        <w:spacing w:after="80"/>
      </w:pPr>
      <w:r>
        <w:rPr>
          <w:b/>
          <w:bCs/>
        </w:rPr>
        <w:t xml:space="preserve">Second annotator + Cohen's κ</w:t>
      </w:r>
      <w:r>
        <w:t xml:space="preserve"> for the gold set; extend the gold set to a second restaurant to test generalisation.</w:t>
      </w:r>
    </w:p>
    <w:p>
      <w:pPr>
        <w:pStyle w:val="ListParagraph"/>
        <w:numPr>
          <w:ilvl w:val="0"/>
          <w:numId w:val="2"/>
        </w:numPr>
        <w:spacing w:after="80"/>
      </w:pPr>
      <w:r>
        <w:rPr>
          <w:b/>
          <w:bCs/>
        </w:rPr>
        <w:t xml:space="preserve">Frontend:</w:t>
      </w:r>
      <w:r>
        <w:t xml:space="preserve"> consume </w:t>
      </w:r>
      <w:r>
        <w:rPr>
          <w:rFonts w:ascii="Consolas" w:cs="Consolas" w:eastAsia="Consolas" w:hAnsi="Consolas"/>
          <w:sz w:val="19"/>
          <w:szCs w:val="19"/>
        </w:rPr>
        <w:t xml:space="preserve">verdict</w:t>
      </w:r>
      <w:r>
        <w:t xml:space="preserve">/attempt SSE events, share report state across views, accessibility hardening.</w:t>
      </w:r>
    </w:p>
    <w:p>
      <w:pPr>
        <w:pStyle w:val="ListParagraph"/>
        <w:numPr>
          <w:ilvl w:val="0"/>
          <w:numId w:val="2"/>
        </w:numPr>
        <w:spacing w:after="80"/>
      </w:pPr>
      <w:r>
        <w:rPr>
          <w:b/>
          <w:bCs/>
        </w:rPr>
        <w:t xml:space="preserve">Richer evaluation:</w:t>
      </w:r>
      <w:r>
        <w:t xml:space="preserve"> confidence intervals on frequencies, relevance filtering (</w:t>
      </w:r>
      <w:r>
        <w:rPr>
          <w:rFonts w:ascii="Consolas" w:cs="Consolas" w:eastAsia="Consolas" w:hAnsi="Consolas"/>
          <w:sz w:val="19"/>
          <w:szCs w:val="19"/>
        </w:rPr>
        <w:t xml:space="preserve">n_relevant</w:t>
      </w:r>
      <w:r>
        <w:t xml:space="preserve">), Tier 3 on the hub pipeline, and pairwise judge comparisons to control position bias [12].</w:t>
      </w:r>
    </w:p>
    <w:p>
      <w:pPr>
        <w:pStyle w:val="Heading1"/>
        <w:spacing w:after="160" w:before="360"/>
      </w:pPr>
      <w:r>
        <w:t xml:space="preserve">References</w:t>
      </w:r>
    </w:p>
    <w:p>
      <w:pPr>
        <w:spacing w:after="100"/>
        <w:ind w:left="360" w:hanging="360"/>
      </w:pPr>
      <w:r>
        <w:rPr>
          <w:b/>
          <w:bCs/>
        </w:rPr>
        <w:t xml:space="preserve">[1] </w:t>
      </w:r>
      <w:r>
        <w:t xml:space="preserve">Q. Wu et al., "AutoGen: Enabling Next-Gen LLM Applications via Multi-Agent Conversation," arXiv:2308.08155, 2023. https://arxiv.org/abs/2308.08155</w:t>
      </w:r>
    </w:p>
    <w:p>
      <w:pPr>
        <w:spacing w:after="100"/>
        <w:ind w:left="360" w:hanging="360"/>
      </w:pPr>
      <w:r>
        <w:rPr>
          <w:b/>
          <w:bCs/>
        </w:rPr>
        <w:t xml:space="preserve">[2] </w:t>
      </w:r>
      <w:r>
        <w:t xml:space="preserve">S. Hong et al., "MetaGPT: Meta Programming for a Multi-Agent Collaborative Framework," Proc. ICLR 2024; arXiv:2308.00352, 2023. https://arxiv.org/abs/2308.00352</w:t>
      </w:r>
    </w:p>
    <w:p>
      <w:pPr>
        <w:spacing w:after="100"/>
        <w:ind w:left="360" w:hanging="360"/>
      </w:pPr>
      <w:r>
        <w:rPr>
          <w:b/>
          <w:bCs/>
        </w:rPr>
        <w:t xml:space="preserve">[3] </w:t>
      </w:r>
      <w:r>
        <w:t xml:space="preserve">G. Li, H. Hammoud, H. Itani, D. Khizbullin, and B. Ghanem, "CAMEL: Communicative Agents for 'Mind' Exploration of Large Language Model Society," Proc. NeurIPS 2023; arXiv:2303.17760. https://arxiv.org/abs/2303.17760</w:t>
      </w:r>
    </w:p>
    <w:p>
      <w:pPr>
        <w:spacing w:after="100"/>
        <w:ind w:left="360" w:hanging="360"/>
      </w:pPr>
      <w:r>
        <w:rPr>
          <w:b/>
          <w:bCs/>
        </w:rPr>
        <w:t xml:space="preserve">[4] </w:t>
      </w:r>
      <w:r>
        <w:t xml:space="preserve">C. Qian et al., "ChatDev: Communicative Agents for Software Development," Proc. ACL 2024; arXiv:2307.07924, 2023. https://arxiv.org/abs/2307.07924</w:t>
      </w:r>
    </w:p>
    <w:p>
      <w:pPr>
        <w:spacing w:after="100"/>
        <w:ind w:left="360" w:hanging="360"/>
      </w:pPr>
      <w:r>
        <w:rPr>
          <w:b/>
          <w:bCs/>
        </w:rPr>
        <w:t xml:space="preserve">[5] </w:t>
      </w:r>
      <w:r>
        <w:t xml:space="preserve">T. Guo et al., "Large Language Model based Multi-Agents: A Survey of Progress and Challenges," arXiv:2402.01680, 2024. https://arxiv.org/abs/2402.01680</w:t>
      </w:r>
    </w:p>
    <w:p>
      <w:pPr>
        <w:spacing w:after="100"/>
        <w:ind w:left="360" w:hanging="360"/>
      </w:pPr>
      <w:r>
        <w:rPr>
          <w:b/>
          <w:bCs/>
        </w:rPr>
        <w:t xml:space="preserve">[6] </w:t>
      </w:r>
      <w:r>
        <w:t xml:space="preserve">A. Madaan et al., "Self-Refine: Iterative Refinement with Self-Feedback," Proc. NeurIPS 2023; arXiv:2303.17651. https://arxiv.org/abs/2303.17651</w:t>
      </w:r>
    </w:p>
    <w:p>
      <w:pPr>
        <w:spacing w:after="100"/>
        <w:ind w:left="360" w:hanging="360"/>
      </w:pPr>
      <w:r>
        <w:rPr>
          <w:b/>
          <w:bCs/>
        </w:rPr>
        <w:t xml:space="preserve">[7] </w:t>
      </w:r>
      <w:r>
        <w:t xml:space="preserve">N. Shinn, F. Cassano, E. Berman, A. Gopinath, K. Narasimhan, and S. Yao, "Reflexion: Language Agents with Verbal Reinforcement Learning," Proc. NeurIPS 2023; arXiv:2303.11366. https://arxiv.org/abs/2303.11366</w:t>
      </w:r>
    </w:p>
    <w:p>
      <w:pPr>
        <w:spacing w:after="100"/>
        <w:ind w:left="360" w:hanging="360"/>
      </w:pPr>
      <w:r>
        <w:rPr>
          <w:b/>
          <w:bCs/>
        </w:rPr>
        <w:t xml:space="preserve">[8] </w:t>
      </w:r>
      <w:r>
        <w:t xml:space="preserve">Z. Gou et al., "CRITIC: Large Language Models Can Self-Correct with Tool-Interactive Critiquing," Proc. ICLR 2024; arXiv:2305.11738, 2023. https://arxiv.org/abs/2305.11738</w:t>
      </w:r>
    </w:p>
    <w:p>
      <w:pPr>
        <w:spacing w:after="100"/>
        <w:ind w:left="360" w:hanging="360"/>
      </w:pPr>
      <w:r>
        <w:rPr>
          <w:b/>
          <w:bCs/>
        </w:rPr>
        <w:t xml:space="preserve">[9] </w:t>
      </w:r>
      <w:r>
        <w:t xml:space="preserve">L. Pan et al., "Automatically Correcting Large Language Models: Surveying the Landscape of Diverse Self-Correction Strategies," Trans. ACL (TACL), 2024; arXiv:2308.03188. https://arxiv.org/abs/2308.03188</w:t>
      </w:r>
    </w:p>
    <w:p>
      <w:pPr>
        <w:spacing w:after="100"/>
        <w:ind w:left="360" w:hanging="360"/>
      </w:pPr>
      <w:r>
        <w:rPr>
          <w:b/>
          <w:bCs/>
        </w:rPr>
        <w:t xml:space="preserve">[10] </w:t>
      </w:r>
      <w:r>
        <w:t xml:space="preserve">L. Zheng et al., "Judging LLM-as-a-Judge with MT-Bench and Chatbot Arena," Proc. NeurIPS 2023 Datasets and Benchmarks; arXiv:2306.05685. https://arxiv.org/abs/2306.05685</w:t>
      </w:r>
    </w:p>
    <w:p>
      <w:pPr>
        <w:spacing w:after="100"/>
        <w:ind w:left="360" w:hanging="360"/>
      </w:pPr>
      <w:r>
        <w:rPr>
          <w:b/>
          <w:bCs/>
        </w:rPr>
        <w:t xml:space="preserve">[11] </w:t>
      </w:r>
      <w:r>
        <w:t xml:space="preserve">Y. Liu, D. Iter, Y. Xu, S. Wang, R. Xu, and C. Zhu, "G-Eval: NLG Evaluation using GPT-4 with Better Human Alignment," Proc. EMNLP 2023, pp. 2511–2522; arXiv:2303.16634. https://aclanthology.org/2023.emnlp-main.153/</w:t>
      </w:r>
    </w:p>
    <w:p>
      <w:pPr>
        <w:spacing w:after="100"/>
        <w:ind w:left="360" w:hanging="360"/>
      </w:pPr>
      <w:r>
        <w:rPr>
          <w:b/>
          <w:bCs/>
        </w:rPr>
        <w:t xml:space="preserve">[12] </w:t>
      </w:r>
      <w:r>
        <w:t xml:space="preserve">P. Wang et al., "Large Language Models are not Fair Evaluators," Proc. ACL 2024; arXiv:2305.17926, 2023. https://arxiv.org/abs/2305.17926</w:t>
      </w:r>
    </w:p>
    <w:p>
      <w:pPr>
        <w:spacing w:after="100"/>
        <w:ind w:left="360" w:hanging="360"/>
      </w:pPr>
      <w:r>
        <w:rPr>
          <w:b/>
          <w:bCs/>
        </w:rPr>
        <w:t xml:space="preserve">[13] </w:t>
      </w:r>
      <w:r>
        <w:t xml:space="preserve">A. Panickssery, S. R. Bowman, and S. Feng, "LLM Evaluators Recognize and Favor Their Own Generations," arXiv:2404.13076, 2024. https://arxiv.org/abs/2404.13076</w:t>
      </w:r>
    </w:p>
    <w:p>
      <w:pPr>
        <w:spacing w:after="100"/>
        <w:ind w:left="360" w:hanging="360"/>
      </w:pPr>
      <w:r>
        <w:rPr>
          <w:b/>
          <w:bCs/>
        </w:rPr>
        <w:t xml:space="preserve">[14] </w:t>
      </w:r>
      <w:r>
        <w:t xml:space="preserve">M. Pontiki, D. Galanis, J. Pavlopoulos, H. Papageorgiou, I. Androutsopoulos, and S. Manandhar, "SemEval-2014 Task 4: Aspect Based Sentiment Analysis," Proc. 8th Int. Workshop on Semantic Evaluation (SemEval 2014), Dublin, 2014, pp. 27–35. https://aclanthology.org/S14-2004/</w:t>
      </w:r>
    </w:p>
    <w:p>
      <w:pPr>
        <w:spacing w:after="100"/>
        <w:ind w:left="360" w:hanging="360"/>
      </w:pPr>
      <w:r>
        <w:rPr>
          <w:b/>
          <w:bCs/>
        </w:rPr>
        <w:t xml:space="preserve">[15] </w:t>
      </w:r>
      <w:r>
        <w:t xml:space="preserve">P. F. Simmering and P. Huoviala, "Large Language Models for Aspect-Based Sentiment Analysis," arXiv:2310.18025, 2023. https://arxiv.org/abs/2310.18025</w:t>
      </w:r>
    </w:p>
    <w:p>
      <w:pPr>
        <w:spacing w:after="100"/>
        <w:ind w:left="360" w:hanging="360"/>
      </w:pPr>
      <w:r>
        <w:rPr>
          <w:b/>
          <w:bCs/>
        </w:rPr>
        <w:t xml:space="preserve">[16] </w:t>
      </w:r>
      <w:r>
        <w:t xml:space="preserve">C. Wu, B. Ma, Z. Zhang, N. Deng, Y. He, and Y. Xue, "Evaluating Zero-Shot Multilingual Aspect-Based Sentiment Analysis with Large Language Models," arXiv:2412.12564, 2024. https://arxiv.org/abs/2412.12564</w:t>
      </w:r>
    </w:p>
    <w:p>
      <w:pPr>
        <w:spacing w:after="100"/>
        <w:ind w:left="360" w:hanging="360"/>
      </w:pPr>
      <w:r>
        <w:rPr>
          <w:b/>
          <w:bCs/>
        </w:rPr>
        <w:t xml:space="preserve">[17] </w:t>
      </w:r>
      <w:r>
        <w:t xml:space="preserve">J. Niimi, "Dynamic Sentiment Analysis with Local Large Language Models using Majority Voting: A Study on Factors Affecting Restaurant Evaluation," arXiv:2407.13069, 2024. https://arxiv.org/abs/2407.13069</w:t>
      </w:r>
    </w:p>
    <w:p>
      <w:pPr>
        <w:spacing w:after="100"/>
        <w:ind w:left="360" w:hanging="360"/>
      </w:pPr>
      <w:r>
        <w:rPr>
          <w:b/>
          <w:bCs/>
        </w:rPr>
        <w:t xml:space="preserve">[18] </w:t>
      </w:r>
      <w:r>
        <w:t xml:space="preserve">J. Wei et al., "Chain-of-Thought Prompting Elicits Reasoning in Large Language Models," Proc. NeurIPS 2022; arXiv:2201.11903. https://arxiv.org/abs/2201.11903</w:t>
      </w:r>
    </w:p>
    <w:p>
      <w:pPr>
        <w:spacing w:after="100"/>
        <w:ind w:left="360" w:hanging="360"/>
      </w:pPr>
      <w:r>
        <w:rPr>
          <w:b/>
          <w:bCs/>
        </w:rPr>
        <w:t xml:space="preserve">[19] </w:t>
      </w:r>
      <w:r>
        <w:t xml:space="preserve">S. Yao et al., "ReAct: Synergizing Reasoning and Acting in Language Models," Proc. ICLR 2023; arXiv:2210.03629, 2022. https://arxiv.org/abs/2210.03629</w:t>
      </w:r>
    </w:p>
    <w:p>
      <w:pPr>
        <w:spacing w:after="100"/>
        <w:ind w:left="360" w:hanging="360"/>
      </w:pPr>
      <w:r>
        <w:rPr>
          <w:b/>
          <w:bCs/>
        </w:rPr>
        <w:t xml:space="preserve">[20] </w:t>
      </w:r>
      <w:r>
        <w:t xml:space="preserve">N. Malik and M. Bilal, "Natural Language Processing for Analyzing Online Customer Reviews: A Survey, Taxonomy, and Open Research Challenges," PeerJ Computer Science, vol. 10, e2203, 2024. https://peerj.com/articles/cs-2203/</w:t>
      </w:r>
    </w:p>
    <w:p>
      <w:pPr>
        <w:spacing w:after="100"/>
        <w:ind w:left="360" w:hanging="360"/>
      </w:pPr>
      <w:r>
        <w:rPr>
          <w:b/>
          <w:bCs/>
        </w:rPr>
        <w:t xml:space="preserve">[21] </w:t>
      </w:r>
      <w:r>
        <w:t xml:space="preserve">M. Sokolova and G. Lapalme, "A Systematic Analysis of Performance Measures for Classification Tasks," Information Processing &amp; Management, vol. 45, no. 4, pp. 427–437, 2009.</w:t>
      </w:r>
    </w:p>
    <w:p>
      <w:pPr>
        <w:spacing w:after="100"/>
        <w:ind w:left="360" w:hanging="360"/>
      </w:pPr>
      <w:r>
        <w:rPr>
          <w:b/>
          <w:bCs/>
        </w:rPr>
        <w:t xml:space="preserve">[22] </w:t>
      </w:r>
      <w:r>
        <w:t xml:space="preserve">X. Zhang, J. Zhao, and Y. LeCun, "Character-level Convolutional Networks for Text Classification," Proc. NeurIPS 2015, pp. 649–657; arXiv:1509.01626. https://arxiv.org/abs/1509.01626</w:t>
      </w:r>
    </w:p>
    <w:p>
      <w:pPr>
        <w:spacing w:after="100"/>
        <w:ind w:left="360" w:hanging="360"/>
      </w:pPr>
      <w:r>
        <w:rPr>
          <w:b/>
          <w:bCs/>
        </w:rPr>
        <w:t xml:space="preserve">[23] </w:t>
      </w:r>
      <w:r>
        <w:t xml:space="preserve">Yelp Inc., "Yelp Open Dataset." https://www.yelp.com/dataset (accessed 2026).</w:t>
      </w:r>
    </w:p>
    <w:p>
      <w:pPr>
        <w:spacing w:after="100"/>
        <w:ind w:left="360" w:hanging="360"/>
      </w:pPr>
      <w:r>
        <w:rPr>
          <w:b/>
          <w:bCs/>
        </w:rPr>
        <w:t xml:space="preserve">[24] </w:t>
      </w:r>
      <w:r>
        <w:t xml:space="preserve">LangChain Inc., "LangGraph Documentation." https://langchain-ai.github.io/langgraph/ (accessed 2026).</w:t>
      </w:r>
    </w:p>
    <w:p>
      <w:pPr>
        <w:spacing w:after="100"/>
        <w:ind w:left="360" w:hanging="360"/>
      </w:pPr>
      <w:r>
        <w:rPr>
          <w:b/>
          <w:bCs/>
        </w:rPr>
        <w:t xml:space="preserve">[25] </w:t>
      </w:r>
      <w:r>
        <w:t xml:space="preserve">Swinburne University of Technology, "COS30018 Intelligent Systems — Project Assignment Option D: Business Improvement Agent," course brief. [NEEDS INPUT: exact document title, semester, year]</w:t>
      </w:r>
    </w:p>
    <w:p>
      <w:pPr>
        <w:spacing w:after="120"/>
      </w:pPr>
      <w:r>
        <w:t xml:space="preserve">All research citations [1]–[22] were verified to exist (arXiv ID / DOI, authors, title, year) via live web search during report preparation; none is cited from memory alone.</w:t>
      </w:r>
    </w:p>
    <w:p>
      <w:pPr>
        <w:pStyle w:val="Heading1"/>
        <w:spacing w:after="160" w:before="360"/>
      </w:pPr>
      <w:r>
        <w:t xml:space="preserve">Appendix A — Team Contribution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1500"/>
        <w:gridCol w:w="2500"/>
      </w:tblGrid>
      <w:tr>
        <w:trPr>
          <w:tblHeader/>
        </w:trPr>
        <w:tc>
          <w:tcPr>
            <w:tcW w:type="dxa" w:w="1900"/>
            <w:shd w:fill="DCE3EF" w:val="clear"/>
            <w:tcMar>
              <w:top w:type="dxa" w:w="60"/>
              <w:left w:type="dxa" w:w="100"/>
              <w:bottom w:type="dxa" w:w="60"/>
              <w:right w:type="dxa" w:w="100"/>
            </w:tcMar>
          </w:tcPr>
          <w:p>
            <w:pPr>
              <w:spacing w:after="0"/>
            </w:pPr>
            <w:r>
              <w:rPr>
                <w:b/>
                <w:bCs/>
              </w:rPr>
              <w:t xml:space="preserve">Member</w:t>
            </w:r>
          </w:p>
        </w:tc>
        <w:tc>
          <w:tcPr>
            <w:tcW w:type="dxa" w:w="3100"/>
            <w:shd w:fill="DCE3EF" w:val="clear"/>
            <w:tcMar>
              <w:top w:type="dxa" w:w="60"/>
              <w:left w:type="dxa" w:w="100"/>
              <w:bottom w:type="dxa" w:w="60"/>
              <w:right w:type="dxa" w:w="100"/>
            </w:tcMar>
          </w:tcPr>
          <w:p>
            <w:pPr>
              <w:spacing w:after="0"/>
            </w:pPr>
            <w:r>
              <w:rPr>
                <w:b/>
                <w:bCs/>
              </w:rPr>
              <w:t xml:space="preserve">Primary areas (git-evidenced)</w:t>
            </w:r>
          </w:p>
        </w:tc>
        <w:tc>
          <w:tcPr>
            <w:tcW w:type="dxa" w:w="1500"/>
            <w:shd w:fill="DCE3EF" w:val="clear"/>
            <w:tcMar>
              <w:top w:type="dxa" w:w="60"/>
              <w:left w:type="dxa" w:w="100"/>
              <w:bottom w:type="dxa" w:w="60"/>
              <w:right w:type="dxa" w:w="100"/>
            </w:tcMar>
          </w:tcPr>
          <w:p>
            <w:pPr>
              <w:spacing w:after="0"/>
            </w:pPr>
            <w:r>
              <w:rPr>
                <w:b/>
                <w:bCs/>
              </w:rPr>
              <w:t xml:space="preserve">Report sections</w:t>
            </w:r>
          </w:p>
        </w:tc>
        <w:tc>
          <w:tcPr>
            <w:tcW w:type="dxa" w:w="2500"/>
            <w:shd w:fill="DCE3EF" w:val="clear"/>
            <w:tcMar>
              <w:top w:type="dxa" w:w="60"/>
              <w:left w:type="dxa" w:w="100"/>
              <w:bottom w:type="dxa" w:w="60"/>
              <w:right w:type="dxa" w:w="100"/>
            </w:tcMar>
          </w:tcPr>
          <w:p>
            <w:pPr>
              <w:spacing w:after="0"/>
            </w:pPr>
            <w:r>
              <w:rPr>
                <w:b/>
                <w:bCs/>
              </w:rPr>
              <w:t xml:space="preserve">Contribution statement</w:t>
            </w:r>
          </w:p>
        </w:tc>
      </w:tr>
      <w:tr>
        <w:tc>
          <w:tcPr>
            <w:tcW w:type="dxa" w:w="1900"/>
            <w:tcMar>
              <w:top w:type="dxa" w:w="60"/>
              <w:left w:type="dxa" w:w="100"/>
              <w:bottom w:type="dxa" w:w="60"/>
              <w:right w:type="dxa" w:w="100"/>
            </w:tcMar>
          </w:tcPr>
          <w:p>
            <w:pPr>
              <w:spacing w:after="0"/>
            </w:pPr>
            <w:r>
              <w:t xml:space="preserve">[Tran Manh Duc]</w:t>
            </w:r>
          </w:p>
        </w:tc>
        <w:tc>
          <w:tcPr>
            <w:tcW w:type="dxa" w:w="3100"/>
            <w:tcMar>
              <w:top w:type="dxa" w:w="60"/>
              <w:left w:type="dxa" w:w="100"/>
              <w:bottom w:type="dxa" w:w="60"/>
              <w:right w:type="dxa" w:w="100"/>
            </w:tcMar>
          </w:tcPr>
          <w:p>
            <w:pPr>
              <w:spacing w:after="0"/>
            </w:pPr>
            <w:r>
              <w:t xml:space="preserve">Integration/merges (PRs #7–#12), FastAPI wiring, frontend</w:t>
            </w:r>
          </w:p>
        </w:tc>
        <w:tc>
          <w:tcPr>
            <w:tcW w:type="dxa" w:w="1500"/>
            <w:tcMar>
              <w:top w:type="dxa" w:w="60"/>
              <w:left w:type="dxa" w:w="100"/>
              <w:bottom w:type="dxa" w:w="60"/>
              <w:right w:type="dxa" w:w="100"/>
            </w:tcMar>
          </w:tcPr>
          <w:p>
            <w:pPr>
              <w:spacing w:after="0"/>
            </w:pPr>
            <w:r>
              <w:t xml:space="preserve">2.6, 4.1</w:t>
            </w:r>
          </w:p>
        </w:tc>
        <w:tc>
          <w:tcPr>
            <w:tcW w:type="dxa" w:w="2500"/>
            <w:tcMar>
              <w:top w:type="dxa" w:w="60"/>
              <w:left w:type="dxa" w:w="100"/>
              <w:bottom w:type="dxa" w:w="60"/>
              <w:right w:type="dxa" w:w="100"/>
            </w:tcMar>
          </w:tcPr>
          <w:p>
            <w:pPr>
              <w:spacing w:after="0"/>
            </w:pPr>
            <w:r>
              <w:t xml:space="preserve">[member statement + signature]</w:t>
            </w:r>
          </w:p>
        </w:tc>
      </w:tr>
      <w:tr>
        <w:tc>
          <w:tcPr>
            <w:tcW w:type="dxa" w:w="1900"/>
            <w:tcMar>
              <w:top w:type="dxa" w:w="60"/>
              <w:left w:type="dxa" w:w="100"/>
              <w:bottom w:type="dxa" w:w="60"/>
              <w:right w:type="dxa" w:w="100"/>
            </w:tcMar>
          </w:tcPr>
          <w:p>
            <w:pPr>
              <w:spacing w:after="0"/>
            </w:pPr>
            <w:r>
              <w:t xml:space="preserve">[Khanh Nguyen]</w:t>
            </w:r>
          </w:p>
        </w:tc>
        <w:tc>
          <w:tcPr>
            <w:tcW w:type="dxa" w:w="3100"/>
            <w:tcMar>
              <w:top w:type="dxa" w:w="60"/>
              <w:left w:type="dxa" w:w="100"/>
              <w:bottom w:type="dxa" w:w="60"/>
              <w:right w:type="dxa" w:w="100"/>
            </w:tcMar>
          </w:tcPr>
          <w:p>
            <w:pPr>
              <w:spacing w:after="0"/>
            </w:pPr>
            <w:r>
              <w:t xml:space="preserve">Data pipeline (</w:t>
            </w:r>
            <w:r>
              <w:rPr>
                <w:rFonts w:ascii="Consolas" w:cs="Consolas" w:eastAsia="Consolas" w:hAnsi="Consolas"/>
                <w:sz w:val="19"/>
                <w:szCs w:val="19"/>
              </w:rPr>
              <w:t xml:space="preserve">app/data/</w:t>
            </w:r>
            <w:r>
              <w:t xml:space="preserve">), SQLite builder, sampling, matching</w:t>
            </w:r>
          </w:p>
        </w:tc>
        <w:tc>
          <w:tcPr>
            <w:tcW w:type="dxa" w:w="1500"/>
            <w:tcMar>
              <w:top w:type="dxa" w:w="60"/>
              <w:left w:type="dxa" w:w="100"/>
              <w:bottom w:type="dxa" w:w="60"/>
              <w:right w:type="dxa" w:w="100"/>
            </w:tcMar>
          </w:tcPr>
          <w:p>
            <w:pPr>
              <w:spacing w:after="0"/>
            </w:pPr>
            <w:r>
              <w:t xml:space="preserve">2.1, 3.6, 4.2</w:t>
            </w:r>
          </w:p>
        </w:tc>
        <w:tc>
          <w:tcPr>
            <w:tcW w:type="dxa" w:w="2500"/>
            <w:tcMar>
              <w:top w:type="dxa" w:w="60"/>
              <w:left w:type="dxa" w:w="100"/>
              <w:bottom w:type="dxa" w:w="60"/>
              <w:right w:type="dxa" w:w="100"/>
            </w:tcMar>
          </w:tcPr>
          <w:p>
            <w:pPr>
              <w:spacing w:after="0"/>
            </w:pPr>
            <w:r>
              <w:t xml:space="preserve">[member statement + signature]</w:t>
            </w:r>
          </w:p>
        </w:tc>
      </w:tr>
      <w:tr>
        <w:tc>
          <w:tcPr>
            <w:tcW w:type="dxa" w:w="1900"/>
            <w:tcMar>
              <w:top w:type="dxa" w:w="60"/>
              <w:left w:type="dxa" w:w="100"/>
              <w:bottom w:type="dxa" w:w="60"/>
              <w:right w:type="dxa" w:w="100"/>
            </w:tcMar>
          </w:tcPr>
          <w:p>
            <w:pPr>
              <w:spacing w:after="0"/>
            </w:pPr>
            <w:r>
              <w:t xml:space="preserve">Pham Ho Quang Dung</w:t>
            </w:r>
          </w:p>
        </w:tc>
        <w:tc>
          <w:tcPr>
            <w:tcW w:type="dxa" w:w="3100"/>
            <w:tcMar>
              <w:top w:type="dxa" w:w="60"/>
              <w:left w:type="dxa" w:w="100"/>
              <w:bottom w:type="dxa" w:w="60"/>
              <w:right w:type="dxa" w:w="100"/>
            </w:tcMar>
          </w:tcPr>
          <w:p>
            <w:pPr>
              <w:spacing w:after="0"/>
            </w:pPr>
            <w:r>
              <w:t xml:space="preserve">Analysis + Reasoning agents, BaseAgent retry loop, hub supervision (953a6bd)</w:t>
            </w:r>
          </w:p>
        </w:tc>
        <w:tc>
          <w:tcPr>
            <w:tcW w:type="dxa" w:w="1500"/>
            <w:tcMar>
              <w:top w:type="dxa" w:w="60"/>
              <w:left w:type="dxa" w:w="100"/>
              <w:bottom w:type="dxa" w:w="60"/>
              <w:right w:type="dxa" w:w="100"/>
            </w:tcMar>
          </w:tcPr>
          <w:p>
            <w:pPr>
              <w:spacing w:after="0"/>
            </w:pPr>
            <w:r>
              <w:t xml:space="preserve">2.2–2.4, 4.3, 7.5</w:t>
            </w:r>
          </w:p>
        </w:tc>
        <w:tc>
          <w:tcPr>
            <w:tcW w:type="dxa" w:w="2500"/>
            <w:tcMar>
              <w:top w:type="dxa" w:w="60"/>
              <w:left w:type="dxa" w:w="100"/>
              <w:bottom w:type="dxa" w:w="60"/>
              <w:right w:type="dxa" w:w="100"/>
            </w:tcMar>
          </w:tcPr>
          <w:p>
            <w:pPr>
              <w:spacing w:after="0"/>
            </w:pPr>
            <w:r>
              <w:t xml:space="preserve">[member statement + signature]</w:t>
            </w:r>
          </w:p>
        </w:tc>
      </w:tr>
      <w:tr>
        <w:tc>
          <w:tcPr>
            <w:tcW w:type="dxa" w:w="1900"/>
            <w:tcMar>
              <w:top w:type="dxa" w:w="60"/>
              <w:left w:type="dxa" w:w="100"/>
              <w:bottom w:type="dxa" w:w="60"/>
              <w:right w:type="dxa" w:w="100"/>
            </w:tcMar>
          </w:tcPr>
          <w:p>
            <w:pPr>
              <w:spacing w:after="0"/>
            </w:pPr>
            <w:r>
              <w:t xml:space="preserve">[Hoang Huu Hoan]</w:t>
            </w:r>
          </w:p>
        </w:tc>
        <w:tc>
          <w:tcPr>
            <w:tcW w:type="dxa" w:w="3100"/>
            <w:tcMar>
              <w:top w:type="dxa" w:w="60"/>
              <w:left w:type="dxa" w:w="100"/>
              <w:bottom w:type="dxa" w:w="60"/>
              <w:right w:type="dxa" w:w="100"/>
            </w:tcMar>
          </w:tcPr>
          <w:p>
            <w:pPr>
              <w:spacing w:after="0"/>
            </w:pPr>
            <w:r>
              <w:t xml:space="preserve">Evaluation harness (</w:t>
            </w:r>
            <w:r>
              <w:rPr>
                <w:rFonts w:ascii="Consolas" w:cs="Consolas" w:eastAsia="Consolas" w:hAnsi="Consolas"/>
                <w:sz w:val="19"/>
                <w:szCs w:val="19"/>
              </w:rPr>
              <w:t xml:space="preserve">backend/eval/</w:t>
            </w:r>
            <w:r>
              <w:t xml:space="preserve">), gold set, core orchestration</w:t>
            </w:r>
          </w:p>
        </w:tc>
        <w:tc>
          <w:tcPr>
            <w:tcW w:type="dxa" w:w="1500"/>
            <w:tcMar>
              <w:top w:type="dxa" w:w="60"/>
              <w:left w:type="dxa" w:w="100"/>
              <w:bottom w:type="dxa" w:w="60"/>
              <w:right w:type="dxa" w:w="100"/>
            </w:tcMar>
          </w:tcPr>
          <w:p>
            <w:pPr>
              <w:spacing w:after="0"/>
            </w:pPr>
            <w:r>
              <w:t xml:space="preserve">5.1–5.5, 4.4</w:t>
            </w:r>
          </w:p>
        </w:tc>
        <w:tc>
          <w:tcPr>
            <w:tcW w:type="dxa" w:w="2500"/>
            <w:tcMar>
              <w:top w:type="dxa" w:w="60"/>
              <w:left w:type="dxa" w:w="100"/>
              <w:bottom w:type="dxa" w:w="60"/>
              <w:right w:type="dxa" w:w="100"/>
            </w:tcMar>
          </w:tcPr>
          <w:p>
            <w:pPr>
              <w:spacing w:after="0"/>
            </w:pPr>
            <w:r>
              <w:t xml:space="preserve">[member statement + signature]</w:t>
            </w:r>
          </w:p>
        </w:tc>
      </w:tr>
    </w:tbl>
    <w:p>
      <w:pPr>
        <w:spacing w:after="120"/>
      </w:pPr>
    </w:p>
    <w:p>
      <w:pPr>
        <w:pBdr>
          <w:left w:val="single" w:color="B45309" w:sz="18" w:space="4"/>
        </w:pBdr>
        <w:shd w:fill="FFF2CC" w:val="clear"/>
        <w:spacing w:after="140"/>
        <w:ind w:left="200"/>
      </w:pPr>
      <w:r>
        <w:rPr>
          <w:b/>
          <w:bCs/>
          <w:color w:val="B45309"/>
        </w:rPr>
        <w:t xml:space="preserve">NEEDS HUMAN INPUT / LIVE DATA — </w:t>
      </w:r>
      <w:r>
        <w:t xml:space="preserve">Confirm the member-to-area mapping against the team's official records, complete the statements, and collect signatures if the unit requires them.</w:t>
      </w:r>
    </w:p>
    <w:p>
      <w:pPr>
        <w:pStyle w:val="Heading1"/>
        <w:spacing w:after="160" w:before="360"/>
      </w:pPr>
      <w:r>
        <w:t xml:space="preserve">Appendix B — Individual Worklogs and Fortnightly Reports</w:t>
      </w:r>
    </w:p>
    <w:p>
      <w:pPr>
        <w:pBdr>
          <w:left w:val="single" w:color="B45309" w:sz="18" w:space="4"/>
        </w:pBdr>
        <w:shd w:fill="FFF2CC" w:val="clear"/>
        <w:spacing w:after="140"/>
        <w:ind w:left="200"/>
      </w:pPr>
      <w:r>
        <w:rPr>
          <w:b/>
          <w:bCs/>
          <w:color w:val="B45309"/>
        </w:rPr>
        <w:t xml:space="preserve">NEEDS HUMAN INPUT / LIVE DATA — </w:t>
      </w:r>
      <w:r>
        <w:t xml:space="preserve">Attach or reference each member's weekly worklogs and fortnightly reports. These are not in the repository; each member supplies their own.</w:t>
      </w:r>
    </w:p>
    <w:p>
      <w:pPr>
        <w:pStyle w:val="Heading1"/>
        <w:spacing w:after="160" w:before="360"/>
      </w:pPr>
      <w:r>
        <w:t xml:space="preserve">Appendix C — Repository and Resource Links</w:t>
      </w:r>
    </w:p>
    <w:p>
      <w:pPr>
        <w:pStyle w:val="ListParagraph"/>
        <w:numPr>
          <w:ilvl w:val="0"/>
          <w:numId w:val="2"/>
        </w:numPr>
        <w:spacing w:after="80"/>
      </w:pPr>
      <w:r>
        <w:t xml:space="preserve">Git repository: https://github.com/TranDuc511/COS30018_Group-4.1_Multi-Agent-System-for-Restaurant-Review-Analysis</w:t>
      </w:r>
    </w:p>
    <w:p>
      <w:pPr>
        <w:pStyle w:val="ListParagraph"/>
        <w:numPr>
          <w:ilvl w:val="0"/>
          <w:numId w:val="2"/>
        </w:numPr>
        <w:spacing w:after="80"/>
      </w:pPr>
      <w:r>
        <w:t xml:space="preserve">Key in-repo documentation: </w:t>
      </w:r>
      <w:r>
        <w:rPr>
          <w:rFonts w:ascii="Consolas" w:cs="Consolas" w:eastAsia="Consolas" w:hAnsi="Consolas"/>
          <w:sz w:val="19"/>
          <w:szCs w:val="19"/>
        </w:rPr>
        <w:t xml:space="preserve">README.md</w:t>
      </w:r>
      <w:r>
        <w:t xml:space="preserve">, </w:t>
      </w:r>
      <w:r>
        <w:rPr>
          <w:rFonts w:ascii="Consolas" w:cs="Consolas" w:eastAsia="Consolas" w:hAnsi="Consolas"/>
          <w:sz w:val="19"/>
          <w:szCs w:val="19"/>
        </w:rPr>
        <w:t xml:space="preserve">AGENTS.md</w:t>
      </w:r>
      <w:r>
        <w:t xml:space="preserve">, </w:t>
      </w:r>
      <w:r>
        <w:rPr>
          <w:rFonts w:ascii="Consolas" w:cs="Consolas" w:eastAsia="Consolas" w:hAnsi="Consolas"/>
          <w:sz w:val="19"/>
          <w:szCs w:val="19"/>
        </w:rPr>
        <w:t xml:space="preserve">PROJECT_AUDIT.md</w:t>
      </w:r>
      <w:r>
        <w:t xml:space="preserve">, </w:t>
      </w:r>
      <w:r>
        <w:rPr>
          <w:rFonts w:ascii="Consolas" w:cs="Consolas" w:eastAsia="Consolas" w:hAnsi="Consolas"/>
          <w:sz w:val="19"/>
          <w:szCs w:val="19"/>
        </w:rPr>
        <w:t xml:space="preserve">docs/EVALUATION_REPORT.md</w:t>
      </w:r>
      <w:r>
        <w:t xml:space="preserve">, </w:t>
      </w:r>
      <w:r>
        <w:rPr>
          <w:rFonts w:ascii="Consolas" w:cs="Consolas" w:eastAsia="Consolas" w:hAnsi="Consolas"/>
          <w:sz w:val="19"/>
          <w:szCs w:val="19"/>
        </w:rPr>
        <w:t xml:space="preserve">docs/DECISIONS.md</w:t>
      </w:r>
      <w:r>
        <w:t xml:space="preserve">, </w:t>
      </w:r>
      <w:r>
        <w:rPr>
          <w:rFonts w:ascii="Consolas" w:cs="Consolas" w:eastAsia="Consolas" w:hAnsi="Consolas"/>
          <w:sz w:val="19"/>
          <w:szCs w:val="19"/>
        </w:rPr>
        <w:t xml:space="preserve">docs/ORCHESTRATOR_SIMPLE_HUB.md</w:t>
      </w:r>
      <w:r>
        <w:t xml:space="preserve">, </w:t>
      </w:r>
      <w:r>
        <w:rPr>
          <w:rFonts w:ascii="Consolas" w:cs="Consolas" w:eastAsia="Consolas" w:hAnsi="Consolas"/>
          <w:sz w:val="19"/>
          <w:szCs w:val="19"/>
        </w:rPr>
        <w:t xml:space="preserve">docs/RUN_TESTS.md</w:t>
      </w:r>
      <w:r>
        <w:t xml:space="preserve">, </w:t>
      </w:r>
      <w:r>
        <w:rPr>
          <w:rFonts w:ascii="Consolas" w:cs="Consolas" w:eastAsia="Consolas" w:hAnsi="Consolas"/>
          <w:sz w:val="19"/>
          <w:szCs w:val="19"/>
        </w:rPr>
        <w:t xml:space="preserve">backend/eval/README.md</w:t>
      </w:r>
      <w:r>
        <w:t xml:space="preserve">.</w:t>
      </w:r>
    </w:p>
    <w:p>
      <w:pPr>
        <w:pStyle w:val="ListParagraph"/>
        <w:numPr>
          <w:ilvl w:val="0"/>
          <w:numId w:val="2"/>
        </w:numPr>
        <w:spacing w:after="80"/>
      </w:pPr>
      <w:r>
        <w:t xml:space="preserve">Committed evaluation artifacts: </w:t>
      </w:r>
      <w:r>
        <w:rPr>
          <w:rFonts w:ascii="Consolas" w:cs="Consolas" w:eastAsia="Consolas" w:hAnsi="Consolas"/>
          <w:sz w:val="19"/>
          <w:szCs w:val="19"/>
        </w:rPr>
        <w:t xml:space="preserve">backend/out/</w:t>
      </w:r>
      <w:r>
        <w:t xml:space="preserve"> (Gemini 73-review run: tier1_report.json 24/25, tier3_scores.json), </w:t>
      </w:r>
      <w:r>
        <w:rPr>
          <w:rFonts w:ascii="Consolas" w:cs="Consolas" w:eastAsia="Consolas" w:hAnsi="Consolas"/>
          <w:sz w:val="19"/>
          <w:szCs w:val="19"/>
        </w:rPr>
        <w:t xml:space="preserve">backend/out_hub/</w:t>
      </w:r>
      <w:r>
        <w:t xml:space="preserve"> (Groq hub run: tier1 22/22, run_config), </w:t>
      </w:r>
      <w:r>
        <w:rPr>
          <w:rFonts w:ascii="Consolas" w:cs="Consolas" w:eastAsia="Consolas" w:hAnsi="Consolas"/>
          <w:sz w:val="19"/>
          <w:szCs w:val="19"/>
        </w:rPr>
        <w:t xml:space="preserve">backend/eval/fixtures/sample_dump/</w:t>
      </w:r>
      <w:r>
        <w:t xml:space="preserve"> (offline fixture, 16/16).</w:t>
      </w:r>
    </w:p>
    <w:p>
      <w:pPr>
        <w:pBdr>
          <w:left w:val="single" w:color="B45309" w:sz="18" w:space="4"/>
        </w:pBdr>
        <w:shd w:fill="FFF2CC" w:val="clear"/>
        <w:spacing w:after="140"/>
        <w:ind w:left="200"/>
      </w:pPr>
      <w:r>
        <w:rPr>
          <w:b/>
          <w:bCs/>
          <w:color w:val="B45309"/>
        </w:rPr>
        <w:t xml:space="preserve">NEEDS HUMAN INPUT / LIVE DATA — </w:t>
      </w:r>
      <w:r>
        <w:t xml:space="preserve">Add: read-only supervisor access confirmation for the repository, the OneDrive documentation link, and the video presentation link.</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3864"/>
      <w:sz w:val="30"/>
      <w:szCs w:val="30"/>
    </w:rPr>
  </w:style>
  <w:style w:type="paragraph" w:styleId="Heading2">
    <w:name w:val="Heading 2"/>
    <w:basedOn w:val="Normal"/>
    <w:next w:val="Normal"/>
    <w:qFormat/>
    <w:pPr>
      <w:spacing w:after="120" w:before="240"/>
      <w:outlineLvl w:val="1"/>
    </w:pPr>
    <w:rPr>
      <w:b/>
      <w:bCs/>
      <w:color w:val="2E5395"/>
      <w:sz w:val="26"/>
      <w:szCs w:val="26"/>
    </w:rPr>
  </w:style>
  <w:style w:type="paragraph" w:styleId="Heading3">
    <w:name w:val="Heading 3"/>
    <w:basedOn w:val="Normal"/>
    <w:next w:val="Normal"/>
    <w:qFormat/>
    <w:pPr>
      <w:spacing w:after="100" w:before="200"/>
      <w:outlineLvl w:val="2"/>
    </w:pPr>
    <w:rPr>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2026-07-22T02:37:12.066Z</dcterms:created>
  <dcterms:modified xsi:type="dcterms:W3CDTF">2026-07-22T02:37:12.067Z</dcterms:modified>
</cp:coreProperties>
</file>

<file path=docProps/custom.xml><?xml version="1.0" encoding="utf-8"?>
<Properties xmlns="http://schemas.openxmlformats.org/officeDocument/2006/custom-properties" xmlns:vt="http://schemas.openxmlformats.org/officeDocument/2006/docPropsVTypes"/>
</file>