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2563EB"/>
          <w:sz w:val="19"/>
        </w:rPr>
        <w:t>CODERPUSH TAKE-HOME ASSESSMENT — CLOUDEVO BENCHMARK</w:t>
      </w:r>
    </w:p>
    <w:p>
      <w:pPr>
        <w:spacing w:before="40" w:after="120"/>
      </w:pPr>
      <w:r>
        <w:rPr>
          <w:rFonts w:ascii="Arial" w:hAnsi="Arial"/>
          <w:b/>
          <w:color w:val="0F172A"/>
          <w:sz w:val="33"/>
        </w:rPr>
        <w:t>Báo Cáo Kỹ Thuật Ngày 1: Kiến Trúc Mạng VPC Multi-AZ &amp; Hosting Đơn Lẻ EC2 (Stateless)</w:t>
      </w:r>
    </w:p>
    <w:p>
      <w:pPr>
        <w:spacing w:before="0" w:after="200"/>
      </w:pPr>
      <w:r>
        <w:rPr>
          <w:rFonts w:ascii="Arial" w:hAnsi="Arial"/>
          <w:color w:val="475569"/>
          <w:sz w:val="19"/>
        </w:rPr>
        <w:t>Khảo sát thực nghiệm Trường hợp 1 (Stateless Web App), quy hoạch mạng ảo VPC chuẩn Multi-AZ, đối chiếu thời gian triển khai thủ công 20.0 phút (ClickOps) vs. tự động hóa User Data, kiểm thử thảm họa sập máy chủ đo lường RTO thực tế và phân tích chi phí vận hành hàng tháng.</w:t>
      </w:r>
    </w:p>
    <w:tbl>
      <w:tblPr>
        <w:tblW w:type="auto" w:w="0"/>
        <w:jc w:val="center"/>
        <w:tblLook w:firstColumn="1" w:firstRow="1" w:lastColumn="0" w:lastRow="0" w:noHBand="0" w:noVBand="1" w:val="04A0"/>
      </w:tblPr>
      <w:tblGrid>
        <w:gridCol w:w="2520"/>
        <w:gridCol w:w="2520"/>
        <w:gridCol w:w="2520"/>
        <w:gridCol w:w="2520"/>
      </w:tblGrid>
      <w:tr>
        <w:tc>
          <w:tcPr>
            <w:tcW w:type="dxa" w:w="252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Arial" w:hAnsi="Arial"/>
                <w:b/>
                <w:color w:val="64748B"/>
                <w:sz w:val="15"/>
              </w:rPr>
              <w:t>ỨNG VIÊN</w:t>
              <w:br/>
            </w:r>
            <w:r>
              <w:rPr>
                <w:rFonts w:ascii="Arial" w:hAnsi="Arial"/>
                <w:b/>
                <w:color w:val="0F172A"/>
                <w:sz w:val="17"/>
              </w:rPr>
              <w:t>Trần Hải Đăng</w:t>
              <w:br/>
              <w:t>(DevOps Intern Candidate)</w:t>
            </w:r>
          </w:p>
        </w:tc>
        <w:tc>
          <w:tcPr>
            <w:tcW w:type="dxa" w:w="252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Arial" w:hAnsi="Arial"/>
                <w:b/>
                <w:color w:val="64748B"/>
                <w:sz w:val="15"/>
              </w:rPr>
              <w:t>REGION AWS</w:t>
              <w:br/>
            </w:r>
            <w:r>
              <w:rPr>
                <w:rFonts w:ascii="Arial" w:hAnsi="Arial"/>
                <w:b/>
                <w:color w:val="0F172A"/>
                <w:sz w:val="17"/>
              </w:rPr>
              <w:t>Singapore</w:t>
              <w:br/>
              <w:t>(ap-southeast-1)</w:t>
            </w:r>
          </w:p>
        </w:tc>
        <w:tc>
          <w:tcPr>
            <w:tcW w:type="dxa" w:w="252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Arial" w:hAnsi="Arial"/>
                <w:b/>
                <w:color w:val="64748B"/>
                <w:sz w:val="15"/>
              </w:rPr>
              <w:t>KIẾN TRÚC</w:t>
              <w:br/>
            </w:r>
            <w:r>
              <w:rPr>
                <w:rFonts w:ascii="Arial" w:hAnsi="Arial"/>
                <w:b/>
                <w:color w:val="0F172A"/>
                <w:sz w:val="17"/>
              </w:rPr>
              <w:t>Single EC2 Stateless</w:t>
              <w:br/>
              <w:t>(Case 1 - In-Memory)</w:t>
            </w:r>
          </w:p>
        </w:tc>
        <w:tc>
          <w:tcPr>
            <w:tcW w:type="dxa" w:w="252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Arial" w:hAnsi="Arial"/>
                <w:b/>
                <w:color w:val="64748B"/>
                <w:sz w:val="15"/>
              </w:rPr>
              <w:t>NGÀY KIỂM THỬ</w:t>
              <w:br/>
            </w:r>
            <w:r>
              <w:rPr>
                <w:rFonts w:ascii="Arial" w:hAnsi="Arial"/>
                <w:b/>
                <w:color w:val="0F172A"/>
                <w:sz w:val="17"/>
              </w:rPr>
              <w:t>19/10/2026</w:t>
              <w:br/>
              <w:t>(Dự án CloudEvo)</w:t>
            </w:r>
          </w:p>
        </w:tc>
      </w:tr>
    </w:tbl>
    <w:p>
      <w:pPr>
        <w:spacing w:after="80"/>
      </w:pPr>
    </w:p>
    <w:tbl>
      <w:tblPr>
        <w:tblW w:type="auto" w:w="0"/>
        <w:jc w:val="center"/>
        <w:tblLook w:firstColumn="1" w:firstRow="1" w:lastColumn="0" w:lastRow="0" w:noHBand="0" w:noVBand="1" w:val="04A0"/>
      </w:tblPr>
      <w:tblGrid>
        <w:gridCol w:w="2520"/>
        <w:gridCol w:w="2520"/>
        <w:gridCol w:w="2520"/>
        <w:gridCol w:w="2520"/>
      </w:tblGrid>
      <w:tr>
        <w:tc>
          <w:tcPr>
            <w:tcW w:type="dxa" w:w="2520"/>
            <w:shd w:fill="F8FAFC"/>
            <w:tcMar>
              <w:top w:w="100" w:type="dxa"/>
              <w:bottom w:w="100" w:type="dxa"/>
              <w:left w:w="100" w:type="dxa"/>
              <w:right w:w="100" w:type="dxa"/>
            </w:tcMar>
            <w:tcBorders>
              <w:top w:val="single" w:sz="24" w:space="0" w:color="2563EB"/>
              <w:bottom w:val="single" w:sz="4" w:space="0" w:color="E2E8F0"/>
              <w:left w:val="single" w:sz="4" w:space="0" w:color="E2E8F0"/>
              <w:right w:val="single" w:sz="4" w:space="0" w:color="E2E8F0"/>
            </w:tcBorders>
          </w:tcPr>
          <w:p>
            <w:pPr>
              <w:spacing w:before="0" w:after="0" w:line="276" w:lineRule="auto"/>
            </w:pPr>
            <w:r>
              <w:rPr>
                <w:rFonts w:ascii="Arial" w:hAnsi="Arial"/>
                <w:b/>
                <w:color w:val="64748B"/>
                <w:sz w:val="15"/>
              </w:rPr>
              <w:t>DỰNG THỦ CÔNG (CLICKOPS)</w:t>
              <w:br/>
            </w:r>
            <w:r>
              <w:rPr>
                <w:rFonts w:ascii="Arial" w:hAnsi="Arial"/>
                <w:b/>
                <w:color w:val="0F172A"/>
                <w:sz w:val="26"/>
              </w:rPr>
              <w:t>20.0 phút</w:t>
              <w:br/>
            </w:r>
            <w:r>
              <w:rPr>
                <w:rFonts w:ascii="Arial" w:hAnsi="Arial"/>
                <w:color w:val="475569"/>
                <w:sz w:val="15"/>
              </w:rPr>
              <w:t>Khởi tạo EC2 + SSH cấu hình tay</w:t>
            </w:r>
          </w:p>
        </w:tc>
        <w:tc>
          <w:tcPr>
            <w:tcW w:type="dxa" w:w="2520"/>
            <w:shd w:fill="F8FAFC"/>
            <w:tcMar>
              <w:top w:w="100" w:type="dxa"/>
              <w:bottom w:w="100" w:type="dxa"/>
              <w:left w:w="100" w:type="dxa"/>
              <w:right w:w="100" w:type="dxa"/>
            </w:tcMar>
            <w:tcBorders>
              <w:top w:val="single" w:sz="24" w:space="0" w:color="2563EB"/>
              <w:bottom w:val="single" w:sz="4" w:space="0" w:color="E2E8F0"/>
              <w:left w:val="single" w:sz="4" w:space="0" w:color="E2E8F0"/>
              <w:right w:val="single" w:sz="4" w:space="0" w:color="E2E8F0"/>
            </w:tcBorders>
          </w:tcPr>
          <w:p>
            <w:pPr>
              <w:spacing w:before="0" w:after="0" w:line="276" w:lineRule="auto"/>
            </w:pPr>
            <w:r>
              <w:rPr>
                <w:rFonts w:ascii="Arial" w:hAnsi="Arial"/>
                <w:b/>
                <w:color w:val="64748B"/>
                <w:sz w:val="15"/>
              </w:rPr>
              <w:t>DỰNG TỰ ĐỘNG (USER DATA)</w:t>
              <w:br/>
            </w:r>
            <w:r>
              <w:rPr>
                <w:rFonts w:ascii="Arial" w:hAnsi="Arial"/>
                <w:b/>
                <w:color w:val="0F172A"/>
                <w:sz w:val="26"/>
              </w:rPr>
              <w:t>~2.8 phút</w:t>
              <w:br/>
            </w:r>
            <w:r>
              <w:rPr>
                <w:rFonts w:ascii="Arial" w:hAnsi="Arial"/>
                <w:color w:val="475569"/>
                <w:sz w:val="15"/>
              </w:rPr>
              <w:t>Nạp script tự động (Rút ngắn 86%)</w:t>
            </w:r>
          </w:p>
        </w:tc>
        <w:tc>
          <w:tcPr>
            <w:tcW w:type="dxa" w:w="2520"/>
            <w:shd w:fill="F8FAFC"/>
            <w:tcMar>
              <w:top w:w="100" w:type="dxa"/>
              <w:bottom w:w="100" w:type="dxa"/>
              <w:left w:w="100" w:type="dxa"/>
              <w:right w:w="100" w:type="dxa"/>
            </w:tcMar>
            <w:tcBorders>
              <w:top w:val="single" w:sz="24" w:space="0" w:color="2563EB"/>
              <w:bottom w:val="single" w:sz="4" w:space="0" w:color="E2E8F0"/>
              <w:left w:val="single" w:sz="4" w:space="0" w:color="E2E8F0"/>
              <w:right w:val="single" w:sz="4" w:space="0" w:color="E2E8F0"/>
            </w:tcBorders>
          </w:tcPr>
          <w:p>
            <w:pPr>
              <w:spacing w:before="0" w:after="0" w:line="276" w:lineRule="auto"/>
            </w:pPr>
            <w:r>
              <w:rPr>
                <w:rFonts w:ascii="Arial" w:hAnsi="Arial"/>
                <w:b/>
                <w:color w:val="64748B"/>
                <w:sz w:val="15"/>
              </w:rPr>
              <w:t>RTO THỰC TẾ (DR_MONITOR)</w:t>
              <w:br/>
            </w:r>
            <w:r>
              <w:rPr>
                <w:rFonts w:ascii="Arial" w:hAnsi="Arial"/>
                <w:b/>
                <w:color w:val="0F172A"/>
                <w:sz w:val="26"/>
              </w:rPr>
              <w:t>449.48 giây</w:t>
              <w:br/>
            </w:r>
            <w:r>
              <w:rPr>
                <w:rFonts w:ascii="Arial" w:hAnsi="Arial"/>
                <w:color w:val="475569"/>
                <w:sz w:val="15"/>
              </w:rPr>
              <w:t>150 chu kỳ ping timeout (~7.5m)</w:t>
            </w:r>
          </w:p>
        </w:tc>
        <w:tc>
          <w:tcPr>
            <w:tcW w:type="dxa" w:w="2520"/>
            <w:shd w:fill="F8FAFC"/>
            <w:tcMar>
              <w:top w:w="100" w:type="dxa"/>
              <w:bottom w:w="100" w:type="dxa"/>
              <w:left w:w="100" w:type="dxa"/>
              <w:right w:w="100" w:type="dxa"/>
            </w:tcMar>
            <w:tcBorders>
              <w:top w:val="single" w:sz="24" w:space="0" w:color="2563EB"/>
              <w:bottom w:val="single" w:sz="4" w:space="0" w:color="E2E8F0"/>
              <w:left w:val="single" w:sz="4" w:space="0" w:color="E2E8F0"/>
              <w:right w:val="single" w:sz="4" w:space="0" w:color="E2E8F0"/>
            </w:tcBorders>
          </w:tcPr>
          <w:p>
            <w:pPr>
              <w:spacing w:before="0" w:after="0" w:line="276" w:lineRule="auto"/>
            </w:pPr>
            <w:r>
              <w:rPr>
                <w:rFonts w:ascii="Arial" w:hAnsi="Arial"/>
                <w:b/>
                <w:color w:val="64748B"/>
                <w:sz w:val="15"/>
              </w:rPr>
              <w:t>CHI PHÍ ƯỚC TÍNH / THÁNG</w:t>
              <w:br/>
            </w:r>
            <w:r>
              <w:rPr>
                <w:rFonts w:ascii="Arial" w:hAnsi="Arial"/>
                <w:b/>
                <w:color w:val="0F172A"/>
                <w:sz w:val="26"/>
              </w:rPr>
              <w:t>$15.21</w:t>
              <w:br/>
            </w:r>
            <w:r>
              <w:rPr>
                <w:rFonts w:ascii="Arial" w:hAnsi="Arial"/>
                <w:color w:val="475569"/>
                <w:sz w:val="15"/>
              </w:rPr>
              <w:t>1 t3.micro + 20GB gp3 + 1 IPv4</w:t>
            </w:r>
          </w:p>
        </w:tc>
      </w:tr>
    </w:tbl>
    <w:p>
      <w:pPr>
        <w:keepNext/>
        <w:spacing w:before="320" w:after="120"/>
      </w:pPr>
      <w:r>
        <w:rPr>
          <w:rFonts w:ascii="Arial" w:hAnsi="Arial"/>
          <w:b/>
          <w:color w:val="0F172A"/>
          <w:sz w:val="26"/>
        </w:rPr>
        <w:t>1. THIẾT KẾ MẠNG VPC MULTI-AZ &amp; AN NINH MẠNG TẦNG CƠ SỞ</w:t>
      </w:r>
    </w:p>
    <w:p>
      <w:pPr>
        <w:spacing w:before="80" w:after="120" w:line="276" w:lineRule="auto"/>
      </w:pPr>
      <w:r>
        <w:rPr>
          <w:rFonts w:ascii="Arial" w:hAnsi="Arial"/>
          <w:color w:val="334155"/>
          <w:sz w:val="20"/>
        </w:rPr>
        <w:t>Để đảm bảo hệ thống đáp ứng tiêu chuẩn hạ tầng đám mây cho doanh nghiệp ngay từ kịch bản cơ bản nhất, toàn bộ mạng ảo được thiết lập độc lập dưới tên cloudevo-vpc với dải mạng 10.0.0.0/16 tại Region Singapore (ap-southeast-1):</w:t>
        <w:br/>
        <w:t>• Quy hoạch Subnetting Multi-AZ: Hệ thống chia tách thành 2 Public Subnets (10.0.1.0/24, 10.0.2.0/24) và 2 Private Subnets (10.0.11.0/24, 10.0.12.0/24) trải đều trên 2 Availability Zones (ap-southeast-1a và ap-southeast-1b).</w:t>
        <w:br/>
        <w:t>• Định tuyến Internet &amp; S3 Endpoint: Public Route Table được liên kết trực tiếp với Internet Gateway (cloudevo-igw) để cấp quyền truy cập ra/vào Internet, đồng thời tích hợp Gateway Endpoint kết nối trực tiếp Amazon S3 (cloudevo-vpce-s3).</w:t>
        <w:br/>
        <w:t>• Tối ưu hóa FinOps: Quyết định không khởi tạo NAT Gateway ở Ngày 1 giúp loại bỏ chi phí cố định ~$86/tháng cho 2 AZ, do toàn bộ ứng dụng Trường hợp 1 vận hành độc lập tại Public Subnet.</w:t>
      </w:r>
    </w:p>
    <w:p>
      <w:pPr>
        <w:spacing w:before="240" w:after="80"/>
        <w:jc w:val="center"/>
      </w:pPr>
      <w:r>
        <w:drawing>
          <wp:inline xmlns:a="http://schemas.openxmlformats.org/drawingml/2006/main" xmlns:pic="http://schemas.openxmlformats.org/drawingml/2006/picture">
            <wp:extent cx="5852160" cy="1992069"/>
            <wp:docPr id="1" name="Picture 1"/>
            <wp:cNvGraphicFramePr>
              <a:graphicFrameLocks noChangeAspect="1"/>
            </wp:cNvGraphicFramePr>
            <a:graphic>
              <a:graphicData uri="http://schemas.openxmlformats.org/drawingml/2006/picture">
                <pic:pic>
                  <pic:nvPicPr>
                    <pic:cNvPr id="0" name="input_file_2.png"/>
                    <pic:cNvPicPr/>
                  </pic:nvPicPr>
                  <pic:blipFill>
                    <a:blip r:embed="rId9"/>
                    <a:stretch>
                      <a:fillRect/>
                    </a:stretch>
                  </pic:blipFill>
                  <pic:spPr>
                    <a:xfrm>
                      <a:off x="0" y="0"/>
                      <a:ext cx="5852160" cy="1992069"/>
                    </a:xfrm>
                    <a:prstGeom prst="rect"/>
                  </pic:spPr>
                </pic:pic>
              </a:graphicData>
            </a:graphic>
          </wp:inline>
        </w:drawing>
      </w:r>
    </w:p>
    <w:p>
      <w:pPr>
        <w:spacing w:before="40" w:after="240"/>
        <w:jc w:val="center"/>
      </w:pPr>
      <w:r>
        <w:rPr>
          <w:rFonts w:ascii="Arial" w:hAnsi="Arial"/>
          <w:color w:val="475569"/>
          <w:sz w:val="18"/>
        </w:rPr>
        <w:t>Hình 1: Sơ đồ liên kết tài nguyên mạng thực tế (Resource Map) của cloudevo-vpc với 4 Subnets trải trên 2 Availability Zones và 4 Route Tables độc lập.</w:t>
      </w:r>
    </w:p>
    <w:p>
      <w:pPr>
        <w:spacing w:before="240" w:after="80"/>
        <w:jc w:val="center"/>
      </w:pPr>
      <w:r>
        <w:drawing>
          <wp:inline xmlns:a="http://schemas.openxmlformats.org/drawingml/2006/main" xmlns:pic="http://schemas.openxmlformats.org/drawingml/2006/picture">
            <wp:extent cx="5852160" cy="2921758"/>
            <wp:docPr id="2" name="Picture 2"/>
            <wp:cNvGraphicFramePr>
              <a:graphicFrameLocks noChangeAspect="1"/>
            </wp:cNvGraphicFramePr>
            <a:graphic>
              <a:graphicData uri="http://schemas.openxmlformats.org/drawingml/2006/picture">
                <pic:pic>
                  <pic:nvPicPr>
                    <pic:cNvPr id="0" name="input_file_3.png"/>
                    <pic:cNvPicPr/>
                  </pic:nvPicPr>
                  <pic:blipFill>
                    <a:blip r:embed="rId10"/>
                    <a:stretch>
                      <a:fillRect/>
                    </a:stretch>
                  </pic:blipFill>
                  <pic:spPr>
                    <a:xfrm>
                      <a:off x="0" y="0"/>
                      <a:ext cx="5852160" cy="2921758"/>
                    </a:xfrm>
                    <a:prstGeom prst="rect"/>
                  </pic:spPr>
                </pic:pic>
              </a:graphicData>
            </a:graphic>
          </wp:inline>
        </w:drawing>
      </w:r>
    </w:p>
    <w:p>
      <w:pPr>
        <w:spacing w:before="40" w:after="240"/>
        <w:jc w:val="center"/>
      </w:pPr>
      <w:r>
        <w:rPr>
          <w:rFonts w:ascii="Arial" w:hAnsi="Arial"/>
          <w:color w:val="475569"/>
          <w:sz w:val="18"/>
        </w:rPr>
        <w:t>Hình 2: Cấu hình Inbound Rules của Security Group cloudevo-web-sg chỉ mở cổng 22 (SSH quản trị) và cổng 80 (HTTP truy cập web).</w:t>
      </w:r>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200" w:type="dxa"/>
              <w:right w:w="200" w:type="dxa"/>
            </w:tcMar>
            <w:tcBorders>
              <w:top w:val="none"/>
              <w:bottom w:val="none"/>
              <w:left w:val="single" w:sz="24" w:space="0" w:color="2563EB"/>
              <w:right w:val="none"/>
            </w:tcBorders>
          </w:tcPr>
          <w:p>
            <w:pPr>
              <w:spacing w:before="40" w:after="80" w:line="276" w:lineRule="auto"/>
            </w:pPr>
            <w:r>
              <w:rPr>
                <w:rFonts w:ascii="Arial" w:hAnsi="Arial"/>
                <w:b/>
                <w:color w:val="0F172A"/>
                <w:sz w:val="21"/>
              </w:rPr>
              <w:t>📌 Đánh giá An toàn Bảo mật Tầng Mạng (Network Security Baseline)</w:t>
              <w:br/>
            </w:r>
            <w:r>
              <w:rPr>
                <w:rFonts w:ascii="Arial" w:hAnsi="Arial"/>
                <w:color w:val="334155"/>
                <w:sz w:val="19"/>
              </w:rPr>
              <w:t>Nhóm bảo mật cloudevo-web-sg hoạt động ở cơ chế Stateful, gắn trực tiếp vào card mạng ảo ENI của máy chủ EC2. Chỉ mở Port 80 (HTTP) và Port 22 (SSH); mọi cổng khác bị chặn mặc định nên không thể quét vào các dịch vụ nội bộ khác. Lưu ý: SSH đang mở cho mọi địa chỉ (0.0.0.0/0) trong môi trường lab; trên Production nên giới hạn theo dải IP quản trị hoặc dùng AWS Systems Manager Session Manager.</w:t>
            </w:r>
          </w:p>
        </w:tc>
      </w:tr>
    </w:tbl>
    <w:p>
      <w:pPr>
        <w:spacing w:before="0" w:after="80"/>
      </w:pPr>
    </w:p>
    <w:p>
      <w:pPr>
        <w:keepNext/>
        <w:spacing w:before="320" w:after="120"/>
      </w:pPr>
      <w:r>
        <w:rPr>
          <w:rFonts w:ascii="Arial" w:hAnsi="Arial"/>
          <w:b/>
          <w:color w:val="0F172A"/>
          <w:sz w:val="26"/>
        </w:rPr>
        <w:t>2. TRIỂN KHAI WEB APP MẪU &amp; GIÁM SÁT SỨC KHỎE (/HEALTH)</w:t>
      </w:r>
    </w:p>
    <w:p>
      <w:pPr>
        <w:spacing w:before="80" w:after="120" w:line="276" w:lineRule="auto"/>
      </w:pPr>
      <w:r>
        <w:rPr>
          <w:rFonts w:ascii="Arial" w:hAnsi="Arial"/>
          <w:color w:val="334155"/>
          <w:sz w:val="20"/>
        </w:rPr>
        <w:t>Ứng dụng mẫu CloudEvo Order &amp; Transaction Tracker được xây dựng trên nền tảng Node.js (Express), đóng gói bằng Multi-stage Dockerfile nhằm tối ưu dung lượng image xuống dưới 120MB và vận hành phía sau Nginx Reverse Proxy ở cổng 80:</w:t>
        <w:br/>
        <w:t>• Cơ chế lưu trữ: Ứng dụng chạy với biến môi trường STORAGE_MODE=memory (Stateless), các giao dịch tài chính mẫu được khởi tạo và lưu trữ trực tiếp trên bộ nhớ RAM của tiến trình.</w:t>
        <w:br/>
        <w:t>• Endpoint Giám sát Tự động (/health): Cung cấp phản hồi JSON theo thời gian thực trả về status: "UP", db_connected: false, db_latency_ms: 0, mã nhận diện máy chủ hostname (fe5dc1f64f31) và mốc thời gian hệ thống UTC (2026-10-19T08:33:44.341Z). Đây là thành phần quyết định giúp công cụ giám sát đo lường gián đoạn chính xác từng giây.</w:t>
      </w:r>
    </w:p>
    <w:p>
      <w:pPr>
        <w:spacing w:before="240" w:after="80"/>
        <w:jc w:val="center"/>
      </w:pPr>
      <w:r>
        <w:drawing>
          <wp:inline xmlns:a="http://schemas.openxmlformats.org/drawingml/2006/main" xmlns:pic="http://schemas.openxmlformats.org/drawingml/2006/picture">
            <wp:extent cx="5852160" cy="3347357"/>
            <wp:docPr id="3" name="Picture 3"/>
            <wp:cNvGraphicFramePr>
              <a:graphicFrameLocks noChangeAspect="1"/>
            </wp:cNvGraphicFramePr>
            <a:graphic>
              <a:graphicData uri="http://schemas.openxmlformats.org/drawingml/2006/picture">
                <pic:pic>
                  <pic:nvPicPr>
                    <pic:cNvPr id="0" name="input_file_4.png"/>
                    <pic:cNvPicPr/>
                  </pic:nvPicPr>
                  <pic:blipFill>
                    <a:blip r:embed="rId11"/>
                    <a:stretch>
                      <a:fillRect/>
                    </a:stretch>
                  </pic:blipFill>
                  <pic:spPr>
                    <a:xfrm>
                      <a:off x="0" y="0"/>
                      <a:ext cx="5852160" cy="3347357"/>
                    </a:xfrm>
                    <a:prstGeom prst="rect"/>
                  </pic:spPr>
                </pic:pic>
              </a:graphicData>
            </a:graphic>
          </wp:inline>
        </w:drawing>
      </w:r>
    </w:p>
    <w:p>
      <w:pPr>
        <w:spacing w:before="40" w:after="240"/>
        <w:jc w:val="center"/>
      </w:pPr>
      <w:r>
        <w:rPr>
          <w:rFonts w:ascii="Arial" w:hAnsi="Arial"/>
          <w:color w:val="475569"/>
          <w:sz w:val="18"/>
        </w:rPr>
        <w:t>Hình 3: Giao diện ứng dụng CloudEvo hoạt động tại Public IPv4 47.129.189.162, ghi nhận đơn hàng khởi tạo $150.00 trên Hostname fe5dc1f64f31.</w:t>
      </w:r>
    </w:p>
    <w:p>
      <w:pPr>
        <w:spacing w:before="240" w:after="80"/>
        <w:jc w:val="center"/>
      </w:pPr>
      <w:r>
        <w:drawing>
          <wp:inline xmlns:a="http://schemas.openxmlformats.org/drawingml/2006/main" xmlns:pic="http://schemas.openxmlformats.org/drawingml/2006/picture">
            <wp:extent cx="5852160" cy="3326956"/>
            <wp:docPr id="4" name="Picture 4"/>
            <wp:cNvGraphicFramePr>
              <a:graphicFrameLocks noChangeAspect="1"/>
            </wp:cNvGraphicFramePr>
            <a:graphic>
              <a:graphicData uri="http://schemas.openxmlformats.org/drawingml/2006/picture">
                <pic:pic>
                  <pic:nvPicPr>
                    <pic:cNvPr id="0" name="input_file_5.png"/>
                    <pic:cNvPicPr/>
                  </pic:nvPicPr>
                  <pic:blipFill>
                    <a:blip r:embed="rId12"/>
                    <a:stretch>
                      <a:fillRect/>
                    </a:stretch>
                  </pic:blipFill>
                  <pic:spPr>
                    <a:xfrm>
                      <a:off x="0" y="0"/>
                      <a:ext cx="5852160" cy="3326956"/>
                    </a:xfrm>
                    <a:prstGeom prst="rect"/>
                  </pic:spPr>
                </pic:pic>
              </a:graphicData>
            </a:graphic>
          </wp:inline>
        </w:drawing>
      </w:r>
    </w:p>
    <w:p>
      <w:pPr>
        <w:spacing w:before="40" w:after="240"/>
        <w:jc w:val="center"/>
      </w:pPr>
      <w:r>
        <w:rPr>
          <w:rFonts w:ascii="Arial" w:hAnsi="Arial"/>
          <w:color w:val="475569"/>
          <w:sz w:val="18"/>
        </w:rPr>
        <w:t>Hình 4: Endpoint /health phản hồi mã chuẩn HTTP 200 trạng thái UP, xác nhận kết nối và độ trễ 0ms ở chế độ memory.</w:t>
      </w:r>
    </w:p>
    <w:p>
      <w:pPr>
        <w:keepNext/>
        <w:spacing w:before="320" w:after="120"/>
      </w:pPr>
      <w:r>
        <w:rPr>
          <w:rFonts w:ascii="Arial" w:hAnsi="Arial"/>
          <w:b/>
          <w:color w:val="0F172A"/>
          <w:sz w:val="26"/>
        </w:rPr>
        <w:t>3. SO SÁNH THỜI GIAN TRIỂN KHAI: THỦ CÔNG (CLICKOPS) VS. TỰ ĐỘNG HÓA</w:t>
      </w:r>
    </w:p>
    <w:p>
      <w:pPr>
        <w:spacing w:before="80" w:after="120" w:line="276" w:lineRule="auto"/>
      </w:pPr>
      <w:r>
        <w:rPr>
          <w:rFonts w:ascii="Arial" w:hAnsi="Arial"/>
          <w:color w:val="334155"/>
          <w:sz w:val="20"/>
        </w:rPr>
        <w:t>Để trả lời Câu hỏi khách hàng #1 ("Host web app trên AWS mất bao lâu?"), tiến trình thiết lập Trường hợp 1 được thực hiện qua hai phương thức độc lập và bấm giờ thực tế từ lúc bắt đầu cấu hình:</w:t>
      </w:r>
    </w:p>
    <w:tbl>
      <w:tblPr>
        <w:tblW w:type="auto" w:w="0"/>
        <w:jc w:val="center"/>
        <w:tblLook w:firstColumn="1" w:firstRow="1" w:lastColumn="0" w:lastRow="0" w:noHBand="0" w:noVBand="1" w:val="04A0"/>
      </w:tblPr>
      <w:tblGrid>
        <w:gridCol w:w="3360"/>
        <w:gridCol w:w="3360"/>
        <w:gridCol w:w="3360"/>
      </w:tblGrid>
      <w:tr>
        <w:tc>
          <w:tcPr>
            <w:tcW w:type="dxa" w:w="2592"/>
            <w:shd w:fill="F1F5F9"/>
            <w:tcMar>
              <w:top w:w="100" w:type="dxa"/>
              <w:bottom w:w="100" w:type="dxa"/>
              <w:left w:w="120" w:type="dxa"/>
              <w:right w:w="120" w:type="dxa"/>
            </w:tcMar>
            <w:tcBorders>
              <w:top w:val="single" w:sz="8" w:space="0" w:color="0F172A"/>
              <w:bottom w:val="single" w:sz="8" w:space="0" w:color="0F172A"/>
              <w:left w:val="none"/>
              <w:right w:val="none"/>
            </w:tcBorders>
          </w:tcPr>
          <w:p>
            <w:pPr>
              <w:spacing w:before="0" w:after="0"/>
            </w:pPr>
            <w:r>
              <w:rPr>
                <w:rFonts w:ascii="Arial" w:hAnsi="Arial"/>
                <w:b/>
                <w:color w:val="0F172A"/>
                <w:sz w:val="17"/>
              </w:rPr>
              <w:t>TIÊU CHÍ ĐÁNH GIÁ</w:t>
            </w:r>
          </w:p>
        </w:tc>
        <w:tc>
          <w:tcPr>
            <w:tcW w:type="dxa" w:w="3744"/>
            <w:shd w:fill="F1F5F9"/>
            <w:tcMar>
              <w:top w:w="100" w:type="dxa"/>
              <w:bottom w:w="100" w:type="dxa"/>
              <w:left w:w="120" w:type="dxa"/>
              <w:right w:w="120" w:type="dxa"/>
            </w:tcMar>
            <w:tcBorders>
              <w:top w:val="single" w:sz="8" w:space="0" w:color="0F172A"/>
              <w:bottom w:val="single" w:sz="8" w:space="0" w:color="0F172A"/>
              <w:left w:val="none"/>
              <w:right w:val="none"/>
            </w:tcBorders>
          </w:tcPr>
          <w:p>
            <w:pPr>
              <w:spacing w:before="0" w:after="0"/>
            </w:pPr>
            <w:r>
              <w:rPr>
                <w:rFonts w:ascii="Arial" w:hAnsi="Arial"/>
                <w:b/>
                <w:color w:val="0F172A"/>
                <w:sz w:val="17"/>
              </w:rPr>
              <w:t>TRIỂN KHAI THỦ CÔNG (CLICKOPS CONSOLE)</w:t>
            </w:r>
          </w:p>
        </w:tc>
        <w:tc>
          <w:tcPr>
            <w:tcW w:type="dxa" w:w="3744"/>
            <w:shd w:fill="F1F5F9"/>
            <w:tcMar>
              <w:top w:w="100" w:type="dxa"/>
              <w:bottom w:w="100" w:type="dxa"/>
              <w:left w:w="120" w:type="dxa"/>
              <w:right w:w="120" w:type="dxa"/>
            </w:tcMar>
            <w:tcBorders>
              <w:top w:val="single" w:sz="8" w:space="0" w:color="0F172A"/>
              <w:bottom w:val="single" w:sz="8" w:space="0" w:color="0F172A"/>
              <w:left w:val="none"/>
              <w:right w:val="none"/>
            </w:tcBorders>
          </w:tcPr>
          <w:p>
            <w:pPr>
              <w:spacing w:before="0" w:after="0"/>
            </w:pPr>
            <w:r>
              <w:rPr>
                <w:rFonts w:ascii="Arial" w:hAnsi="Arial"/>
                <w:b/>
                <w:color w:val="0F172A"/>
                <w:sz w:val="17"/>
              </w:rPr>
              <w:t>TỰ ĐỘNG HÓA (EC2 USER DATA SCRIPT)</w:t>
            </w:r>
          </w:p>
        </w:tc>
      </w:tr>
      <w:tr>
        <w:tc>
          <w:tcPr>
            <w:tcW w:type="dxa" w:w="2592"/>
            <w:shd w:fill="FFFFFF"/>
            <w:tcMar>
              <w:top w:w="90" w:type="dxa"/>
              <w:bottom w:w="90" w:type="dxa"/>
              <w:left w:w="120" w:type="dxa"/>
              <w:right w:w="120" w:type="dxa"/>
            </w:tcMar>
            <w:tcBorders>
              <w:top w:val="none"/>
              <w:bottom w:val="single" w:sz="4" w:space="0" w:color="E2E8F0"/>
              <w:left w:val="none"/>
              <w:right w:val="none"/>
            </w:tcBorders>
          </w:tcPr>
          <w:p>
            <w:pPr>
              <w:spacing w:before="0" w:after="0" w:line="276" w:lineRule="auto"/>
            </w:pPr>
            <w:r>
              <w:rPr>
                <w:rFonts w:ascii="Arial" w:hAnsi="Arial"/>
                <w:b/>
                <w:color w:val="0F172A"/>
                <w:sz w:val="17"/>
              </w:rPr>
              <w:t>Thời gian hoàn thành</w:t>
            </w:r>
          </w:p>
        </w:tc>
        <w:tc>
          <w:tcPr>
            <w:tcW w:type="dxa" w:w="3744"/>
            <w:shd w:fill="FFFFFF"/>
            <w:tcMar>
              <w:top w:w="90" w:type="dxa"/>
              <w:bottom w:w="90" w:type="dxa"/>
              <w:left w:w="120" w:type="dxa"/>
              <w:right w:w="120" w:type="dxa"/>
            </w:tcMar>
            <w:tcBorders>
              <w:top w:val="none"/>
              <w:bottom w:val="single" w:sz="4" w:space="0" w:color="E2E8F0"/>
              <w:left w:val="none"/>
              <w:right w:val="none"/>
            </w:tcBorders>
          </w:tcPr>
          <w:p>
            <w:pPr>
              <w:spacing w:before="0" w:after="0" w:line="276" w:lineRule="auto"/>
            </w:pPr>
            <w:r>
              <w:rPr>
                <w:rFonts w:ascii="Arial" w:hAnsi="Arial"/>
                <w:color w:val="334155"/>
                <w:sz w:val="17"/>
              </w:rPr>
              <w:t>20.0 phút (1.200 giây) cho toàn bộ chu trình tạo Key Pair, Launch EC2, SCP mã nguồn và SSH cài Docker.</w:t>
            </w:r>
          </w:p>
        </w:tc>
        <w:tc>
          <w:tcPr>
            <w:tcW w:type="dxa" w:w="3744"/>
            <w:shd w:fill="FFFFFF"/>
            <w:tcMar>
              <w:top w:w="90" w:type="dxa"/>
              <w:bottom w:w="90" w:type="dxa"/>
              <w:left w:w="120" w:type="dxa"/>
              <w:right w:w="120" w:type="dxa"/>
            </w:tcMar>
            <w:tcBorders>
              <w:top w:val="none"/>
              <w:bottom w:val="single" w:sz="4" w:space="0" w:color="E2E8F0"/>
              <w:left w:val="none"/>
              <w:right w:val="none"/>
            </w:tcBorders>
          </w:tcPr>
          <w:p>
            <w:pPr>
              <w:spacing w:before="0" w:after="0" w:line="276" w:lineRule="auto"/>
            </w:pPr>
            <w:r>
              <w:rPr>
                <w:rFonts w:ascii="Arial" w:hAnsi="Arial"/>
                <w:color w:val="334155"/>
                <w:sz w:val="17"/>
              </w:rPr>
              <w:t>2 phút 48 giây (~168 giây) từ lúc bấm Launch máy đến khi nhận request đầu tiên (Rút ngắn 86%).</w:t>
            </w:r>
          </w:p>
        </w:tc>
      </w:tr>
      <w:tr>
        <w:tc>
          <w:tcPr>
            <w:tcW w:type="dxa" w:w="2592"/>
            <w:shd w:fill="F8FAFC"/>
            <w:tcMar>
              <w:top w:w="90" w:type="dxa"/>
              <w:bottom w:w="90" w:type="dxa"/>
              <w:left w:w="120" w:type="dxa"/>
              <w:right w:w="120" w:type="dxa"/>
            </w:tcMar>
            <w:tcBorders>
              <w:top w:val="none"/>
              <w:bottom w:val="single" w:sz="4" w:space="0" w:color="E2E8F0"/>
              <w:left w:val="none"/>
              <w:right w:val="none"/>
            </w:tcBorders>
          </w:tcPr>
          <w:p>
            <w:pPr>
              <w:spacing w:before="0" w:after="0" w:line="276" w:lineRule="auto"/>
            </w:pPr>
            <w:r>
              <w:rPr>
                <w:rFonts w:ascii="Arial" w:hAnsi="Arial"/>
                <w:b/>
                <w:color w:val="0F172A"/>
                <w:sz w:val="17"/>
              </w:rPr>
              <w:t>Thao tác kỹ thuật</w:t>
            </w:r>
          </w:p>
        </w:tc>
        <w:tc>
          <w:tcPr>
            <w:tcW w:type="dxa" w:w="3744"/>
            <w:shd w:fill="F8FAFC"/>
            <w:tcMar>
              <w:top w:w="90" w:type="dxa"/>
              <w:bottom w:w="90" w:type="dxa"/>
              <w:left w:w="120" w:type="dxa"/>
              <w:right w:w="120" w:type="dxa"/>
            </w:tcMar>
            <w:tcBorders>
              <w:top w:val="none"/>
              <w:bottom w:val="single" w:sz="4" w:space="0" w:color="E2E8F0"/>
              <w:left w:val="none"/>
              <w:right w:val="none"/>
            </w:tcBorders>
          </w:tcPr>
          <w:p>
            <w:pPr>
              <w:spacing w:before="0" w:after="0" w:line="276" w:lineRule="auto"/>
            </w:pPr>
            <w:r>
              <w:rPr>
                <w:rFonts w:ascii="Arial" w:hAnsi="Arial"/>
                <w:color w:val="334155"/>
                <w:sz w:val="17"/>
              </w:rPr>
              <w:t>Đăng nhập Console, click chọn từng menu, chờ cấp phát, mở terminal SSH gõ từng lệnh bash và docker compose.</w:t>
            </w:r>
          </w:p>
        </w:tc>
        <w:tc>
          <w:tcPr>
            <w:tcW w:type="dxa" w:w="3744"/>
            <w:shd w:fill="F8FAFC"/>
            <w:tcMar>
              <w:top w:w="90" w:type="dxa"/>
              <w:bottom w:w="90" w:type="dxa"/>
              <w:left w:w="120" w:type="dxa"/>
              <w:right w:w="120" w:type="dxa"/>
            </w:tcMar>
            <w:tcBorders>
              <w:top w:val="none"/>
              <w:bottom w:val="single" w:sz="4" w:space="0" w:color="E2E8F0"/>
              <w:left w:val="none"/>
              <w:right w:val="none"/>
            </w:tcBorders>
          </w:tcPr>
          <w:p>
            <w:pPr>
              <w:spacing w:before="0" w:after="0" w:line="276" w:lineRule="auto"/>
            </w:pPr>
            <w:r>
              <w:rPr>
                <w:rFonts w:ascii="Arial" w:hAnsi="Arial"/>
                <w:color w:val="334155"/>
                <w:sz w:val="17"/>
              </w:rPr>
              <w:t>Dán kịch bản user_data_case1.sh vào ô User Data; máy chủ tự động cài đặt ngầm 100% không cần can thiệp.</w:t>
            </w:r>
          </w:p>
        </w:tc>
      </w:tr>
      <w:tr>
        <w:tc>
          <w:tcPr>
            <w:tcW w:type="dxa" w:w="2592"/>
            <w:shd w:fill="FFFFFF"/>
            <w:tcMar>
              <w:top w:w="90" w:type="dxa"/>
              <w:bottom w:w="90" w:type="dxa"/>
              <w:left w:w="120" w:type="dxa"/>
              <w:right w:w="120" w:type="dxa"/>
            </w:tcMar>
            <w:tcBorders>
              <w:top w:val="none"/>
              <w:bottom w:val="single" w:sz="4" w:space="0" w:color="E2E8F0"/>
              <w:left w:val="none"/>
              <w:right w:val="none"/>
            </w:tcBorders>
          </w:tcPr>
          <w:p>
            <w:pPr>
              <w:spacing w:before="0" w:after="0" w:line="276" w:lineRule="auto"/>
            </w:pPr>
            <w:r>
              <w:rPr>
                <w:rFonts w:ascii="Arial" w:hAnsi="Arial"/>
                <w:b/>
                <w:color w:val="0F172A"/>
                <w:sz w:val="17"/>
              </w:rPr>
              <w:t>Khả năng lặp lại &amp; Sai số</w:t>
            </w:r>
          </w:p>
        </w:tc>
        <w:tc>
          <w:tcPr>
            <w:tcW w:type="dxa" w:w="3744"/>
            <w:shd w:fill="FFFFFF"/>
            <w:tcMar>
              <w:top w:w="90" w:type="dxa"/>
              <w:bottom w:w="90" w:type="dxa"/>
              <w:left w:w="120" w:type="dxa"/>
              <w:right w:w="120" w:type="dxa"/>
            </w:tcMar>
            <w:tcBorders>
              <w:top w:val="none"/>
              <w:bottom w:val="single" w:sz="4" w:space="0" w:color="E2E8F0"/>
              <w:left w:val="none"/>
              <w:right w:val="none"/>
            </w:tcBorders>
          </w:tcPr>
          <w:p>
            <w:pPr>
              <w:spacing w:before="0" w:after="0" w:line="276" w:lineRule="auto"/>
            </w:pPr>
            <w:r>
              <w:rPr>
                <w:rFonts w:ascii="Arial" w:hAnsi="Arial"/>
                <w:color w:val="334155"/>
                <w:sz w:val="17"/>
              </w:rPr>
              <w:t>Rất kém; dễ phát sinh lỗi gõ sai lệnh, quên phân quyền file .pem hoặc mở thiếu cổng Security Group.</w:t>
            </w:r>
          </w:p>
        </w:tc>
        <w:tc>
          <w:tcPr>
            <w:tcW w:type="dxa" w:w="3744"/>
            <w:shd w:fill="FFFFFF"/>
            <w:tcMar>
              <w:top w:w="90" w:type="dxa"/>
              <w:bottom w:w="90" w:type="dxa"/>
              <w:left w:w="120" w:type="dxa"/>
              <w:right w:w="120" w:type="dxa"/>
            </w:tcMar>
            <w:tcBorders>
              <w:top w:val="none"/>
              <w:bottom w:val="single" w:sz="4" w:space="0" w:color="E2E8F0"/>
              <w:left w:val="none"/>
              <w:right w:val="none"/>
            </w:tcBorders>
          </w:tcPr>
          <w:p>
            <w:pPr>
              <w:spacing w:before="0" w:after="0" w:line="276" w:lineRule="auto"/>
            </w:pPr>
            <w:r>
              <w:rPr>
                <w:rFonts w:ascii="Arial" w:hAnsi="Arial"/>
                <w:color w:val="334155"/>
                <w:sz w:val="17"/>
              </w:rPr>
              <w:t>Tái lập được (reproducible): cùng một script tạo ra các máy chủ có cấu hình giống nhau.</w:t>
            </w:r>
          </w:p>
        </w:tc>
      </w:tr>
      <w:tr>
        <w:tc>
          <w:tcPr>
            <w:tcW w:type="dxa" w:w="2592"/>
            <w:shd w:fill="F8FAFC"/>
            <w:tcMar>
              <w:top w:w="90" w:type="dxa"/>
              <w:bottom w:w="90" w:type="dxa"/>
              <w:left w:w="120" w:type="dxa"/>
              <w:right w:w="120" w:type="dxa"/>
            </w:tcMar>
            <w:tcBorders>
              <w:top w:val="none"/>
              <w:bottom w:val="single" w:sz="8" w:space="0" w:color="0F172A"/>
              <w:left w:val="none"/>
              <w:right w:val="none"/>
            </w:tcBorders>
          </w:tcPr>
          <w:p>
            <w:pPr>
              <w:spacing w:before="0" w:after="0" w:line="276" w:lineRule="auto"/>
            </w:pPr>
            <w:r>
              <w:rPr>
                <w:rFonts w:ascii="Arial" w:hAnsi="Arial"/>
                <w:b/>
                <w:color w:val="0F172A"/>
                <w:sz w:val="17"/>
              </w:rPr>
              <w:t>Độ ổn định vận hành</w:t>
            </w:r>
          </w:p>
        </w:tc>
        <w:tc>
          <w:tcPr>
            <w:tcW w:type="dxa" w:w="3744"/>
            <w:shd w:fill="F8FAFC"/>
            <w:tcMar>
              <w:top w:w="90" w:type="dxa"/>
              <w:bottom w:w="90" w:type="dxa"/>
              <w:left w:w="120" w:type="dxa"/>
              <w:right w:w="120" w:type="dxa"/>
            </w:tcMar>
            <w:tcBorders>
              <w:top w:val="none"/>
              <w:bottom w:val="single" w:sz="8" w:space="0" w:color="0F172A"/>
              <w:left w:val="none"/>
              <w:right w:val="none"/>
            </w:tcBorders>
          </w:tcPr>
          <w:p>
            <w:pPr>
              <w:spacing w:before="0" w:after="0" w:line="276" w:lineRule="auto"/>
            </w:pPr>
            <w:r>
              <w:rPr>
                <w:rFonts w:ascii="Arial" w:hAnsi="Arial"/>
                <w:color w:val="334155"/>
                <w:sz w:val="17"/>
              </w:rPr>
              <w:t>Không có nhật ký cài đặt chuẩn hóa; khó khăn khi chuyển giao cho nhân sự khác.</w:t>
            </w:r>
          </w:p>
        </w:tc>
        <w:tc>
          <w:tcPr>
            <w:tcW w:type="dxa" w:w="3744"/>
            <w:shd w:fill="F8FAFC"/>
            <w:tcMar>
              <w:top w:w="90" w:type="dxa"/>
              <w:bottom w:w="90" w:type="dxa"/>
              <w:left w:w="120" w:type="dxa"/>
              <w:right w:w="120" w:type="dxa"/>
            </w:tcMar>
            <w:tcBorders>
              <w:top w:val="none"/>
              <w:bottom w:val="single" w:sz="8" w:space="0" w:color="0F172A"/>
              <w:left w:val="none"/>
              <w:right w:val="none"/>
            </w:tcBorders>
          </w:tcPr>
          <w:p>
            <w:pPr>
              <w:spacing w:before="0" w:after="0" w:line="276" w:lineRule="auto"/>
            </w:pPr>
            <w:r>
              <w:rPr>
                <w:rFonts w:ascii="Arial" w:hAnsi="Arial"/>
                <w:color w:val="334155"/>
                <w:sz w:val="17"/>
              </w:rPr>
              <w:t>Toàn bộ tiến trình thực thi được lưu vết minh bạch tại /var/log/user-data.log phục vụ công tác khắc phục sự cố.</w:t>
            </w:r>
          </w:p>
        </w:tc>
      </w:tr>
    </w:tbl>
    <w:p>
      <w:pPr>
        <w:spacing w:after="80"/>
      </w:pPr>
    </w:p>
    <w:p>
      <w:pPr>
        <w:spacing w:before="240" w:after="80"/>
        <w:jc w:val="center"/>
      </w:pPr>
      <w:r>
        <w:drawing>
          <wp:inline xmlns:a="http://schemas.openxmlformats.org/drawingml/2006/main" xmlns:pic="http://schemas.openxmlformats.org/drawingml/2006/picture">
            <wp:extent cx="5852160" cy="3044273"/>
            <wp:docPr id="5" name="Picture 5"/>
            <wp:cNvGraphicFramePr>
              <a:graphicFrameLocks noChangeAspect="1"/>
            </wp:cNvGraphicFramePr>
            <a:graphic>
              <a:graphicData uri="http://schemas.openxmlformats.org/drawingml/2006/picture">
                <pic:pic>
                  <pic:nvPicPr>
                    <pic:cNvPr id="0" name="input_file_8.png"/>
                    <pic:cNvPicPr/>
                  </pic:nvPicPr>
                  <pic:blipFill>
                    <a:blip r:embed="rId13"/>
                    <a:stretch>
                      <a:fillRect/>
                    </a:stretch>
                  </pic:blipFill>
                  <pic:spPr>
                    <a:xfrm>
                      <a:off x="0" y="0"/>
                      <a:ext cx="5852160" cy="3044273"/>
                    </a:xfrm>
                    <a:prstGeom prst="rect"/>
                  </pic:spPr>
                </pic:pic>
              </a:graphicData>
            </a:graphic>
          </wp:inline>
        </w:drawing>
      </w:r>
    </w:p>
    <w:p>
      <w:pPr>
        <w:spacing w:before="40" w:after="240"/>
        <w:jc w:val="center"/>
      </w:pPr>
      <w:r>
        <w:rPr>
          <w:rFonts w:ascii="Arial" w:hAnsi="Arial"/>
          <w:color w:val="475569"/>
          <w:sz w:val="18"/>
        </w:rPr>
        <w:t>Hình 5: Cấu hình nạp tập lệnh Bootstrap user_data_case1.sh vào ô User Data của EC2 giúp tự động hóa toàn diện quá trình khởi tạo.</w:t>
      </w:r>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200" w:type="dxa"/>
              <w:right w:w="200" w:type="dxa"/>
            </w:tcMar>
            <w:tcBorders>
              <w:top w:val="none"/>
              <w:bottom w:val="none"/>
              <w:left w:val="single" w:sz="24" w:space="0" w:color="059669"/>
              <w:right w:val="none"/>
            </w:tcBorders>
          </w:tcPr>
          <w:p>
            <w:pPr>
              <w:spacing w:before="40" w:after="80" w:line="276" w:lineRule="auto"/>
            </w:pPr>
            <w:r>
              <w:rPr>
                <w:rFonts w:ascii="Arial" w:hAnsi="Arial"/>
                <w:b/>
                <w:color w:val="0F172A"/>
                <w:sz w:val="21"/>
              </w:rPr>
              <w:t>📌 Kết luận Tốc độ Triển khai (Provisioning Velocity)</w:t>
              <w:br/>
            </w:r>
            <w:r>
              <w:rPr>
                <w:rFonts w:ascii="Arial" w:hAnsi="Arial"/>
                <w:color w:val="334155"/>
                <w:sz w:val="19"/>
              </w:rPr>
              <w:t>Việc ứng dụng kịch bản User Data giúp doanh nghiệp rút ngắn 86% thời gian đưa ứng dụng lên đám mây (từ 20 phút xuống dưới 3 phút). Đây là nền tảng cốt lõi để chuẩn bị cho việc tích hợp vào các nhóm co giãn tự động (Auto Scaling Group) và hạ tầng dưới dạng mã Terraform ở các giai đoạn sau.</w:t>
            </w:r>
          </w:p>
        </w:tc>
      </w:tr>
    </w:tbl>
    <w:p>
      <w:pPr>
        <w:spacing w:before="0" w:after="80"/>
      </w:pPr>
    </w:p>
    <w:p>
      <w:pPr>
        <w:keepNext/>
        <w:spacing w:before="320" w:after="120"/>
      </w:pPr>
      <w:r>
        <w:rPr>
          <w:rFonts w:ascii="Arial" w:hAnsi="Arial"/>
          <w:b/>
          <w:color w:val="0F172A"/>
          <w:sz w:val="26"/>
        </w:rPr>
        <w:t>4. THỰC NGHIỆM PHỤC HỒI THẢM HỌA (DR BENCHMARK: RTO &amp; RPO)</w:t>
      </w:r>
    </w:p>
    <w:p>
      <w:pPr>
        <w:spacing w:before="80" w:after="120" w:line="276" w:lineRule="auto"/>
      </w:pPr>
      <w:r>
        <w:rPr>
          <w:rFonts w:ascii="Arial" w:hAnsi="Arial"/>
          <w:color w:val="334155"/>
          <w:sz w:val="20"/>
        </w:rPr>
        <w:t>Để trả lời Câu hỏi khách hàng #3 ("Thời gian phục hồi RTO và mức độ mất dữ liệu RPO khi xảy ra sự cố?"), kịch bản giả lập thảm họa được thực hiện bằng cách cố định Elastic IP, kích hoạt công cụ scripts/dr_monitor.py ping mỗi 1 giây vào /health, sau đó thực hiện lệnh Terminate xóa sổ hoàn toàn máy chủ EC2 ban đầu:</w:t>
      </w:r>
    </w:p>
    <w:p>
      <w:pPr>
        <w:spacing w:before="240" w:after="80"/>
        <w:jc w:val="center"/>
      </w:pPr>
      <w:r>
        <w:drawing>
          <wp:inline xmlns:a="http://schemas.openxmlformats.org/drawingml/2006/main" xmlns:pic="http://schemas.openxmlformats.org/drawingml/2006/picture">
            <wp:extent cx="5852160" cy="3382129"/>
            <wp:docPr id="6" name="Picture 6"/>
            <wp:cNvGraphicFramePr>
              <a:graphicFrameLocks noChangeAspect="1"/>
            </wp:cNvGraphicFramePr>
            <a:graphic>
              <a:graphicData uri="http://schemas.openxmlformats.org/drawingml/2006/picture">
                <pic:pic>
                  <pic:nvPicPr>
                    <pic:cNvPr id="0" name="input_file_6.png"/>
                    <pic:cNvPicPr/>
                  </pic:nvPicPr>
                  <pic:blipFill>
                    <a:blip r:embed="rId14"/>
                    <a:stretch>
                      <a:fillRect/>
                    </a:stretch>
                  </pic:blipFill>
                  <pic:spPr>
                    <a:xfrm>
                      <a:off x="0" y="0"/>
                      <a:ext cx="5852160" cy="3382129"/>
                    </a:xfrm>
                    <a:prstGeom prst="rect"/>
                  </pic:spPr>
                </pic:pic>
              </a:graphicData>
            </a:graphic>
          </wp:inline>
        </w:drawing>
      </w:r>
    </w:p>
    <w:p>
      <w:pPr>
        <w:spacing w:before="40" w:after="240"/>
        <w:jc w:val="center"/>
      </w:pPr>
      <w:r>
        <w:rPr>
          <w:rFonts w:ascii="Arial" w:hAnsi="Arial"/>
          <w:color w:val="475569"/>
          <w:sz w:val="18"/>
        </w:rPr>
        <w:t>Hình 6: Công cụ dr_monitor.py phát hiện gián đoạn tức thì lúc 15:44:45, tự động kích hoạt đồng hồ bấm giờ đo lường thời gian chết (Downtime).</w:t>
      </w:r>
    </w:p>
    <w:p>
      <w:pPr>
        <w:spacing w:before="240" w:after="80"/>
        <w:jc w:val="center"/>
      </w:pPr>
      <w:r>
        <w:drawing>
          <wp:inline xmlns:a="http://schemas.openxmlformats.org/drawingml/2006/main" xmlns:pic="http://schemas.openxmlformats.org/drawingml/2006/picture">
            <wp:extent cx="5852160" cy="3476806"/>
            <wp:docPr id="7" name="Picture 7"/>
            <wp:cNvGraphicFramePr>
              <a:graphicFrameLocks noChangeAspect="1"/>
            </wp:cNvGraphicFramePr>
            <a:graphic>
              <a:graphicData uri="http://schemas.openxmlformats.org/drawingml/2006/picture">
                <pic:pic>
                  <pic:nvPicPr>
                    <pic:cNvPr id="0" name="input_file_7.png"/>
                    <pic:cNvPicPr/>
                  </pic:nvPicPr>
                  <pic:blipFill>
                    <a:blip r:embed="rId15"/>
                    <a:stretch>
                      <a:fillRect/>
                    </a:stretch>
                  </pic:blipFill>
                  <pic:spPr>
                    <a:xfrm>
                      <a:off x="0" y="0"/>
                      <a:ext cx="5852160" cy="3476806"/>
                    </a:xfrm>
                    <a:prstGeom prst="rect"/>
                  </pic:spPr>
                </pic:pic>
              </a:graphicData>
            </a:graphic>
          </wp:inline>
        </w:drawing>
      </w:r>
    </w:p>
    <w:p>
      <w:pPr>
        <w:spacing w:before="40" w:after="240"/>
        <w:jc w:val="center"/>
      </w:pPr>
      <w:r>
        <w:rPr>
          <w:rFonts w:ascii="Arial" w:hAnsi="Arial"/>
          <w:color w:val="475569"/>
          <w:sz w:val="18"/>
        </w:rPr>
        <w:t>Hình 7: Hệ thống tự động phục hồi thành công lúc 15:52:16 với tổng thời gian gián đoạn RTO đạt 449.48 giây; Hostname đổi sang 363732ec3ca3.</w:t>
      </w:r>
    </w:p>
    <w:p>
      <w:pPr>
        <w:spacing w:before="120" w:after="120" w:line="276" w:lineRule="auto"/>
      </w:pPr>
      <w:r>
        <w:rPr>
          <w:rFonts w:ascii="Arial" w:hAnsi="Arial"/>
          <w:b/>
          <w:color w:val="0F172A"/>
          <w:sz w:val="21"/>
        </w:rPr>
        <w:t>Phân tích chuyên sâu về RTO &amp; RPO trong Kiến trúc Stateless Single EC2:</w:t>
        <w:br/>
      </w:r>
      <w:r>
        <w:rPr>
          <w:rFonts w:ascii="Arial" w:hAnsi="Arial"/>
          <w:color w:val="334155"/>
          <w:sz w:val="20"/>
        </w:rPr>
        <w:t>• Bóc tách Chỉ số Thời gian Phục hồi (RTO = 449.48 giây ~ 7.5 phút): Trong đó: ~15s là thời gian script dr_monitor.py phát hiện chu kỳ timeout; ~1.7 phút là thời gian kỹ sư phát hiện cảnh báo, truy cập Console và cấu hình máy chủ thay thế; ~45s AWS cấp phát tài nguyên và boot hệ điều hành Ubuntu 22.04 LTS; ~4.4 phút script User Data tự động chạy ngầm (cập nhật apt, cài đặt Docker, dựng môi trường và build image Node.js/Nginx); ~19s kỹ sư gắn lại Elastic IP sang máy chủ mới và Nginx tiếp nhận kết nối trả về mã HTTP 200 trạng thái UP.</w:t>
        <w:br/>
        <w:t>• Chỉ số Mất mát Dữ liệu (RPO = N/A — Mất trắng 100% dữ liệu): Do ứng dụng vận hành ở chế độ STORAGE_MODE=memory, toàn bộ dữ liệu đơn hàng chỉ tồn tại trên RAM của container. Khi instance bị xóa, toàn bộ dữ liệu nghiệp vụ biến mất vĩnh viễn. Bằng chứng thực nghiệm rõ ràng nhất là mã định danh máy chủ thay đổi từ fe5dc1f64f31 sang 363732ec3ca3 và danh sách giao dịch bị thiết lập lại từ đầu.</w:t>
      </w:r>
    </w:p>
    <w:p>
      <w:pPr>
        <w:keepNext/>
        <w:spacing w:before="320" w:after="120"/>
      </w:pPr>
      <w:r>
        <w:rPr>
          <w:rFonts w:ascii="Arial" w:hAnsi="Arial"/>
          <w:b/>
          <w:color w:val="0F172A"/>
          <w:sz w:val="26"/>
        </w:rPr>
        <w:t>5. HẠCH TOÁN CHI PHÍ HÀNG THÁNG (FINOPS) &amp; KHUYẾN NGHỊ KỸ THUẬT</w:t>
      </w:r>
    </w:p>
    <w:p>
      <w:pPr>
        <w:spacing w:before="80" w:after="120" w:line="276" w:lineRule="auto"/>
      </w:pPr>
      <w:r>
        <w:rPr>
          <w:rFonts w:ascii="Arial" w:hAnsi="Arial"/>
          <w:color w:val="334155"/>
          <w:sz w:val="20"/>
        </w:rPr>
        <w:t>Để trả lời Câu hỏi khách hàng #2 về chi phí vận hành hàng tháng tại Region Singapore (ap-southeast-1):</w:t>
      </w:r>
    </w:p>
    <w:tbl>
      <w:tblPr>
        <w:tblW w:type="auto" w:w="0"/>
        <w:jc w:val="center"/>
        <w:tblLook w:firstColumn="1" w:firstRow="1" w:lastColumn="0" w:lastRow="0" w:noHBand="0" w:noVBand="1" w:val="04A0"/>
      </w:tblPr>
      <w:tblGrid>
        <w:gridCol w:w="3360"/>
        <w:gridCol w:w="3360"/>
        <w:gridCol w:w="3360"/>
      </w:tblGrid>
      <w:tr>
        <w:tc>
          <w:tcPr>
            <w:tcW w:type="dxa" w:w="2592"/>
            <w:shd w:fill="F1F5F9"/>
            <w:tcMar>
              <w:top w:w="100" w:type="dxa"/>
              <w:bottom w:w="100" w:type="dxa"/>
              <w:left w:w="120" w:type="dxa"/>
              <w:right w:w="120" w:type="dxa"/>
            </w:tcMar>
            <w:tcBorders>
              <w:top w:val="single" w:sz="8" w:space="0" w:color="0F172A"/>
              <w:bottom w:val="single" w:sz="8" w:space="0" w:color="0F172A"/>
              <w:left w:val="none"/>
              <w:right w:val="none"/>
            </w:tcBorders>
          </w:tcPr>
          <w:p>
            <w:pPr>
              <w:spacing w:before="0" w:after="0"/>
            </w:pPr>
            <w:r>
              <w:rPr>
                <w:rFonts w:ascii="Arial" w:hAnsi="Arial"/>
                <w:b/>
                <w:color w:val="0F172A"/>
                <w:sz w:val="17"/>
              </w:rPr>
              <w:t>HẠNG MỤC TÀI NGUYÊN</w:t>
            </w:r>
          </w:p>
        </w:tc>
        <w:tc>
          <w:tcPr>
            <w:tcW w:type="dxa" w:w="3744"/>
            <w:shd w:fill="F1F5F9"/>
            <w:tcMar>
              <w:top w:w="100" w:type="dxa"/>
              <w:bottom w:w="100" w:type="dxa"/>
              <w:left w:w="120" w:type="dxa"/>
              <w:right w:w="120" w:type="dxa"/>
            </w:tcMar>
            <w:tcBorders>
              <w:top w:val="single" w:sz="8" w:space="0" w:color="0F172A"/>
              <w:bottom w:val="single" w:sz="8" w:space="0" w:color="0F172A"/>
              <w:left w:val="none"/>
              <w:right w:val="none"/>
            </w:tcBorders>
          </w:tcPr>
          <w:p>
            <w:pPr>
              <w:spacing w:before="0" w:after="0"/>
            </w:pPr>
            <w:r>
              <w:rPr>
                <w:rFonts w:ascii="Arial" w:hAnsi="Arial"/>
                <w:b/>
                <w:color w:val="0F172A"/>
                <w:sz w:val="17"/>
              </w:rPr>
              <w:t>THÔNG SỐ CẤU HÌNH CHI TIẾT (REGION: AP-SOUTHEAST-1)</w:t>
            </w:r>
          </w:p>
        </w:tc>
        <w:tc>
          <w:tcPr>
            <w:tcW w:type="dxa" w:w="3744"/>
            <w:shd w:fill="F1F5F9"/>
            <w:tcMar>
              <w:top w:w="100" w:type="dxa"/>
              <w:bottom w:w="100" w:type="dxa"/>
              <w:left w:w="120" w:type="dxa"/>
              <w:right w:w="120" w:type="dxa"/>
            </w:tcMar>
            <w:tcBorders>
              <w:top w:val="single" w:sz="8" w:space="0" w:color="0F172A"/>
              <w:bottom w:val="single" w:sz="8" w:space="0" w:color="0F172A"/>
              <w:left w:val="none"/>
              <w:right w:val="none"/>
            </w:tcBorders>
          </w:tcPr>
          <w:p>
            <w:pPr>
              <w:spacing w:before="0" w:after="0"/>
            </w:pPr>
            <w:r>
              <w:rPr>
                <w:rFonts w:ascii="Arial" w:hAnsi="Arial"/>
                <w:b/>
                <w:color w:val="0F172A"/>
                <w:sz w:val="17"/>
              </w:rPr>
              <w:t>CHI PHÍ / THÁNG (USD)</w:t>
            </w:r>
          </w:p>
        </w:tc>
      </w:tr>
      <w:tr>
        <w:tc>
          <w:tcPr>
            <w:tcW w:type="dxa" w:w="2592"/>
            <w:shd w:fill="FFFFFF"/>
            <w:tcMar>
              <w:top w:w="90" w:type="dxa"/>
              <w:bottom w:w="90" w:type="dxa"/>
              <w:left w:w="120" w:type="dxa"/>
              <w:right w:w="120" w:type="dxa"/>
            </w:tcMar>
            <w:tcBorders>
              <w:top w:val="none"/>
              <w:bottom w:val="single" w:sz="8" w:space="0" w:color="0F172A"/>
              <w:left w:val="none"/>
              <w:right w:val="none"/>
            </w:tcBorders>
          </w:tcPr>
          <w:p>
            <w:pPr>
              <w:spacing w:before="0" w:after="0" w:line="276" w:lineRule="auto"/>
            </w:pPr>
            <w:r>
              <w:rPr>
                <w:rFonts w:ascii="Arial" w:hAnsi="Arial"/>
                <w:b/>
                <w:color w:val="0F172A"/>
                <w:sz w:val="17"/>
              </w:rPr>
              <w:t>Compute Web EC2</w:t>
            </w:r>
          </w:p>
        </w:tc>
        <w:tc>
          <w:tcPr>
            <w:tcW w:type="dxa" w:w="3744"/>
            <w:shd w:fill="FFFFFF"/>
            <w:tcMar>
              <w:top w:w="90" w:type="dxa"/>
              <w:bottom w:w="90" w:type="dxa"/>
              <w:left w:w="120" w:type="dxa"/>
              <w:right w:w="120" w:type="dxa"/>
            </w:tcMar>
            <w:tcBorders>
              <w:top w:val="none"/>
              <w:bottom w:val="single" w:sz="8" w:space="0" w:color="0F172A"/>
              <w:left w:val="none"/>
              <w:right w:val="none"/>
            </w:tcBorders>
          </w:tcPr>
          <w:p>
            <w:pPr>
              <w:spacing w:before="0" w:after="0" w:line="276" w:lineRule="auto"/>
            </w:pPr>
            <w:r>
              <w:rPr>
                <w:rFonts w:ascii="Arial" w:hAnsi="Arial"/>
                <w:color w:val="334155"/>
                <w:sz w:val="17"/>
              </w:rPr>
              <w:t>1 × t3.micro (2 vCPU, 1 GiB RAM, On-Demand, chạy 730 giờ/tháng)</w:t>
            </w:r>
          </w:p>
        </w:tc>
        <w:tc>
          <w:tcPr>
            <w:tcW w:type="dxa" w:w="3744"/>
            <w:shd w:fill="FFFFFF"/>
            <w:tcMar>
              <w:top w:w="90" w:type="dxa"/>
              <w:bottom w:w="90" w:type="dxa"/>
              <w:left w:w="120" w:type="dxa"/>
              <w:right w:w="120" w:type="dxa"/>
            </w:tcMar>
            <w:tcBorders>
              <w:top w:val="none"/>
              <w:bottom w:val="single" w:sz="8" w:space="0" w:color="0F172A"/>
              <w:left w:val="none"/>
              <w:right w:val="none"/>
            </w:tcBorders>
          </w:tcPr>
          <w:p>
            <w:pPr>
              <w:spacing w:before="0" w:after="0" w:line="276" w:lineRule="auto"/>
            </w:pPr>
            <w:r>
              <w:rPr>
                <w:rFonts w:ascii="Arial" w:hAnsi="Arial"/>
                <w:color w:val="334155"/>
                <w:sz w:val="17"/>
              </w:rPr>
              <w:t>$9.64 / tháng</w:t>
            </w:r>
          </w:p>
        </w:tc>
      </w:tr>
      <w:tr>
        <w:tc>
          <w:tcPr>
            <w:tcW w:type="dxa" w:w="2592"/>
            <w:shd w:fill="F8FAFC"/>
            <w:tcMar>
              <w:top w:w="90" w:type="dxa"/>
              <w:bottom w:w="90" w:type="dxa"/>
              <w:left w:w="120" w:type="dxa"/>
              <w:right w:w="120" w:type="dxa"/>
            </w:tcMar>
            <w:tcBorders>
              <w:top w:val="none"/>
              <w:bottom w:val="single" w:sz="8" w:space="0" w:color="0F172A"/>
              <w:left w:val="none"/>
              <w:right w:val="none"/>
            </w:tcBorders>
          </w:tcPr>
          <w:p>
            <w:pPr>
              <w:spacing w:before="0" w:after="0" w:line="276" w:lineRule="auto"/>
            </w:pPr>
            <w:r>
              <w:rPr>
                <w:rFonts w:ascii="Arial" w:hAnsi="Arial"/>
                <w:b/>
                <w:color w:val="0F172A"/>
                <w:sz w:val="17"/>
              </w:rPr>
              <w:t>Root EBS Storage</w:t>
            </w:r>
          </w:p>
        </w:tc>
        <w:tc>
          <w:tcPr>
            <w:tcW w:type="dxa" w:w="3744"/>
            <w:shd w:fill="F8FAFC"/>
            <w:tcMar>
              <w:top w:w="90" w:type="dxa"/>
              <w:bottom w:w="90" w:type="dxa"/>
              <w:left w:w="120" w:type="dxa"/>
              <w:right w:w="120" w:type="dxa"/>
            </w:tcMar>
            <w:tcBorders>
              <w:top w:val="none"/>
              <w:bottom w:val="single" w:sz="8" w:space="0" w:color="0F172A"/>
              <w:left w:val="none"/>
              <w:right w:val="none"/>
            </w:tcBorders>
          </w:tcPr>
          <w:p>
            <w:pPr>
              <w:spacing w:before="0" w:after="0" w:line="276" w:lineRule="auto"/>
            </w:pPr>
            <w:r>
              <w:rPr>
                <w:rFonts w:ascii="Arial" w:hAnsi="Arial"/>
                <w:color w:val="334155"/>
                <w:sz w:val="17"/>
              </w:rPr>
              <w:t>20 GB gp3 Volume (3.000 IOPS, 125 MB/s throughput miễn phí)</w:t>
            </w:r>
          </w:p>
        </w:tc>
        <w:tc>
          <w:tcPr>
            <w:tcW w:type="dxa" w:w="3744"/>
            <w:shd w:fill="F8FAFC"/>
            <w:tcMar>
              <w:top w:w="90" w:type="dxa"/>
              <w:bottom w:w="90" w:type="dxa"/>
              <w:left w:w="120" w:type="dxa"/>
              <w:right w:w="120" w:type="dxa"/>
            </w:tcMar>
            <w:tcBorders>
              <w:top w:val="none"/>
              <w:bottom w:val="single" w:sz="8" w:space="0" w:color="0F172A"/>
              <w:left w:val="none"/>
              <w:right w:val="none"/>
            </w:tcBorders>
          </w:tcPr>
          <w:p>
            <w:pPr>
              <w:spacing w:before="0" w:after="0" w:line="276" w:lineRule="auto"/>
            </w:pPr>
            <w:r>
              <w:rPr>
                <w:rFonts w:ascii="Arial" w:hAnsi="Arial"/>
                <w:color w:val="334155"/>
                <w:sz w:val="17"/>
              </w:rPr>
              <w:t>$1.92 / tháng</w:t>
            </w:r>
          </w:p>
        </w:tc>
      </w:tr>
      <w:tr>
        <w:tc>
          <w:tcPr>
            <w:tcW w:type="dxa" w:w="2592"/>
            <w:shd w:fill="FFFFFF"/>
            <w:tcMar>
              <w:top w:w="90" w:type="dxa"/>
              <w:bottom w:w="90" w:type="dxa"/>
              <w:left w:w="120" w:type="dxa"/>
              <w:right w:w="120" w:type="dxa"/>
            </w:tcMar>
            <w:tcBorders>
              <w:top w:val="none"/>
              <w:bottom w:val="single" w:sz="8" w:space="0" w:color="0F172A"/>
              <w:left w:val="none"/>
              <w:right w:val="none"/>
            </w:tcBorders>
          </w:tcPr>
          <w:p>
            <w:pPr>
              <w:spacing w:before="0" w:after="0" w:line="276" w:lineRule="auto"/>
            </w:pPr>
            <w:r>
              <w:rPr>
                <w:rFonts w:ascii="Arial" w:hAnsi="Arial"/>
                <w:b/>
                <w:color w:val="0F172A"/>
                <w:sz w:val="17"/>
              </w:rPr>
              <w:t>Địa chỉ Public IPv4</w:t>
            </w:r>
          </w:p>
        </w:tc>
        <w:tc>
          <w:tcPr>
            <w:tcW w:type="dxa" w:w="3744"/>
            <w:shd w:fill="FFFFFF"/>
            <w:tcMar>
              <w:top w:w="90" w:type="dxa"/>
              <w:bottom w:w="90" w:type="dxa"/>
              <w:left w:w="120" w:type="dxa"/>
              <w:right w:w="120" w:type="dxa"/>
            </w:tcMar>
            <w:tcBorders>
              <w:top w:val="none"/>
              <w:bottom w:val="single" w:sz="8" w:space="0" w:color="0F172A"/>
              <w:left w:val="none"/>
              <w:right w:val="none"/>
            </w:tcBorders>
          </w:tcPr>
          <w:p>
            <w:pPr>
              <w:spacing w:before="0" w:after="0" w:line="276" w:lineRule="auto"/>
            </w:pPr>
            <w:r>
              <w:rPr>
                <w:rFonts w:ascii="Arial" w:hAnsi="Arial"/>
                <w:color w:val="334155"/>
                <w:sz w:val="17"/>
              </w:rPr>
              <w:t>1 Public IPv4 tĩnh gắn kèm máy chủ ($0.005/giờ × 730 giờ theo chính sách mới)</w:t>
            </w:r>
          </w:p>
        </w:tc>
        <w:tc>
          <w:tcPr>
            <w:tcW w:type="dxa" w:w="3744"/>
            <w:shd w:fill="FFFFFF"/>
            <w:tcMar>
              <w:top w:w="90" w:type="dxa"/>
              <w:bottom w:w="90" w:type="dxa"/>
              <w:left w:w="120" w:type="dxa"/>
              <w:right w:w="120" w:type="dxa"/>
            </w:tcMar>
            <w:tcBorders>
              <w:top w:val="none"/>
              <w:bottom w:val="single" w:sz="8" w:space="0" w:color="0F172A"/>
              <w:left w:val="none"/>
              <w:right w:val="none"/>
            </w:tcBorders>
          </w:tcPr>
          <w:p>
            <w:pPr>
              <w:spacing w:before="0" w:after="0" w:line="276" w:lineRule="auto"/>
            </w:pPr>
            <w:r>
              <w:rPr>
                <w:rFonts w:ascii="Arial" w:hAnsi="Arial"/>
                <w:color w:val="334155"/>
                <w:sz w:val="17"/>
              </w:rPr>
              <w:t>$3.65 / tháng</w:t>
            </w:r>
          </w:p>
        </w:tc>
      </w:tr>
      <w:tr>
        <w:tc>
          <w:tcPr>
            <w:tcW w:type="dxa" w:w="2592"/>
            <w:shd w:fill="F8FAFC"/>
            <w:tcMar>
              <w:top w:w="90" w:type="dxa"/>
              <w:bottom w:w="90" w:type="dxa"/>
              <w:left w:w="120" w:type="dxa"/>
              <w:right w:w="120" w:type="dxa"/>
            </w:tcMar>
            <w:tcBorders>
              <w:top w:val="none"/>
              <w:bottom w:val="single" w:sz="8" w:space="0" w:color="0F172A"/>
              <w:left w:val="none"/>
              <w:right w:val="none"/>
            </w:tcBorders>
          </w:tcPr>
          <w:p>
            <w:pPr>
              <w:spacing w:before="0" w:after="0" w:line="276" w:lineRule="auto"/>
            </w:pPr>
            <w:r>
              <w:rPr>
                <w:rFonts w:ascii="Arial" w:hAnsi="Arial"/>
                <w:b/>
                <w:color w:val="0F172A"/>
                <w:sz w:val="17"/>
              </w:rPr>
              <w:t>Hạ tầng Mạng VPC &amp; SG</w:t>
            </w:r>
          </w:p>
        </w:tc>
        <w:tc>
          <w:tcPr>
            <w:tcW w:type="dxa" w:w="3744"/>
            <w:shd w:fill="F8FAFC"/>
            <w:tcMar>
              <w:top w:w="90" w:type="dxa"/>
              <w:bottom w:w="90" w:type="dxa"/>
              <w:left w:w="120" w:type="dxa"/>
              <w:right w:w="120" w:type="dxa"/>
            </w:tcMar>
            <w:tcBorders>
              <w:top w:val="none"/>
              <w:bottom w:val="single" w:sz="8" w:space="0" w:color="0F172A"/>
              <w:left w:val="none"/>
              <w:right w:val="none"/>
            </w:tcBorders>
          </w:tcPr>
          <w:p>
            <w:pPr>
              <w:spacing w:before="0" w:after="0" w:line="276" w:lineRule="auto"/>
            </w:pPr>
            <w:r>
              <w:rPr>
                <w:rFonts w:ascii="Arial" w:hAnsi="Arial"/>
                <w:color w:val="334155"/>
                <w:sz w:val="17"/>
              </w:rPr>
              <w:t>cloudevo-vpc, 4 Subnets, Internet Gateway và Security Group</w:t>
            </w:r>
          </w:p>
        </w:tc>
        <w:tc>
          <w:tcPr>
            <w:tcW w:type="dxa" w:w="3744"/>
            <w:shd w:fill="F8FAFC"/>
            <w:tcMar>
              <w:top w:w="90" w:type="dxa"/>
              <w:bottom w:w="90" w:type="dxa"/>
              <w:left w:w="120" w:type="dxa"/>
              <w:right w:w="120" w:type="dxa"/>
            </w:tcMar>
            <w:tcBorders>
              <w:top w:val="none"/>
              <w:bottom w:val="single" w:sz="8" w:space="0" w:color="0F172A"/>
              <w:left w:val="none"/>
              <w:right w:val="none"/>
            </w:tcBorders>
          </w:tcPr>
          <w:p>
            <w:pPr>
              <w:spacing w:before="0" w:after="0" w:line="276" w:lineRule="auto"/>
            </w:pPr>
            <w:r>
              <w:rPr>
                <w:rFonts w:ascii="Arial" w:hAnsi="Arial"/>
                <w:color w:val="334155"/>
                <w:sz w:val="17"/>
              </w:rPr>
              <w:t>$0.00 / tháng</w:t>
            </w:r>
          </w:p>
        </w:tc>
      </w:tr>
      <w:tr>
        <w:tc>
          <w:tcPr>
            <w:tcW w:type="dxa" w:w="2592"/>
            <w:shd w:fill="EFF6FF"/>
            <w:tcMar>
              <w:top w:w="90" w:type="dxa"/>
              <w:bottom w:w="90" w:type="dxa"/>
              <w:left w:w="120" w:type="dxa"/>
              <w:right w:w="120" w:type="dxa"/>
            </w:tcMar>
            <w:tcBorders>
              <w:top w:val="single" w:sz="8" w:space="0" w:color="2563EB"/>
              <w:bottom w:val="single" w:sz="8" w:space="0" w:color="2563EB"/>
              <w:left w:val="none"/>
              <w:right w:val="none"/>
            </w:tcBorders>
          </w:tcPr>
          <w:p>
            <w:pPr>
              <w:spacing w:before="0" w:after="0" w:line="276" w:lineRule="auto"/>
            </w:pPr>
            <w:r>
              <w:rPr>
                <w:rFonts w:ascii="Arial" w:hAnsi="Arial"/>
                <w:b/>
                <w:color w:val="2563EB"/>
                <w:sz w:val="17"/>
              </w:rPr>
              <w:t>TỔNG CHI PHÍ TH1 (STATELESS)</w:t>
            </w:r>
          </w:p>
        </w:tc>
        <w:tc>
          <w:tcPr>
            <w:tcW w:type="dxa" w:w="3744"/>
            <w:shd w:fill="EFF6FF"/>
            <w:tcMar>
              <w:top w:w="90" w:type="dxa"/>
              <w:bottom w:w="90" w:type="dxa"/>
              <w:left w:w="120" w:type="dxa"/>
              <w:right w:w="120" w:type="dxa"/>
            </w:tcMar>
            <w:tcBorders>
              <w:top w:val="single" w:sz="8" w:space="0" w:color="2563EB"/>
              <w:bottom w:val="single" w:sz="8" w:space="0" w:color="2563EB"/>
              <w:left w:val="none"/>
              <w:right w:val="none"/>
            </w:tcBorders>
          </w:tcPr>
          <w:p>
            <w:pPr>
              <w:spacing w:before="0" w:after="0" w:line="276" w:lineRule="auto"/>
            </w:pPr>
            <w:r>
              <w:rPr>
                <w:rFonts w:ascii="Arial" w:hAnsi="Arial"/>
                <w:b/>
                <w:color w:val="2563EB"/>
                <w:sz w:val="17"/>
              </w:rPr>
              <w:t>Cấu hình tối thiểu cho ứng dụng Web Stateless đơn lẻ trên AWS</w:t>
            </w:r>
          </w:p>
        </w:tc>
        <w:tc>
          <w:tcPr>
            <w:tcW w:type="dxa" w:w="3744"/>
            <w:shd w:fill="EFF6FF"/>
            <w:tcMar>
              <w:top w:w="90" w:type="dxa"/>
              <w:bottom w:w="90" w:type="dxa"/>
              <w:left w:w="120" w:type="dxa"/>
              <w:right w:w="120" w:type="dxa"/>
            </w:tcMar>
            <w:tcBorders>
              <w:top w:val="single" w:sz="8" w:space="0" w:color="2563EB"/>
              <w:bottom w:val="single" w:sz="8" w:space="0" w:color="2563EB"/>
              <w:left w:val="none"/>
              <w:right w:val="none"/>
            </w:tcBorders>
          </w:tcPr>
          <w:p>
            <w:pPr>
              <w:spacing w:before="0" w:after="0" w:line="276" w:lineRule="auto"/>
            </w:pPr>
            <w:r>
              <w:rPr>
                <w:rFonts w:ascii="Arial" w:hAnsi="Arial"/>
                <w:b/>
                <w:color w:val="2563EB"/>
                <w:sz w:val="17"/>
              </w:rPr>
              <w:t>~$15.21 / tháng</w:t>
            </w:r>
          </w:p>
        </w:tc>
      </w:tr>
    </w:tbl>
    <w:p>
      <w:pPr>
        <w:spacing w:after="120"/>
      </w:pPr>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200" w:type="dxa"/>
              <w:right w:w="200" w:type="dxa"/>
            </w:tcMar>
            <w:tcBorders>
              <w:top w:val="none"/>
              <w:bottom w:val="none"/>
              <w:left w:val="single" w:sz="24" w:space="0" w:color="7C3AED"/>
              <w:right w:val="none"/>
            </w:tcBorders>
          </w:tcPr>
          <w:p>
            <w:pPr>
              <w:spacing w:before="40" w:after="80" w:line="276" w:lineRule="auto"/>
            </w:pPr>
            <w:r>
              <w:rPr>
                <w:rFonts w:ascii="Arial" w:hAnsi="Arial"/>
                <w:b/>
                <w:color w:val="0F172A"/>
                <w:sz w:val="21"/>
              </w:rPr>
              <w:t>📌 Khuyến nghị Kiến trúc (Architectural Recommendations)</w:t>
              <w:br/>
            </w:r>
            <w:r>
              <w:rPr>
                <w:rFonts w:ascii="Arial" w:hAnsi="Arial"/>
                <w:color w:val="334155"/>
                <w:sz w:val="19"/>
              </w:rPr>
              <w:t>1. Môi trường Phù hợp (Dev/Test/Landing Page): Kiến trúc Trường hợp 1 chỉ phù hợp cho các trang giới thiệu (Landing Page), ứng dụng web tĩnh không lưu trạng thái (Stateless), hoặc môi trường thử nghiệm (Dev/POC) nơi việc gián đoạn 7.5 phút và mất dữ liệu RAM không gây rủi ro kinh doanh.</w:t>
              <w:br/>
              <w:t>2. Rủi ro &amp; Hướng Nâng cấp Production: Đối với các hệ thống thương mại điện tử hoặc giao dịch tài chính có dữ liệu nghiệp vụ, bắt buộc phải nâng cấp lên Trường hợp 2 (tích hợp PostgreSQL cục bộ kèm cơ chế sao lưu tự động lên S3) hoặc Trường hợp 4 (sử dụng Managed Service Amazon RDS với Multi-AZ và phục hồi theo thời điểm PITR) để bảo vệ toàn vẹn dữ liệu.</w:t>
            </w:r>
          </w:p>
        </w:tc>
      </w:tr>
    </w:tbl>
    <w:p>
      <w:pPr>
        <w:spacing w:before="0" w:after="80"/>
      </w:pP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