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software-test-plan-stp"/>
    <w:p>
      <w:pPr>
        <w:pStyle w:val="Heading1"/>
      </w:pPr>
      <w:r>
        <w:t xml:space="preserve">Software Test Plan (STP)</w:t>
      </w:r>
    </w:p>
    <w:bookmarkStart w:id="20" w:name="X85f2565df556bade37365610c0c757e7982ea80"/>
    <w:p>
      <w:pPr>
        <w:pStyle w:val="Heading2"/>
      </w:pPr>
      <w:r>
        <w:t xml:space="preserve">MCPOrchestration — MTO-18: Ticket Crawler – Deep Content Sync &amp; KB Ingestion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MTO-18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Ticket Crawler – Deep Content Sync &amp; KB Ingestion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2026-05-09</w:t>
            </w:r>
          </w:p>
        </w:tc>
        <w:tc>
          <w:p>
            <w:pPr>
              <w:pStyle w:val="Compact"/>
              <w:jc w:val="left"/>
            </w:pPr>
            <w:r>
              <w:t xml:space="preserve">QA Agent</w:t>
            </w:r>
          </w:p>
        </w:tc>
        <w:tc>
          <w:p>
            <w:pPr>
              <w:pStyle w:val="Compact"/>
              <w:jc w:val="left"/>
            </w:pPr>
            <w:r>
              <w:t xml:space="preserve">Initial STP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introduction"/>
    <w:p>
      <w:pPr>
        <w:pStyle w:val="Heading2"/>
      </w:pPr>
      <w:r>
        <w:t xml:space="preserve">1. Introduction</w:t>
      </w:r>
    </w:p>
    <w:bookmarkStart w:id="23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Test plan for the TicketCrawler component — deep content fetching, SHA-256 deduplication, ticket graph building, and KB ingestion.</w:t>
      </w:r>
    </w:p>
    <w:bookmarkEnd w:id="23"/>
    <w:bookmarkStart w:id="24" w:name="test-objectives"/>
    <w:p>
      <w:pPr>
        <w:pStyle w:val="Heading3"/>
      </w:pPr>
      <w:r>
        <w:t xml:space="preserve">1.2 Test Objectives</w:t>
      </w:r>
    </w:p>
    <w:p>
      <w:pPr>
        <w:numPr>
          <w:ilvl w:val="0"/>
          <w:numId w:val="1001"/>
        </w:numPr>
        <w:pStyle w:val="Compact"/>
      </w:pPr>
      <w:r>
        <w:t xml:space="preserve">Verify deep content fetch (description + comments) works correctly</w:t>
      </w:r>
    </w:p>
    <w:p>
      <w:pPr>
        <w:numPr>
          <w:ilvl w:val="0"/>
          <w:numId w:val="1001"/>
        </w:numPr>
        <w:pStyle w:val="Compact"/>
      </w:pPr>
      <w:r>
        <w:t xml:space="preserve">Validate SHA-256 deduplication prevents redundant processing</w:t>
      </w:r>
    </w:p>
    <w:p>
      <w:pPr>
        <w:numPr>
          <w:ilvl w:val="0"/>
          <w:numId w:val="1001"/>
        </w:numPr>
        <w:pStyle w:val="Compact"/>
      </w:pPr>
      <w:r>
        <w:t xml:space="preserve">Ensure ticket graph edges are built bidirectionally</w:t>
      </w:r>
    </w:p>
    <w:p>
      <w:pPr>
        <w:numPr>
          <w:ilvl w:val="0"/>
          <w:numId w:val="1001"/>
        </w:numPr>
        <w:pStyle w:val="Compact"/>
      </w:pPr>
      <w:r>
        <w:t xml:space="preserve">Confirm KB ingestion with proper chunking and embedding</w:t>
      </w:r>
    </w:p>
    <w:p>
      <w:pPr>
        <w:numPr>
          <w:ilvl w:val="0"/>
          <w:numId w:val="1001"/>
        </w:numPr>
        <w:pStyle w:val="Compact"/>
      </w:pPr>
      <w:r>
        <w:t xml:space="preserve">Verify attachment queue population</w:t>
      </w:r>
    </w:p>
    <w:bookmarkEnd w:id="24"/>
    <w:bookmarkStart w:id="25" w:name="references"/>
    <w:p>
      <w:pPr>
        <w:pStyle w:val="Heading3"/>
      </w:pPr>
      <w:r>
        <w:t xml:space="preserve">1.3 References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BRD</w:t>
            </w:r>
          </w:p>
        </w:tc>
        <w:tc>
          <w:p>
            <w:pPr>
              <w:pStyle w:val="Compact"/>
              <w:jc w:val="left"/>
            </w:pPr>
            <w:r>
              <w:t xml:space="preserve">BRD-v1-MTO-18.docx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FSD</w:t>
            </w:r>
          </w:p>
        </w:tc>
        <w:tc>
          <w:p>
            <w:pPr>
              <w:pStyle w:val="Compact"/>
              <w:jc w:val="left"/>
            </w:pPr>
            <w:r>
              <w:t xml:space="preserve">FSD-v1-MTO-18.docx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TDD</w:t>
            </w:r>
          </w:p>
        </w:tc>
        <w:tc>
          <w:p>
            <w:pPr>
              <w:pStyle w:val="Compact"/>
              <w:jc w:val="left"/>
            </w:pPr>
            <w:r>
              <w:t xml:space="preserve">TDD-v1-MTO-18.docx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test-strategy"/>
    <w:p>
      <w:pPr>
        <w:pStyle w:val="Heading2"/>
      </w:pPr>
      <w:r>
        <w:t xml:space="preserve">2. Test Strategy</w:t>
      </w:r>
    </w:p>
    <w:bookmarkStart w:id="27" w:name="test-levels"/>
    <w:p>
      <w:pPr>
        <w:pStyle w:val="Heading3"/>
      </w:pPr>
      <w:r>
        <w:t xml:space="preserve">2.1 Test Levels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680"/>
        <w:gridCol w:w="1680"/>
        <w:gridCol w:w="1680"/>
        <w:gridCol w:w="2880"/>
      </w:tblGrid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Scope</w:t>
            </w:r>
          </w:p>
        </w:tc>
        <w:tc>
          <w:p>
            <w:pPr>
              <w:pStyle w:val="Compact"/>
              <w:jc w:val="left"/>
            </w:pPr>
            <w:r>
              <w:t xml:space="preserve">Tools</w:t>
            </w:r>
          </w:p>
        </w:tc>
        <w:tc>
          <w:p>
            <w:pPr>
              <w:pStyle w:val="Compact"/>
              <w:jc w:val="left"/>
            </w:pPr>
            <w:r>
              <w:t xml:space="preserve">Automation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ContentHasher, ADF parser</w:t>
            </w:r>
          </w:p>
        </w:tc>
        <w:tc>
          <w:p>
            <w:pPr>
              <w:pStyle w:val="Compact"/>
              <w:jc w:val="left"/>
            </w:pPr>
            <w:r>
              <w:t xml:space="preserve">Kotest Property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ContentFetcher, GraphBuilder, KBIngestor, ContentHasher</w:t>
            </w:r>
          </w:p>
        </w:tc>
        <w:tc>
          <w:p>
            <w:pPr>
              <w:pStyle w:val="Compact"/>
              <w:jc w:val="left"/>
            </w:pPr>
            <w:r>
              <w:t xml:space="preserve">Kotest + MockK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DB operations (graph upsert, content update), Qdrant integration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Full crawl lifecycle with mock Jira + real DB + real Qdrant</w:t>
            </w:r>
          </w:p>
        </w:tc>
        <w:tc>
          <w:p>
            <w:pPr>
              <w:pStyle w:val="Compact"/>
              <w:jc w:val="left"/>
            </w:pPr>
            <w:r>
              <w:t xml:space="preserve">Testcontainers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E2E-UI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Real Jira + real Qdrant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p>
            <w:pPr>
              <w:pStyle w:val="Compact"/>
              <w:jc w:val="left"/>
            </w:pPr>
            <w:r>
              <w:t xml:space="preserve">20% automated</w:t>
            </w:r>
          </w:p>
        </w:tc>
      </w:tr>
    </w:tbl>
    <w:bookmarkEnd w:id="27"/>
    <w:bookmarkStart w:id="28" w:name="test-approach"/>
    <w:p>
      <w:pPr>
        <w:pStyle w:val="Heading3"/>
      </w:pPr>
      <w:r>
        <w:t xml:space="preserve">2.2 Test Approach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Deduplication focus</w:t>
      </w:r>
      <w:r>
        <w:t xml:space="preserve">: Extensive testing of hash comparison logic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Graph correctness</w:t>
      </w:r>
      <w:r>
        <w:t xml:space="preserve">: Verify bidirectional edges for all link types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KB quality</w:t>
      </w:r>
      <w:r>
        <w:t xml:space="preserve">: Verify chunking, embedding, and retrieval accuracy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Testcontainers</w:t>
      </w:r>
      <w:r>
        <w:t xml:space="preserve">: PostgreSQL + Qdrant containers for IT/E2E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test-scope"/>
    <w:p>
      <w:pPr>
        <w:pStyle w:val="Heading2"/>
      </w:pPr>
      <w:r>
        <w:t xml:space="preserve">3. Test Scope</w:t>
      </w:r>
    </w:p>
    <w:bookmarkStart w:id="30" w:name="features-in-scope"/>
    <w:p>
      <w:pPr>
        <w:pStyle w:val="Heading3"/>
      </w:pPr>
      <w:r>
        <w:t xml:space="preserve">3.1 Features In Scope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FSD Reference</w:t>
            </w:r>
          </w:p>
        </w:tc>
        <w:tc>
          <w:p>
            <w:pPr>
              <w:pStyle w:val="Compact"/>
              <w:jc w:val="left"/>
            </w:pPr>
            <w:r>
              <w:t xml:space="preserve">Test 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Deep Content Fetch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UC-01, BR-01–BR-04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Content Hash Deduplication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UC-02, BR-05–BR-07</w:t>
            </w:r>
          </w:p>
        </w:tc>
        <w:tc>
          <w:p>
            <w:pPr>
              <w:pStyle w:val="Compact"/>
              <w:jc w:val="left"/>
            </w:pPr>
            <w:r>
              <w:t xml:space="preserve">PBT, UT,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Ticket Graph Builder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UC-03, BR-08–BR-10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UC-04, BR-11–BR-14</w:t>
            </w:r>
          </w:p>
        </w:tc>
        <w:tc>
          <w:p>
            <w:pPr>
              <w:pStyle w:val="Compact"/>
              <w:jc w:val="left"/>
            </w:pPr>
            <w:r>
              <w:t xml:space="preserve">UT, IT, E2E-API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 Population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UC-05, BR-15–BR-17</w:t>
            </w:r>
          </w:p>
        </w:tc>
        <w:tc>
          <w:p>
            <w:pPr>
              <w:pStyle w:val="Compact"/>
              <w:jc w:val="left"/>
            </w:pPr>
            <w:r>
              <w:t xml:space="preserve">UT,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requirements-traceability-matrix-rtm"/>
    <w:p>
      <w:pPr>
        <w:pStyle w:val="Heading2"/>
      </w:pPr>
      <w:r>
        <w:t xml:space="preserve">4. Requirements Traceability Matrix (RTM)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Requirement ID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Test Case IDs</w:t>
            </w:r>
          </w:p>
        </w:tc>
        <w:tc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UC-01</w:t>
            </w:r>
          </w:p>
        </w:tc>
        <w:tc>
          <w:p>
            <w:pPr>
              <w:pStyle w:val="Compact"/>
              <w:jc w:val="left"/>
            </w:pPr>
            <w:r>
              <w:t xml:space="preserve">Deep Content Fetch</w:t>
            </w:r>
          </w:p>
        </w:tc>
        <w:tc>
          <w:p>
            <w:pPr>
              <w:pStyle w:val="Compact"/>
              <w:jc w:val="left"/>
            </w:pPr>
            <w:r>
              <w:t xml:space="preserve">TC-001, TC-002, TC-003, 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UC-02</w:t>
            </w:r>
          </w:p>
        </w:tc>
        <w:tc>
          <w:p>
            <w:pPr>
              <w:pStyle w:val="Compact"/>
              <w:jc w:val="left"/>
            </w:pPr>
            <w:r>
              <w:t xml:space="preserve">Content Hash Dedup</w:t>
            </w:r>
          </w:p>
        </w:tc>
        <w:tc>
          <w:p>
            <w:pPr>
              <w:pStyle w:val="Compact"/>
              <w:jc w:val="left"/>
            </w:pPr>
            <w:r>
              <w:t xml:space="preserve">TC-005, TC-006, TC-007, TC-PBT-001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UC-03</w:t>
            </w:r>
          </w:p>
        </w:tc>
        <w:tc>
          <w:p>
            <w:pPr>
              <w:pStyle w:val="Compact"/>
              <w:jc w:val="left"/>
            </w:pPr>
            <w:r>
              <w:t xml:space="preserve">Ticket Graph Builder</w:t>
            </w:r>
          </w:p>
        </w:tc>
        <w:tc>
          <w:p>
            <w:pPr>
              <w:pStyle w:val="Compact"/>
              <w:jc w:val="left"/>
            </w:pPr>
            <w:r>
              <w:t xml:space="preserve">TC-008, TC-009, TC-010, 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UC-04</w:t>
            </w:r>
          </w:p>
        </w:tc>
        <w:tc>
          <w:p>
            <w:pPr>
              <w:pStyle w:val="Compact"/>
              <w:jc w:val="left"/>
            </w:pPr>
            <w:r>
              <w:t xml:space="preserve">KB Ingestion</w:t>
            </w:r>
          </w:p>
        </w:tc>
        <w:tc>
          <w:p>
            <w:pPr>
              <w:pStyle w:val="Compact"/>
              <w:jc w:val="left"/>
            </w:pPr>
            <w:r>
              <w:t xml:space="preserve">TC-012, TC-013, TC-014, TC-015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UC-05</w:t>
            </w:r>
          </w:p>
        </w:tc>
        <w:tc>
          <w:p>
            <w:pPr>
              <w:pStyle w:val="Compact"/>
              <w:jc w:val="left"/>
            </w:pPr>
            <w:r>
              <w:t xml:space="preserve">Attachment Queue</w:t>
            </w:r>
          </w:p>
        </w:tc>
        <w:tc>
          <w:p>
            <w:pPr>
              <w:pStyle w:val="Compact"/>
              <w:jc w:val="left"/>
            </w:pPr>
            <w:r>
              <w:t xml:space="preserve">TC-016, 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BR-01</w:t>
            </w:r>
          </w:p>
        </w:tc>
        <w:tc>
          <w:p>
            <w:pPr>
              <w:pStyle w:val="Compact"/>
              <w:jc w:val="left"/>
            </w:pPr>
            <w:r>
              <w:t xml:space="preserve">Batch size configurable</w:t>
            </w:r>
          </w:p>
        </w:tc>
        <w:tc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BR-02</w:t>
            </w:r>
          </w:p>
        </w:tc>
        <w:tc>
          <w:p>
            <w:pPr>
              <w:pStyle w:val="Compact"/>
              <w:jc w:val="left"/>
            </w:pPr>
            <w:r>
              <w:t xml:space="preserve">Max 50 comments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BR-03</w:t>
            </w:r>
          </w:p>
        </w:tc>
        <w:tc>
          <w:p>
            <w:pPr>
              <w:pStyle w:val="Compact"/>
              <w:jc w:val="left"/>
            </w:pPr>
            <w:r>
              <w:t xml:space="preserve">Max 100KB content</w:t>
            </w:r>
          </w:p>
        </w:tc>
        <w:tc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BR-04</w:t>
            </w:r>
          </w:p>
        </w:tc>
        <w:tc>
          <w:p>
            <w:pPr>
              <w:pStyle w:val="Compact"/>
              <w:jc w:val="left"/>
            </w:pPr>
            <w:r>
              <w:t xml:space="preserve">ADF → plain text</w:t>
            </w:r>
          </w:p>
        </w:tc>
        <w:tc>
          <w:p>
            <w:pPr>
              <w:pStyle w:val="Compact"/>
              <w:jc w:val="left"/>
            </w:pPr>
            <w:r>
              <w:t xml:space="preserve">TC-002, TC-PBT-002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BR-05</w:t>
            </w:r>
          </w:p>
        </w:tc>
        <w:tc>
          <w:p>
            <w:pPr>
              <w:pStyle w:val="Compact"/>
              <w:jc w:val="left"/>
            </w:pPr>
            <w:r>
              <w:t xml:space="preserve">SHA-256 UTF-8</w:t>
            </w:r>
          </w:p>
        </w:tc>
        <w:tc>
          <w:p>
            <w:pPr>
              <w:pStyle w:val="Compact"/>
              <w:jc w:val="left"/>
            </w:pPr>
            <w:r>
              <w:t xml:space="preserve">TC-005, TC-PBT-001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BR-06</w:t>
            </w:r>
          </w:p>
        </w:tc>
        <w:tc>
          <w:p>
            <w:pPr>
              <w:pStyle w:val="Compact"/>
              <w:jc w:val="left"/>
            </w:pPr>
            <w:r>
              <w:t xml:space="preserve">Hash as 64-char hex</w:t>
            </w:r>
          </w:p>
        </w:tc>
        <w:tc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BR-07</w:t>
            </w:r>
          </w:p>
        </w:tc>
        <w:tc>
          <w:p>
            <w:pPr>
              <w:pStyle w:val="Compact"/>
              <w:jc w:val="left"/>
            </w:pPr>
            <w:r>
              <w:t xml:space="preserve">NULL hash = process</w:t>
            </w:r>
          </w:p>
        </w:tc>
        <w:tc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BR-08</w:t>
            </w:r>
          </w:p>
        </w:tc>
        <w:tc>
          <w:p>
            <w:pPr>
              <w:pStyle w:val="Compact"/>
              <w:jc w:val="left"/>
            </w:pPr>
            <w:r>
              <w:t xml:space="preserve">Bidirectional edges</w:t>
            </w:r>
          </w:p>
        </w:tc>
        <w:tc>
          <w:p>
            <w:pPr>
              <w:pStyle w:val="Compact"/>
              <w:jc w:val="left"/>
            </w:pPr>
            <w:r>
              <w:t xml:space="preserve">TC-008, TC-009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BR-09</w:t>
            </w:r>
          </w:p>
        </w:tc>
        <w:tc>
          <w:p>
            <w:pPr>
              <w:pStyle w:val="Compact"/>
              <w:jc w:val="left"/>
            </w:pPr>
            <w:r>
              <w:t xml:space="preserve">Upsert ON CONFLICT</w:t>
            </w:r>
          </w:p>
        </w:tc>
        <w:tc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BR-10</w:t>
            </w:r>
          </w:p>
        </w:tc>
        <w:tc>
          <w:p>
            <w:pPr>
              <w:pStyle w:val="Compact"/>
              <w:jc w:val="left"/>
            </w:pPr>
            <w:r>
              <w:t xml:space="preserve">Parent field as edge</w:t>
            </w:r>
          </w:p>
        </w:tc>
        <w:tc>
          <w:p>
            <w:pPr>
              <w:pStyle w:val="Compact"/>
              <w:jc w:val="left"/>
            </w:pPr>
            <w:r>
              <w:t xml:space="preserve">TC-011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BR-11</w:t>
            </w:r>
          </w:p>
        </w:tc>
        <w:tc>
          <w:p>
            <w:pPr>
              <w:pStyle w:val="Compact"/>
              <w:jc w:val="left"/>
            </w:pPr>
            <w:r>
              <w:t xml:space="preserve">Title format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BR-12</w:t>
            </w:r>
          </w:p>
        </w:tc>
        <w:tc>
          <w:p>
            <w:pPr>
              <w:pStyle w:val="Compact"/>
              <w:jc w:val="left"/>
            </w:pPr>
            <w:r>
              <w:t xml:space="preserve">Tags from metadata</w:t>
            </w:r>
          </w:p>
        </w:tc>
        <w:tc>
          <w:p>
            <w:pPr>
              <w:pStyle w:val="Compact"/>
              <w:jc w:val="left"/>
            </w:pPr>
            <w:r>
              <w:t xml:space="preserve">TC-012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BR-13</w:t>
            </w:r>
          </w:p>
        </w:tc>
        <w:tc>
          <w:p>
            <w:pPr>
              <w:pStyle w:val="Compact"/>
              <w:jc w:val="left"/>
            </w:pPr>
            <w:r>
              <w:t xml:space="preserve">Chunk &gt; 8000 tokens</w:t>
            </w:r>
          </w:p>
        </w:tc>
        <w:tc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BR-14</w:t>
            </w:r>
          </w:p>
        </w:tc>
        <w:tc>
          <w:p>
            <w:pPr>
              <w:pStyle w:val="Compact"/>
              <w:jc w:val="left"/>
            </w:pPr>
            <w:r>
              <w:t xml:space="preserve">Only ingest if CHANGED</w:t>
            </w:r>
          </w:p>
        </w:tc>
        <w:tc>
          <w:p>
            <w:pPr>
              <w:pStyle w:val="Compact"/>
              <w:jc w:val="left"/>
            </w:pPr>
            <w:r>
              <w:t xml:space="preserve">TC-014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BR-15</w:t>
            </w:r>
          </w:p>
        </w:tc>
        <w:tc>
          <w:p>
            <w:pPr>
              <w:pStyle w:val="Compact"/>
              <w:jc w:val="left"/>
            </w:pPr>
            <w:r>
              <w:t xml:space="preserve">Dedup by download_url</w:t>
            </w:r>
          </w:p>
        </w:tc>
        <w:tc>
          <w:p>
            <w:pPr>
              <w:pStyle w:val="Compact"/>
              <w:jc w:val="left"/>
            </w:pPr>
            <w:r>
              <w:t xml:space="preserve">TC-016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</w:t>
            </w:r>
          </w:p>
        </w:tc>
        <w:tc>
          <w:p>
            <w:pPr>
              <w:pStyle w:val="Compact"/>
              <w:jc w:val="left"/>
            </w:pPr>
            <w:r>
              <w:t xml:space="preserve">Initial status pending</w:t>
            </w:r>
          </w:p>
        </w:tc>
        <w:tc>
          <w:p>
            <w:pPr>
              <w:pStyle w:val="Compact"/>
              <w:jc w:val="left"/>
            </w:pPr>
            <w:r>
              <w:t xml:space="preserve">TC-016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BR-17</w:t>
            </w:r>
          </w:p>
        </w:tc>
        <w:tc>
          <w:p>
            <w:pPr>
              <w:pStyle w:val="Compact"/>
              <w:jc w:val="left"/>
            </w:pPr>
            <w:r>
              <w:t xml:space="preserve">Store attachment metadata</w:t>
            </w:r>
          </w:p>
        </w:tc>
        <w:tc>
          <w:p>
            <w:pPr>
              <w:pStyle w:val="Compact"/>
              <w:jc w:val="left"/>
            </w:pPr>
            <w:r>
              <w:t xml:space="preserve">TC-017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test-summary"/>
    <w:p>
      <w:pPr>
        <w:pStyle w:val="Heading2"/>
      </w:pPr>
      <w:r>
        <w:t xml:space="preserve">5. Test Summary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p>
            <w:pPr>
              <w:pStyle w:val="Compact"/>
              <w:jc w:val="left"/>
            </w:pPr>
            <w:r>
              <w:t xml:space="preserve">Test Cases</w:t>
            </w:r>
          </w:p>
        </w:tc>
        <w:tc>
          <w:p>
            <w:pPr>
              <w:pStyle w:val="Compact"/>
              <w:jc w:val="left"/>
            </w:pPr>
            <w:r>
              <w:t xml:space="preserve">Automated</w:t>
            </w:r>
          </w:p>
        </w:tc>
        <w:tc>
          <w:p>
            <w:pPr>
              <w:pStyle w:val="Compact"/>
              <w:jc w:val="left"/>
            </w:pPr>
            <w:r>
              <w:t xml:space="preserve">Manual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PBT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IT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E2E-API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risk-mitigation"/>
    <w:p>
      <w:pPr>
        <w:pStyle w:val="Heading2"/>
      </w:pPr>
      <w:r>
        <w:t xml:space="preserve">6. Risk &amp; Mitigation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Qdrant container slow to start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Pre-pull image, health check wait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OpenAI embedding API rate limits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Mock embedding service in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Large ticket content (&gt;100KB)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Test truncation logic explicitly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ADF format changes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Pin Jira API version in tests</w:t>
            </w:r>
          </w:p>
        </w:tc>
      </w:tr>
    </w:tbl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2026-05-07T23:04:00Z</dcterms:created>
  <dcterms:modified xsi:type="dcterms:W3CDTF">2026-05-07T23:04:00Z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