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oftware-test-plan-stp"/>
    <w:p>
      <w:pPr>
        <w:pStyle w:val="Heading1"/>
      </w:pPr>
      <w:r>
        <w:t xml:space="preserve">Software Test Plan (STP)</w:t>
      </w:r>
    </w:p>
    <w:bookmarkStart w:id="20" w:name="X42b292be4d2b4545c377782abe683b5bec5fec0"/>
    <w:p>
      <w:pPr>
        <w:pStyle w:val="Heading2"/>
      </w:pPr>
      <w:r>
        <w:t xml:space="preserve">MCPOrchestration — MTO-20: MCP Tool Integration – Sync &amp; Graph Tools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MCP Tool Integration – Sync &amp; Graph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BRD-v1-MTO-20.docx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FSD-v1-MTO-20.docx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TDD-v1-MTO-20.docx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Test plan for three MCP tools: jira_project_sync, jira_sync_status, jira_ticket_graph — exposing Jira sync and graph capabilities to AI agents.</w:t>
      </w:r>
    </w:p>
    <w:bookmarkEnd w:id="23"/>
    <w:bookmarkStart w:id="24" w:name="test-objectives"/>
    <w:p>
      <w:pPr>
        <w:pStyle w:val="Heading3"/>
      </w:pPr>
      <w:r>
        <w:t xml:space="preserve">1.2 Test Objectives</w:t>
      </w:r>
    </w:p>
    <w:p>
      <w:pPr>
        <w:numPr>
          <w:ilvl w:val="0"/>
          <w:numId w:val="1001"/>
        </w:numPr>
        <w:pStyle w:val="Compact"/>
      </w:pPr>
      <w:r>
        <w:t xml:space="preserve">Verify tool registration and discovery via MCP protocol</w:t>
      </w:r>
    </w:p>
    <w:p>
      <w:pPr>
        <w:numPr>
          <w:ilvl w:val="0"/>
          <w:numId w:val="1001"/>
        </w:numPr>
        <w:pStyle w:val="Compact"/>
      </w:pPr>
      <w:r>
        <w:t xml:space="preserve">Validate input schema enforcement (JSON Schema validation)</w:t>
      </w:r>
    </w:p>
    <w:p>
      <w:pPr>
        <w:numPr>
          <w:ilvl w:val="0"/>
          <w:numId w:val="1001"/>
        </w:numPr>
        <w:pStyle w:val="Compact"/>
      </w:pPr>
      <w:r>
        <w:t xml:space="preserve">Ensure correct delegation to ProjectScanner and GraphDataRepository</w:t>
      </w:r>
    </w:p>
    <w:p>
      <w:pPr>
        <w:numPr>
          <w:ilvl w:val="0"/>
          <w:numId w:val="1001"/>
        </w:numPr>
        <w:pStyle w:val="Compact"/>
      </w:pPr>
      <w:r>
        <w:t xml:space="preserve">Confirm auto-approve configuration for read-only tools</w:t>
      </w:r>
    </w:p>
    <w:p>
      <w:pPr>
        <w:numPr>
          <w:ilvl w:val="0"/>
          <w:numId w:val="1001"/>
        </w:numPr>
        <w:pStyle w:val="Compact"/>
      </w:pPr>
      <w:r>
        <w:t xml:space="preserve">Verify error handling and response formats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test-strategy"/>
    <w:p>
      <w:pPr>
        <w:pStyle w:val="Heading2"/>
      </w:pPr>
      <w:r>
        <w:t xml:space="preserve">2. Test Strategy</w:t>
      </w:r>
    </w:p>
    <w:bookmarkStart w:id="26" w:name="test-levels"/>
    <w:p>
      <w:pPr>
        <w:pStyle w:val="Heading3"/>
      </w:pPr>
      <w:r>
        <w:t xml:space="preserve">2.1 Test Levels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Input validation, schema edge cases</w:t>
            </w:r>
          </w:p>
        </w:tc>
        <w:tc>
          <w:p>
            <w:pPr>
              <w:pStyle w:val="Compact"/>
              <w:jc w:val="left"/>
            </w:pPr>
            <w:r>
              <w:t xml:space="preserve">Kotest Property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Tool handlers, schema validation, response mapping</w:t>
            </w:r>
          </w:p>
        </w:tc>
        <w:tc>
          <w:p>
            <w:pPr>
              <w:pStyle w:val="Compact"/>
              <w:jc w:val="left"/>
            </w:pPr>
            <w:r>
              <w:t xml:space="preserve">Kotest + MockK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MCP protocol integration, tool registration</w:t>
            </w:r>
          </w:p>
        </w:tc>
        <w:tc>
          <w:p>
            <w:pPr>
              <w:pStyle w:val="Compact"/>
              <w:jc w:val="left"/>
            </w:pPr>
            <w:r>
              <w:t xml:space="preserve">Ktor testApplication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Full MCP tool call lifecycle</w:t>
            </w:r>
          </w:p>
        </w:tc>
        <w:tc>
          <w:p>
            <w:pPr>
              <w:pStyle w:val="Compact"/>
              <w:jc w:val="left"/>
            </w:pPr>
            <w:r>
              <w:t xml:space="preserve">MCP client +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Real MCP client (Claude/Kiro) calling tools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requirements-traceability-matrix-rtm"/>
    <w:p>
      <w:pPr>
        <w:pStyle w:val="Heading2"/>
      </w:pPr>
      <w:r>
        <w:t xml:space="preserve">3. Requirements Traceability Matrix (RTM)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 ID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Test Case IDs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p>
            <w:pPr>
              <w:pStyle w:val="Compact"/>
              <w:jc w:val="left"/>
            </w:pPr>
            <w:r>
              <w:t xml:space="preserve">jira_project_sync tool</w:t>
            </w:r>
          </w:p>
        </w:tc>
        <w:tc>
          <w:p>
            <w:pPr>
              <w:pStyle w:val="Compact"/>
              <w:jc w:val="left"/>
            </w:pPr>
            <w:r>
              <w:t xml:space="preserve">TC-001, TC-002, TC-003, TC-004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p>
            <w:pPr>
              <w:pStyle w:val="Compact"/>
              <w:jc w:val="left"/>
            </w:pPr>
            <w:r>
              <w:t xml:space="preserve">jira_sync_status tool</w:t>
            </w:r>
          </w:p>
        </w:tc>
        <w:tc>
          <w:p>
            <w:pPr>
              <w:pStyle w:val="Compact"/>
              <w:jc w:val="left"/>
            </w:pPr>
            <w:r>
              <w:t xml:space="preserve">TC-005, TC-006, TC-007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p>
            <w:pPr>
              <w:pStyle w:val="Compact"/>
              <w:jc w:val="left"/>
            </w:pPr>
            <w:r>
              <w:t xml:space="preserve">jira_ticket_graph tool</w:t>
            </w:r>
          </w:p>
        </w:tc>
        <w:tc>
          <w:p>
            <w:pPr>
              <w:pStyle w:val="Compact"/>
              <w:jc w:val="left"/>
            </w:pPr>
            <w:r>
              <w:t xml:space="preserve">TC-008, TC-009, TC-010, TC-011, TC-012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Async execution</w:t>
            </w:r>
          </w:p>
        </w:tc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One sync per project</w:t>
            </w:r>
          </w:p>
        </w:tc>
        <w:tc>
          <w:p>
            <w:pPr>
              <w:pStyle w:val="Compact"/>
              <w:jc w:val="left"/>
            </w:pPr>
            <w:r>
              <w:t xml:space="preserve">TC-002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Requires approval</w:t>
            </w:r>
          </w:p>
        </w:tc>
        <w:tc>
          <w:p>
            <w:pPr>
              <w:pStyle w:val="Compact"/>
              <w:jc w:val="left"/>
            </w:pPr>
            <w:r>
              <w:t xml:space="preserve">TC-003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Return from DB</w:t>
            </w:r>
          </w:p>
        </w:tc>
        <w:tc>
          <w:p>
            <w:pPr>
              <w:pStyle w:val="Compact"/>
              <w:jc w:val="left"/>
            </w:pPr>
            <w:r>
              <w:t xml:space="preserve">TC-005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never_synced status</w:t>
            </w:r>
          </w:p>
        </w:tc>
        <w:tc>
          <w:p>
            <w:pPr>
              <w:pStyle w:val="Compact"/>
              <w:jc w:val="left"/>
            </w:pPr>
            <w:r>
              <w:t xml:space="preserve">TC-006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Phase breakdown</w:t>
            </w:r>
          </w:p>
        </w:tc>
        <w:tc>
          <w:p>
            <w:pPr>
              <w:pStyle w:val="Compact"/>
              <w:jc w:val="left"/>
            </w:pPr>
            <w:r>
              <w:t xml:space="preserve">TC-007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BFS subgraph</w:t>
            </w:r>
          </w:p>
        </w:tc>
        <w:tc>
          <w:p>
            <w:pPr>
              <w:pStyle w:val="Compact"/>
              <w:jc w:val="left"/>
            </w:pPr>
            <w:r>
              <w:t xml:space="preserve">TC-009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Full project graph</w:t>
            </w:r>
          </w:p>
        </w:tc>
        <w:tc>
          <w:p>
            <w:pPr>
              <w:pStyle w:val="Compact"/>
              <w:jc w:val="left"/>
            </w:pPr>
            <w:r>
              <w:t xml:space="preserve">TC-008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Depth 1-5</w:t>
            </w:r>
          </w:p>
        </w:tc>
        <w:tc>
          <w:p>
            <w:pPr>
              <w:pStyle w:val="Compact"/>
              <w:jc w:val="left"/>
            </w:pPr>
            <w:r>
              <w:t xml:space="preserve">TC-010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Relationship filter</w:t>
            </w:r>
          </w:p>
        </w:tc>
        <w:tc>
          <w:p>
            <w:pPr>
              <w:pStyle w:val="Compact"/>
              <w:jc w:val="left"/>
            </w:pPr>
            <w:r>
              <w:t xml:space="preserve">TC-011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Max 1000 nodes</w:t>
            </w:r>
          </w:p>
        </w:tc>
        <w:tc>
          <w:p>
            <w:pPr>
              <w:pStyle w:val="Compact"/>
              <w:jc w:val="left"/>
            </w:pPr>
            <w:r>
              <w:t xml:space="preserve">TC-012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est-summary"/>
    <w:p>
      <w:pPr>
        <w:pStyle w:val="Heading2"/>
      </w:pPr>
      <w:r>
        <w:t xml:space="preserve">4. Test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isk-mitigation"/>
    <w:p>
      <w:pPr>
        <w:pStyle w:val="Heading2"/>
      </w:pPr>
      <w:r>
        <w:t xml:space="preserve">5. Risk &amp; Mitigation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1638"/>
        <w:gridCol w:w="2184"/>
        <w:gridCol w:w="3277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MCP SDK version incompatibility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Pin SDK version, test with specific 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Graph query performance with large datasets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Test with 1000+ nodes, add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Auto-approve config not loaded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IT test verifies config loading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2026-05-07T23:07:41Z</dcterms:created>
  <dcterms:modified xsi:type="dcterms:W3CDTF">2026-05-07T23:07:41Z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