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chnical-design-document-tdd"/>
    <w:p>
      <w:pPr>
        <w:pStyle w:val="1"/>
      </w:pPr>
      <w:r>
        <w:t xml:space="preserve">Technical Design Document (TDD)</w:t>
      </w:r>
    </w:p>
    <w:bookmarkStart w:id="9" w:name="mcp-orchestration-server-mto-5"/>
    <w:p>
      <w:pPr>
        <w:pStyle w:val="2"/>
      </w:pPr>
      <w:r>
        <w:t xml:space="preserve">MCP Orchestration Server — MTO-5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BRD-v3-MTO-5.docx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FSD-v2-MTO-5.docx</w:t>
            </w:r>
          </w:p>
        </w:tc>
      </w:tr>
    </w:tbl>
    <w:bookmarkEnd w:id="10"/>
    <w:bookmarkStart w:id="11" w:name="key-updates-in-v2"/>
    <w:p>
      <w:pPr>
        <w:pStyle w:val="2"/>
      </w:pPr>
      <w:r>
        <w:t xml:space="preserve">Key Updates in v2</w:t>
      </w:r>
    </w:p>
    <w:p>
      <w:pPr>
        <w:pStyle w:val="Compact"/>
        <w:numPr>
          <w:ilvl w:val="0"/>
          <w:numId w:val="1001"/>
        </w:numPr>
      </w:pPr>
      <w:r>
        <w:t xml:space="preserve">§3.5 CLI Arguments (–config): Application.kt parseConfigArg(), main(args) signature change</w:t>
      </w:r>
    </w:p>
    <w:p>
      <w:pPr>
        <w:pStyle w:val="Compact"/>
        <w:numPr>
          <w:ilvl w:val="0"/>
          <w:numId w:val="1001"/>
        </w:numPr>
      </w:pPr>
      <w:r>
        <w:t xml:space="preserve">§3.6 mcpServers JSON Format: JsonConfigLoader.parseMcpServersFormat(), ConfigurationManagerImpl configPath</w:t>
      </w:r>
    </w:p>
    <w:bookmarkEnd w:id="11"/>
    <w:bookmarkStart w:id="12" w:name="cli-arguments"/>
    <w:p>
      <w:pPr>
        <w:pStyle w:val="2"/>
      </w:pPr>
      <w:r>
        <w:t xml:space="preserve">§3.5 CLI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990"/>
        <w:gridCol w:w="1650"/>
        <w:gridCol w:w="1485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–config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Path to external JSON config in mcpServers format</w:t>
            </w:r>
          </w:p>
        </w:tc>
      </w:tr>
    </w:tbl>
    <w:p>
      <w:pPr>
        <w:pStyle w:val="BodyText"/>
      </w:pPr>
      <w:r>
        <w:t xml:space="preserve">Application.kt: main() → main(args: Array</w:t>
      </w:r>
      <w:r>
        <w:t xml:space="preserve">), parseConfigArg() extracts –config value</w:t>
      </w:r>
    </w:p>
    <w:bookmarkEnd w:id="12"/>
    <w:bookmarkStart w:id="13" w:name="mcpservers-json-format"/>
    <w:p>
      <w:pPr>
        <w:pStyle w:val="2"/>
      </w:pPr>
      <w:r>
        <w:t xml:space="preserve">§3.6 mcpServers JSON Format</w:t>
      </w:r>
    </w:p>
    <w:p>
      <w:pPr>
        <w:pStyle w:val="FirstParagraph"/>
      </w:pPr>
      <w:r>
        <w:t xml:space="preserve">JsonConfigLoader: New parseMcpServersFormat() method parses mcpServers object, infers transport from url/command presence</w:t>
      </w:r>
    </w:p>
    <w:p>
      <w:pPr>
        <w:pStyle w:val="BodyText"/>
      </w:pPr>
      <w:r>
        <w:t xml:space="preserve">ConfigurationManagerImpl: New configPath constructor parameter, loadCliConfigServers() resolves absolute/relative paths</w:t>
      </w:r>
    </w:p>
    <w:p>
      <w:pPr>
        <w:pStyle w:val="BodyText"/>
      </w:pPr>
      <w:r>
        <w:t xml:space="preserve">Koin DI: ConfigurationManagerImpl(configPath = get())</w:t>
      </w:r>
    </w:p>
    <w:bookmarkEnd w:id="13"/>
    <w:bookmarkEnd w:id="1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2026-05-02T15:48:54Z</dcterms:created>
  <dcterms:modified xsi:type="dcterms:W3CDTF">2026-05-02T15:48:54Z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