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ftware-test-plan-stp"/>
    <w:p>
      <w:pPr>
        <w:pStyle w:val="Heading1"/>
      </w:pPr>
      <w:r>
        <w:t xml:space="preserve">Software Test Plan (STP)</w:t>
      </w:r>
    </w:p>
    <w:bookmarkStart w:id="20" w:name="X62f1a9b924912626458c4d721aa04f2a9c68812"/>
    <w:p>
      <w:pPr>
        <w:pStyle w:val="Heading2"/>
      </w:pPr>
      <w:r>
        <w:t xml:space="preserve">Jira Project Sync Service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expanded to 6 test levels (PBT, UT, IT, E2E-API, E2E-UI, SIT), added RTM, enhanced test data strategy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comprehensive testing strategy for the Database Schema &amp; Sync State Management module (MTO-15). This module is the foundational persistence layer for the Jira Project Sync Service (Epic MTO-14), consisting of:</w:t>
      </w:r>
    </w:p>
    <w:p>
      <w:pPr>
        <w:numPr>
          <w:ilvl w:val="0"/>
          <w:numId w:val="1001"/>
        </w:numPr>
        <w:pStyle w:val="Compact"/>
      </w:pPr>
      <w:r>
        <w:t xml:space="preserve">4 PostgreSQL tables: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jira_ticket_graph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jira_attachment_queue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SyncStateManager</w:t>
      </w:r>
      <w:r>
        <w:t xml:space="preserve"> </w:t>
      </w:r>
      <w:r>
        <w:t xml:space="preserve">class with state machine enforcement and optimistic locking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JiraSyncDatabaseInitializer</w:t>
      </w:r>
      <w:r>
        <w:t xml:space="preserve"> </w:t>
      </w:r>
      <w:r>
        <w:t xml:space="preserve">for idempotent migration execution</w:t>
      </w:r>
    </w:p>
    <w:p>
      <w:pPr>
        <w:numPr>
          <w:ilvl w:val="0"/>
          <w:numId w:val="1001"/>
        </w:numPr>
        <w:pStyle w:val="Compact"/>
      </w:pPr>
      <w:r>
        <w:t xml:space="preserve">8 performance indexes including partial indexes</w:t>
      </w:r>
    </w:p>
    <w:p>
      <w:pPr>
        <w:numPr>
          <w:ilvl w:val="0"/>
          <w:numId w:val="1001"/>
        </w:numPr>
        <w:pStyle w:val="Compact"/>
      </w:pPr>
      <w:r>
        <w:t xml:space="preserve">Repository classes with UPSERT and batch operations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2"/>
        </w:numPr>
        <w:pStyle w:val="Compact"/>
      </w:pPr>
      <w:r>
        <w:t xml:space="preserve">Verify all 7 functional requirements (UC-01 through UC-07) from FSD are implemented correctly</w:t>
      </w:r>
    </w:p>
    <w:p>
      <w:pPr>
        <w:numPr>
          <w:ilvl w:val="0"/>
          <w:numId w:val="1002"/>
        </w:numPr>
        <w:pStyle w:val="Compact"/>
      </w:pPr>
      <w:r>
        <w:t xml:space="preserve">Validate all 35 business rules (BR-01 through BR-35) are enforced</w:t>
      </w:r>
    </w:p>
    <w:p>
      <w:pPr>
        <w:numPr>
          <w:ilvl w:val="0"/>
          <w:numId w:val="1002"/>
        </w:numPr>
        <w:pStyle w:val="Compact"/>
      </w:pPr>
      <w:r>
        <w:t xml:space="preserve">Ensure state machine transitions follow the defined lifecycle (IDLE → RUNNING → COMPLETED/FAILED/PAUSED)</w:t>
      </w:r>
    </w:p>
    <w:p>
      <w:pPr>
        <w:numPr>
          <w:ilvl w:val="0"/>
          <w:numId w:val="1002"/>
        </w:numPr>
        <w:pStyle w:val="Compact"/>
      </w:pPr>
      <w:r>
        <w:t xml:space="preserve">Verify database migration scripts are idempotent and create correct schema</w:t>
      </w:r>
    </w:p>
    <w:p>
      <w:pPr>
        <w:numPr>
          <w:ilvl w:val="0"/>
          <w:numId w:val="1002"/>
        </w:numPr>
        <w:pStyle w:val="Compact"/>
      </w:pPr>
      <w:r>
        <w:t xml:space="preserve">Validate performance indexes improve query execution as specified</w:t>
      </w:r>
    </w:p>
    <w:p>
      <w:pPr>
        <w:numPr>
          <w:ilvl w:val="0"/>
          <w:numId w:val="1002"/>
        </w:numPr>
        <w:pStyle w:val="Compact"/>
      </w:pPr>
      <w:r>
        <w:t xml:space="preserve">Ensure non-functional requirements (50ms state updates, 100 tickets/sec UPSERT, 10ms queue polling) are met</w:t>
      </w:r>
    </w:p>
    <w:p>
      <w:pPr>
        <w:numPr>
          <w:ilvl w:val="0"/>
          <w:numId w:val="1002"/>
        </w:numPr>
        <w:pStyle w:val="Compact"/>
      </w:pPr>
      <w:r>
        <w:t xml:space="preserve">Verify optimistic locking prevents race conditions in concurrent scenarios</w:t>
      </w:r>
    </w:p>
    <w:p>
      <w:pPr>
        <w:numPr>
          <w:ilvl w:val="0"/>
          <w:numId w:val="1002"/>
        </w:numPr>
        <w:pStyle w:val="Compact"/>
      </w:pPr>
      <w:r>
        <w:t xml:space="preserve">Validate input validation rejects malformed data with appropriate error messages</w:t>
      </w:r>
    </w:p>
    <w:p>
      <w:pPr>
        <w:numPr>
          <w:ilvl w:val="0"/>
          <w:numId w:val="1002"/>
        </w:numPr>
        <w:pStyle w:val="Compact"/>
      </w:pPr>
      <w:r>
        <w:t xml:space="preserve">Confirm regression safety — existing tables (server_config, tool_toggle_state, file_proxy_registry) are unaffected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1155"/>
        <w:gridCol w:w="2475"/>
        <w:gridCol w:w="1155"/>
        <w:gridCol w:w="19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 (PBT)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invariants, data model constraints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 Testing (kotlinx-property)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logic, validation, error handling, repository method logic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5.9.1 FunSpec + MockK 1.14.2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Full DB operations with real PostgreSQL, migration scripts, UPSERT, indexes, concurrency</w:t>
            </w:r>
          </w:p>
        </w:tc>
        <w:tc>
          <w:p>
            <w:pPr>
              <w:pStyle w:val="Compact"/>
              <w:jc w:val="left"/>
            </w:pPr>
            <w:r>
              <w:t xml:space="preserve">Developer + QA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1.21.1 (PostgreSQL 16)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Complete sync lifecycle via internal Kotlin API (no HTTP — internal module)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+ real DI (Koin)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Testing</w:t>
            </w:r>
          </w:p>
        </w:tc>
        <w:tc>
          <w:p>
            <w:pPr>
              <w:pStyle w:val="Compact"/>
              <w:jc w:val="left"/>
            </w:pPr>
            <w:r>
              <w:t xml:space="preserve">N/A — backend-only module, no UI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benchmarks, concurrent access, regression against existing tables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+ custom benchmarks</w:t>
            </w:r>
          </w:p>
        </w:tc>
        <w:tc>
          <w:p>
            <w:pPr>
              <w:pStyle w:val="Compact"/>
              <w:jc w:val="left"/>
            </w:pPr>
            <w:r>
              <w:t xml:space="preserve">95% automated, 5% manual review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E2E-UI is not applicable for MTO-15 as this is a backend-only persistence module with no HTTP endpoints or UI components.</w:t>
      </w:r>
    </w:p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2709"/>
        <w:gridCol w:w="2501"/>
        <w:gridCol w:w="1458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state machine transitions, CRUD operations, 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state machine invariants hold for arbitrary input sequences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DB tables are unaffected by migration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IT,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50ms state updates, 100 tickets/sec UPSERT, 10ms queue polling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SQL injection prevention,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optimistic locking, race condition handling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IT,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field length limits, null handling, edge values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migration and UPSERT operations are safely repeatable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pStyle w:val="FirstParagraph"/>
      </w:pPr>
      <w:r>
        <w:rPr>
          <w:bCs/>
          <w:b/>
        </w:rPr>
        <w:t xml:space="preserve">Automation-First Strategy:</w:t>
      </w:r>
      <w:r>
        <w:t xml:space="preserve"> </w:t>
      </w:r>
      <w:r>
        <w:t xml:space="preserve">- All tests are fully automated using Kotest + Testcontainers — no manual test execution required</w:t>
      </w:r>
      <w:r>
        <w:t xml:space="preserve"> </w:t>
      </w:r>
      <w:r>
        <w:t xml:space="preserve">- Property-based tests generate random state transition sequences to find edge cases</w:t>
      </w:r>
      <w:r>
        <w:t xml:space="preserve"> </w:t>
      </w:r>
      <w:r>
        <w:t xml:space="preserve">- Integration tests use real PostgreSQL via Testcontainers (no H2 or in-memory substitutes)</w:t>
      </w:r>
      <w:r>
        <w:t xml:space="preserve"> </w:t>
      </w:r>
      <w:r>
        <w:t xml:space="preserve">- Performance tests use timing assertions with statistical confidence (p95 &lt; threshold)</w:t>
      </w:r>
      <w:r>
        <w:t xml:space="preserve"> </w:t>
      </w:r>
      <w:r>
        <w:t xml:space="preserve">- Each test class gets its own Testcontainers instance — no shared state between tests</w:t>
      </w:r>
    </w:p>
    <w:p>
      <w:pPr>
        <w:pStyle w:val="BodyText"/>
      </w:pPr>
      <w:r>
        <w:rPr>
          <w:bCs/>
          <w:b/>
        </w:rPr>
        <w:t xml:space="preserve">Risk-Based Prioritization: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State machine transitions (BR-02, BR-21–BR-26) — incorrect transitions corrupt sync state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Optimistic locking (EF-03) — race conditions cause data inconsistency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High:</w:t>
      </w:r>
      <w:r>
        <w:t xml:space="preserve"> </w:t>
      </w:r>
      <w:r>
        <w:t xml:space="preserve">Database migration idempotency (BR-28–BR-31) — failed migration blocks startup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High:</w:t>
      </w:r>
      <w:r>
        <w:t xml:space="preserve"> </w:t>
      </w:r>
      <w:r>
        <w:t xml:space="preserve">UPSERT operations (BR-06, BR-09, BR-15) — data integrity depends on correct conflict handling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Performance indexes (BR-32–BR-35) — affects query speed but not correctness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Low:</w:t>
      </w:r>
      <w:r>
        <w:t xml:space="preserve"> </w:t>
      </w:r>
      <w:r>
        <w:t xml:space="preserve">Edge cases (self-referencing graph, max retry count) — unlikely in normal operation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 testing dependency available, SyncStatus enum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MockK dependencies available, SyncStateManagerImpl class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available, Docker running, PostgreSQL 16 image pulled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All UT + IT pass, Koin module configured with all sync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UT + IT + E2E-API pass, full module deployed to test environment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1000 random sequences pass without invariant violation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failures, all state transitions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failures, migration idempotency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sync lifecycle (create → run → progress → complete) passes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performance targets met, concurrency tests pass, regression suite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test-scope"/>
    <w:p>
      <w:pPr>
        <w:pStyle w:val="Heading2"/>
      </w:pPr>
      <w:r>
        <w:t xml:space="preserve">3. Test Scope</w:t>
      </w:r>
    </w:p>
    <w:bookmarkStart w:id="35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6"/>
        <w:gridCol w:w="2223"/>
        <w:gridCol w:w="1389"/>
        <w:gridCol w:w="2084"/>
        <w:gridCol w:w="180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Sync State Table (jira_sync_state)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BR-01–BR-05</w:t>
            </w:r>
          </w:p>
        </w:tc>
        <w:tc>
          <w:p>
            <w:pPr>
              <w:pStyle w:val="Compact"/>
              <w:jc w:val="left"/>
            </w:pPr>
            <w:r>
              <w:t xml:space="preserve">PBT + 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Ticket Cache Table (jira_ticket_cache)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BR-06–BR-10</w:t>
            </w:r>
          </w:p>
        </w:tc>
        <w:tc>
          <w:p>
            <w:pPr>
              <w:pStyle w:val="Compact"/>
              <w:jc w:val="left"/>
            </w:pPr>
            <w:r>
              <w:t xml:space="preserve">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Ticket Graph Table (jira_ticket_graph)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BR-11–BR-14</w:t>
            </w:r>
          </w:p>
        </w:tc>
        <w:tc>
          <w:p>
            <w:pPr>
              <w:pStyle w:val="Compact"/>
              <w:jc w:val="left"/>
            </w:pPr>
            <w:r>
              <w:t xml:space="preserve">UT +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Table (jira_attachment_queue)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BR-15–BR-20</w:t>
            </w:r>
          </w:p>
        </w:tc>
        <w:tc>
          <w:p>
            <w:pPr>
              <w:pStyle w:val="Compact"/>
              <w:jc w:val="left"/>
            </w:pPr>
            <w:r>
              <w:t xml:space="preserve">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 Class (state machine)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UC-05, BR-21–BR-27</w:t>
            </w:r>
          </w:p>
        </w:tc>
        <w:tc>
          <w:p>
            <w:pPr>
              <w:pStyle w:val="Compact"/>
              <w:jc w:val="left"/>
            </w:pPr>
            <w:r>
              <w:t xml:space="preserve">PBT + UT + IT +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 Migration Scripts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UC-06, BR-28–BR-31</w:t>
            </w:r>
          </w:p>
        </w:tc>
        <w:tc>
          <w:p>
            <w:pPr>
              <w:pStyle w:val="Compact"/>
              <w:jc w:val="left"/>
            </w:pPr>
            <w:r>
              <w:t xml:space="preserve">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Performance Indexes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UC-07, BR-32–BR-35</w:t>
            </w:r>
          </w:p>
        </w:tc>
        <w:tc>
          <w:p>
            <w:pPr>
              <w:pStyle w:val="Compact"/>
              <w:jc w:val="left"/>
            </w:pPr>
            <w:r>
              <w:t xml:space="preserve">IT + SIT</w:t>
            </w:r>
          </w:p>
        </w:tc>
      </w:tr>
    </w:tbl>
    <w:bookmarkEnd w:id="35"/>
    <w:bookmarkStart w:id="36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ingestion pipeline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scheduling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UI/dashboard monitoring</w:t>
            </w:r>
          </w:p>
        </w:tc>
        <w:tc>
          <w:p>
            <w:pPr>
              <w:pStyle w:val="Compact"/>
              <w:jc w:val="left"/>
            </w:pPr>
            <w:r>
              <w:t xml:space="preserve">Not part of 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 archival/purging</w:t>
            </w:r>
          </w:p>
        </w:tc>
        <w:tc>
          <w:p>
            <w:pPr>
              <w:pStyle w:val="Compact"/>
              <w:jc w:val="left"/>
            </w:pPr>
            <w:r>
              <w:t xml:space="preserve">Future iteration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HTTP endpoints</w:t>
            </w:r>
          </w:p>
        </w:tc>
        <w:tc>
          <w:p>
            <w:pPr>
              <w:pStyle w:val="Compact"/>
              <w:jc w:val="left"/>
            </w:pPr>
            <w:r>
              <w:t xml:space="preserve">MTO-15 is internal Kotlin API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st-environment"/>
    <w:p>
      <w:pPr>
        <w:pStyle w:val="Heading2"/>
      </w:pPr>
      <w:r>
        <w:t xml:space="preserve">4. Test Environment</w:t>
      </w:r>
    </w:p>
    <w:bookmarkStart w:id="38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238"/>
        <w:gridCol w:w="2410"/>
        <w:gridCol w:w="1721"/>
        <w:gridCol w:w="1549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JVM + 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No DB (pure logic)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invariant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JVM + MockK</w:t>
            </w:r>
          </w:p>
        </w:tc>
        <w:tc>
          <w:p>
            <w:pPr>
              <w:pStyle w:val="Compact"/>
              <w:jc w:val="left"/>
            </w:pPr>
            <w:r>
              <w:t xml:space="preserve">Mocked (no real DB)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logic,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JVM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(Docker)</w:t>
            </w:r>
          </w:p>
        </w:tc>
        <w:tc>
          <w:p>
            <w:pPr>
              <w:pStyle w:val="Compact"/>
              <w:jc w:val="left"/>
            </w:pPr>
            <w:r>
              <w:t xml:space="preserve">Full DB operations, migration, UPSERT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JVM + Koin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(Docker)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with real 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</w:t>
            </w:r>
          </w:p>
        </w:tc>
        <w:tc>
          <w:p>
            <w:pPr>
              <w:pStyle w:val="Compact"/>
              <w:jc w:val="left"/>
            </w:pPr>
            <w:r>
              <w:t xml:space="preserve">JVM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(Docker)</w:t>
            </w:r>
          </w:p>
        </w:tc>
        <w:tc>
          <w:p>
            <w:pPr>
              <w:pStyle w:val="Compact"/>
              <w:jc w:val="left"/>
            </w:pPr>
            <w:r>
              <w:t xml:space="preserve">Benchmark timing assertions</w:t>
            </w:r>
          </w:p>
        </w:tc>
      </w:tr>
    </w:tbl>
    <w:bookmarkEnd w:id="38"/>
    <w:bookmarkStart w:id="39" w:name="technology-stack"/>
    <w:p>
      <w:pPr>
        <w:pStyle w:val="Heading3"/>
      </w:pPr>
      <w:r>
        <w:t xml:space="preserve">4.2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5.9.1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 (FunSpec style)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5.9.1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1.14.2</w:t>
            </w:r>
          </w:p>
        </w:tc>
        <w:tc>
          <w:p>
            <w:pPr>
              <w:pStyle w:val="Compact"/>
              <w:jc w:val="left"/>
            </w:pPr>
            <w:r>
              <w:t xml:space="preserve">Mocking library for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1.21.1</w:t>
            </w:r>
          </w:p>
        </w:tc>
        <w:tc>
          <w:p>
            <w:pPr>
              <w:pStyle w:val="Compact"/>
              <w:jc w:val="left"/>
            </w:pPr>
            <w:r>
              <w:t xml:space="preserve">Docker-based PostgreSQL for integration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16-alpine</w:t>
            </w:r>
          </w:p>
        </w:tc>
        <w:tc>
          <w:p>
            <w:pPr>
              <w:pStyle w:val="Compact"/>
              <w:jc w:val="left"/>
            </w:pPr>
            <w:r>
              <w:t xml:space="preserve">Database (Docker image)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Koin Test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p>
            <w:pPr>
              <w:pStyle w:val="Compact"/>
              <w:jc w:val="left"/>
            </w:pPr>
            <w:r>
              <w:t xml:space="preserve">DI testing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p>
            <w:pPr>
              <w:pStyle w:val="Compact"/>
              <w:jc w:val="left"/>
            </w:pPr>
            <w:r>
              <w:t xml:space="preserve">Build tool (</w:t>
            </w:r>
            <w:r>
              <w:rPr>
                <w:rStyle w:val="VerbatimChar"/>
              </w:rPr>
              <w:t xml:space="preserve">./gradlew test</w:t>
            </w:r>
            <w:r>
              <w:t xml:space="preserve">)</w:t>
            </w:r>
          </w:p>
        </w:tc>
      </w:tr>
    </w:tbl>
    <w:bookmarkEnd w:id="39"/>
    <w:bookmarkStart w:id="40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keys</w:t>
            </w:r>
          </w:p>
        </w:tc>
        <w:tc>
          <w:p>
            <w:pPr>
              <w:pStyle w:val="Compact"/>
              <w:jc w:val="left"/>
            </w:pPr>
            <w:r>
              <w:t xml:space="preserve">Valid Jira project keys (e.g.,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keys</w:t>
            </w:r>
          </w:p>
        </w:tc>
        <w:tc>
          <w:p>
            <w:pPr>
              <w:pStyle w:val="Compact"/>
              <w:jc w:val="left"/>
            </w:pPr>
            <w:r>
              <w:t xml:space="preserve">Valid ticket keys (e.g.,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PROJ-100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states</w:t>
            </w:r>
          </w:p>
        </w:tc>
        <w:tc>
          <w:p>
            <w:pPr>
              <w:pStyle w:val="Compact"/>
              <w:jc w:val="left"/>
            </w:pPr>
            <w:r>
              <w:t xml:space="preserve">All 5 status values (IDLE, RUNNING, PAUSED, COMPLETED, FAILED)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SyncStatus enum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hashes</w:t>
            </w:r>
          </w:p>
        </w:tc>
        <w:tc>
          <w:p>
            <w:pPr>
              <w:pStyle w:val="Compact"/>
              <w:jc w:val="left"/>
            </w:pPr>
            <w:r>
              <w:t xml:space="preserve">Valid SHA-256 hex strings (64 chars)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p>
            <w:pPr>
              <w:pStyle w:val="Compact"/>
              <w:jc w:val="left"/>
            </w:pPr>
            <w:r>
              <w:t xml:space="preserve">SHA-256 of test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metadata</w:t>
            </w:r>
          </w:p>
        </w:tc>
        <w:tc>
          <w:p>
            <w:pPr>
              <w:pStyle w:val="Compact"/>
              <w:jc w:val="left"/>
            </w:pPr>
            <w:r>
              <w:t xml:space="preserve">Filenames, MIME types, URLs, sizes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Source/target keys with link types and categories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inputs</w:t>
            </w:r>
          </w:p>
        </w:tc>
        <w:tc>
          <w:p>
            <w:pPr>
              <w:pStyle w:val="Compact"/>
              <w:jc w:val="left"/>
            </w:pPr>
            <w:r>
              <w:t xml:space="preserve">Empty strings, null values, oversized strings, SQL injection attempts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Boundary test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data</w:t>
            </w:r>
          </w:p>
        </w:tc>
        <w:tc>
          <w:p>
            <w:pPr>
              <w:pStyle w:val="Compact"/>
              <w:jc w:val="left"/>
            </w:pPr>
            <w:r>
              <w:t xml:space="preserve">Lists of 1, 10, 100, 1000 items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p>
            <w:pPr>
              <w:pStyle w:val="Compact"/>
              <w:jc w:val="left"/>
            </w:pPr>
            <w:r>
              <w:t xml:space="preserve">Loop-generated test data</w:t>
            </w:r>
          </w:p>
        </w:tc>
      </w:tr>
    </w:tbl>
    <w:bookmarkEnd w:id="40"/>
    <w:bookmarkStart w:id="41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Real database instance via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Yes — Testcontainers PostgreSQL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Required for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Must be running on CI/local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Real instance in IT/E2E, mocked in 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DI framework</w:t>
            </w:r>
          </w:p>
        </w:tc>
        <w:tc>
          <w:p>
            <w:pPr>
              <w:pStyle w:val="Compact"/>
              <w:jc w:val="left"/>
            </w:pPr>
            <w:r>
              <w:t xml:space="preserve">Real in E2E-API, not used in UT/IT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Test code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+ Unit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All PBT + UT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IT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Performance/SIT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2026-05-11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NFR targets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2026-05-11</w:t>
            </w:r>
          </w:p>
        </w:tc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STP/STC creation, test execution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automated test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Unit test implementation, bug fixing, code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review of test approach, performance targets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Pipeline coordination, quality gate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Docker not available on CI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Ensure Docker is installed on CI runners; document Docker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startup timeout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Set container startup timeout to 60s; use reusable containers in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PostgreSQL version mismatch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Docker image to postgres:16-alpine; match production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Concurrent test interference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Each test class gets its own Testcontainers instance; no shared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 flakiness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statistical assertions (p95 &lt; threshold); run 100+ iterations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Migration script breaks existing tables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verifies existing tables are untouched after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 finds edge case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Fix implementation, add regression test for the specific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Optimistic locking race in tests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coroutine-based concurrency simulation with controlled timing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Heading2"/>
      </w:pPr>
      <w:r>
        <w:t xml:space="preserve">8. Defect Management</w:t>
      </w:r>
    </w:p>
    <w:bookmarkStart w:id="46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Data corruption, state machine deadlock, migration destroys existing data</w:t>
            </w:r>
          </w:p>
        </w:tc>
        <w:tc>
          <w:p>
            <w:pPr>
              <w:pStyle w:val="Compact"/>
              <w:jc w:val="left"/>
            </w:pPr>
            <w:r>
              <w:t xml:space="preserve">Invalid state transition allows COMPLETED → RUNNING without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 but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UPSERT fails for tickets with special characters in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Non-critical behavior deviation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not descriptive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Code style, naming convention</w:t>
            </w:r>
          </w:p>
        </w:tc>
        <w:tc>
          <w:p>
            <w:pPr>
              <w:pStyle w:val="Compact"/>
              <w:jc w:val="left"/>
            </w:pPr>
            <w:r>
              <w:t xml:space="preserve">Variable name doesn’t follow project convention</w:t>
            </w:r>
          </w:p>
        </w:tc>
      </w:tr>
    </w:tbl>
    <w:bookmarkEnd w:id="46"/>
    <w:bookmarkStart w:id="47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— blocks other MTO-14 stories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integration with other stories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 to next sprint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</w:tr>
    </w:tbl>
    <w:bookmarkEnd w:id="47"/>
    <w:bookmarkStart w:id="48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-metrics-reporting"/>
    <w:p>
      <w:pPr>
        <w:pStyle w:val="Heading2"/>
      </w:pPr>
      <w:r>
        <w:t xml:space="preserve">9. Test Metrics &amp; Reporting</w:t>
      </w:r>
    </w:p>
    <w:bookmarkStart w:id="50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(Unit)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Coverage</w:t>
            </w:r>
          </w:p>
        </w:tc>
        <w:tc>
          <w:p>
            <w:pPr>
              <w:pStyle w:val="Compact"/>
              <w:jc w:val="left"/>
            </w:pPr>
            <w:r>
              <w:t xml:space="preserve">BRs with ≥1 test case / Total BRs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  <w:tc>
          <w:p>
            <w:pPr>
              <w:pStyle w:val="Compact"/>
              <w:jc w:val="left"/>
            </w:pPr>
            <w:r>
              <w:t xml:space="preserve">NFRs meeting target / Total NFRs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Iterations</w:t>
            </w:r>
          </w:p>
        </w:tc>
        <w:tc>
          <w:p>
            <w:pPr>
              <w:pStyle w:val="Compact"/>
              <w:jc w:val="left"/>
            </w:pPr>
            <w:r>
              <w:t xml:space="preserve">Random sequences tested</w:t>
            </w:r>
          </w:p>
        </w:tc>
        <w:tc>
          <w:p>
            <w:pPr>
              <w:pStyle w:val="Compact"/>
              <w:jc w:val="left"/>
            </w:pPr>
            <w:r>
              <w:t xml:space="preserve">≥ 1000</w:t>
            </w:r>
          </w:p>
        </w:tc>
      </w:tr>
    </w:tbl>
    <w:bookmarkEnd w:id="50"/>
    <w:bookmarkStart w:id="51" w:name="reporting-schedule"/>
    <w:p>
      <w:pPr>
        <w:pStyle w:val="Heading3"/>
      </w:pPr>
      <w:r>
        <w:t xml:space="preserve">9.2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Summary</w:t>
            </w:r>
          </w:p>
        </w:tc>
        <w:tc>
          <w:p>
            <w:pPr>
              <w:pStyle w:val="Compact"/>
              <w:jc w:val="left"/>
            </w:pPr>
            <w:r>
              <w:t xml:space="preserve">After each test run</w:t>
            </w:r>
          </w:p>
        </w:tc>
        <w:tc>
          <w:p>
            <w:pPr>
              <w:pStyle w:val="Compact"/>
              <w:jc w:val="left"/>
            </w:pPr>
            <w:r>
              <w:t xml:space="preserve">Dev team + 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Report</w:t>
            </w:r>
          </w:p>
        </w:tc>
        <w:tc>
          <w:p>
            <w:pPr>
              <w:pStyle w:val="Compact"/>
              <w:jc w:val="left"/>
            </w:pPr>
            <w:r>
              <w:t xml:space="preserve">On defect discovery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Test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testing phase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test-case-summary"/>
    <w:p>
      <w:pPr>
        <w:pStyle w:val="Heading2"/>
      </w:pPr>
      <w:r>
        <w:t xml:space="preserve">10. Test Case Summary</w:t>
      </w:r>
    </w:p>
    <w:bookmarkStart w:id="53" w:name="test-case-distribution-by-level"/>
    <w:p>
      <w:pPr>
        <w:pStyle w:val="Heading3"/>
      </w:pPr>
      <w:r>
        <w:t xml:space="preserve">10.1 Test Case Distribution by Level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 (PBT)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Testing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N/A (backend-only)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95% automated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 automated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3"/>
    <w:bookmarkStart w:id="54" w:name="test-case-distribution-by-feature"/>
    <w:p>
      <w:pPr>
        <w:pStyle w:val="Heading3"/>
      </w:pPr>
      <w:r>
        <w:t xml:space="preserve">10.2 Test Case Distribution by Feature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 Table (UC-01)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Cache Table (UC-02)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Graph Table (UC-03)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 Table (UC-04)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 (UC-05)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Scripts (UC-06)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Indexes (UC-07)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</w:t>
            </w:r>
          </w:p>
        </w:tc>
      </w:tr>
    </w:tbl>
    <w:bookmarkEnd w:id="54"/>
    <w:bookmarkStart w:id="55" w:name="business-rule-coverage-summary-rtm"/>
    <w:p>
      <w:pPr>
        <w:pStyle w:val="Heading3"/>
      </w:pPr>
      <w:r>
        <w:t xml:space="preserve">10.3 Business Rule Coverage Summary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1"/>
        <w:gridCol w:w="1738"/>
        <w:gridCol w:w="2318"/>
        <w:gridCol w:w="1931"/>
      </w:tblGrid>
      <w:tr>
        <w:tc>
          <w:p>
            <w:pPr>
              <w:pStyle w:val="Compact"/>
              <w:jc w:val="left"/>
            </w:pPr>
            <w:r>
              <w:t xml:space="preserve">BR Range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to BR-05</w:t>
            </w:r>
          </w:p>
        </w:tc>
        <w:tc>
          <w:p>
            <w:pPr>
              <w:pStyle w:val="Compact"/>
              <w:jc w:val="left"/>
            </w:pPr>
            <w:r>
              <w:t xml:space="preserve">Sync State Table</w:t>
            </w:r>
          </w:p>
        </w:tc>
        <w:tc>
          <w:p>
            <w:pPr>
              <w:pStyle w:val="Compact"/>
              <w:jc w:val="left"/>
            </w:pPr>
            <w:r>
              <w:t xml:space="preserve">TC-PBT-01..02, TC-UT-01..02, TC-IT-01..03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to BR-10</w:t>
            </w:r>
          </w:p>
        </w:tc>
        <w:tc>
          <w:p>
            <w:pPr>
              <w:pStyle w:val="Compact"/>
              <w:jc w:val="left"/>
            </w:pPr>
            <w:r>
              <w:t xml:space="preserve">Ticket Cache Table</w:t>
            </w:r>
          </w:p>
        </w:tc>
        <w:tc>
          <w:p>
            <w:pPr>
              <w:pStyle w:val="Compact"/>
              <w:jc w:val="left"/>
            </w:pPr>
            <w:r>
              <w:t xml:space="preserve">TC-UT-03..05, TC-IT-04..07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to BR-14</w:t>
            </w:r>
          </w:p>
        </w:tc>
        <w:tc>
          <w:p>
            <w:pPr>
              <w:pStyle w:val="Compact"/>
              <w:jc w:val="left"/>
            </w:pPr>
            <w:r>
              <w:t xml:space="preserve">Ticket Graph Table</w:t>
            </w:r>
          </w:p>
        </w:tc>
        <w:tc>
          <w:p>
            <w:pPr>
              <w:pStyle w:val="Compact"/>
              <w:jc w:val="left"/>
            </w:pPr>
            <w:r>
              <w:t xml:space="preserve">TC-UT-06..08, TC-IT-08..10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 to BR-20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Table</w:t>
            </w:r>
          </w:p>
        </w:tc>
        <w:tc>
          <w:p>
            <w:pPr>
              <w:pStyle w:val="Compact"/>
              <w:jc w:val="left"/>
            </w:pPr>
            <w:r>
              <w:t xml:space="preserve">TC-UT-09..11, TC-IT-11..14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 to BR-27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TC-PBT-03..05, TC-UT-12..20, TC-IT-15..18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 to BR-31</w:t>
            </w:r>
          </w:p>
        </w:tc>
        <w:tc>
          <w:p>
            <w:pPr>
              <w:pStyle w:val="Compact"/>
              <w:jc w:val="left"/>
            </w:pPr>
            <w:r>
              <w:t xml:space="preserve">Migration Scripts</w:t>
            </w:r>
          </w:p>
        </w:tc>
        <w:tc>
          <w:p>
            <w:pPr>
              <w:pStyle w:val="Compact"/>
              <w:jc w:val="left"/>
            </w:pPr>
            <w:r>
              <w:t xml:space="preserve">TC-IT-19..20, TC-SIT-07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 to BR-35</w:t>
            </w:r>
          </w:p>
        </w:tc>
        <w:tc>
          <w:p>
            <w:pPr>
              <w:pStyle w:val="Compact"/>
              <w:jc w:val="left"/>
            </w:pPr>
            <w:r>
              <w:t xml:space="preserve">Performance Indexes</w:t>
            </w:r>
          </w:p>
        </w:tc>
        <w:tc>
          <w:p>
            <w:pPr>
              <w:pStyle w:val="Compact"/>
              <w:jc w:val="left"/>
            </w:pPr>
            <w:r>
              <w:t xml:space="preserve">TC-IT-21..22, TC-SIT-08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Coverage: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(UC-01..UC-07)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(BR-01..BR-35)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Test Scenarios (TC-01..TC-20)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Flows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appendix"/>
    <w:p>
      <w:pPr>
        <w:pStyle w:val="Heading2"/>
      </w:pPr>
      <w:r>
        <w:t xml:space="preserve">11. Appendix</w:t>
      </w:r>
    </w:p>
    <w:bookmarkStart w:id="5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STC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</w:tr>
    </w:tbl>
    <w:bookmarkEnd w:id="57"/>
    <w:bookmarkStart w:id="58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3"/>
        </w:numPr>
        <w:pStyle w:val="Compact"/>
      </w:pPr>
      <w:r>
        <w:t xml:space="preserve">Docker is available on all development and CI machines for Testcontainers</w:t>
      </w:r>
    </w:p>
    <w:p>
      <w:pPr>
        <w:numPr>
          <w:ilvl w:val="0"/>
          <w:numId w:val="1003"/>
        </w:numPr>
        <w:pStyle w:val="Compact"/>
      </w:pPr>
      <w:r>
        <w:t xml:space="preserve">PostgreSQL 16 Docker image is accessible (no network restrictions)</w:t>
      </w:r>
    </w:p>
    <w:p>
      <w:pPr>
        <w:numPr>
          <w:ilvl w:val="0"/>
          <w:numId w:val="1003"/>
        </w:numPr>
        <w:pStyle w:val="Compact"/>
      </w:pPr>
      <w:r>
        <w:t xml:space="preserve">Kotest + MockK + Testcontainers + Kotest Property dependencies are in build.gradle.kts</w:t>
      </w:r>
    </w:p>
    <w:p>
      <w:pPr>
        <w:numPr>
          <w:ilvl w:val="0"/>
          <w:numId w:val="1003"/>
        </w:numPr>
        <w:pStyle w:val="Compact"/>
      </w:pPr>
      <w:r>
        <w:t xml:space="preserve">No UI testing required — this is a backend-only module</w:t>
      </w:r>
    </w:p>
    <w:p>
      <w:pPr>
        <w:numPr>
          <w:ilvl w:val="0"/>
          <w:numId w:val="1003"/>
        </w:numPr>
        <w:pStyle w:val="Compact"/>
      </w:pPr>
      <w:r>
        <w:t xml:space="preserve">Test data is ephemeral — each test creates and destroys its own data within the container lifecycle</w:t>
      </w:r>
    </w:p>
    <w:p>
      <w:pPr>
        <w:numPr>
          <w:ilvl w:val="0"/>
          <w:numId w:val="1003"/>
        </w:numPr>
        <w:pStyle w:val="Compact"/>
      </w:pPr>
      <w:r>
        <w:t xml:space="preserve">E2E-API tests use real Koin DI with Testcontainers PostgreSQL (no mocks)</w:t>
      </w:r>
    </w:p>
    <w:p>
      <w:pPr>
        <w:numPr>
          <w:ilvl w:val="0"/>
          <w:numId w:val="1003"/>
        </w:numPr>
        <w:pStyle w:val="Compact"/>
      </w:pPr>
      <w:r>
        <w:t xml:space="preserve">Performance targets are measured on developer machines (not production hardware)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2026-05-07T00:13:21Z</dcterms:created>
  <dcterms:modified xsi:type="dcterms:W3CDTF">2026-05-07T00:13:21Z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