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software-test-plan-stp"/>
    <w:p>
      <w:pPr>
        <w:pStyle w:val="1"/>
      </w:pPr>
      <w:r>
        <w:t xml:space="preserve">Software Test Plan (STP)</w:t>
      </w:r>
    </w:p>
    <w:bookmarkStart w:id="9" w:name="Xe5d4b87afcf03bd5d6e16e806c532cb7f78dcb1"/>
    <w:p>
      <w:pPr>
        <w:pStyle w:val="2"/>
      </w:pPr>
      <w:r>
        <w:t xml:space="preserve">MCP Orchestration Server — MTO-5: Create MCP Tool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document-information"/>
    <w:p>
      <w:pPr>
        <w:pStyle w:val="2"/>
      </w:pPr>
      <w:r>
        <w:t xml:space="preserve">Document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Jira Ticket</w:t>
            </w:r>
          </w:p>
        </w:tc>
        <w:tc>
          <w:tcPr/>
          <w:p>
            <w:pPr>
              <w:pStyle w:val="Compact"/>
            </w:pPr>
            <w:r>
              <w:t xml:space="preserve">MTO-5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Create MCP Tool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QA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2026-05-02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BRD</w:t>
            </w:r>
          </w:p>
        </w:tc>
        <w:tc>
          <w:tcPr/>
          <w:p>
            <w:pPr>
              <w:pStyle w:val="Compact"/>
            </w:pPr>
            <w:r>
              <w:t xml:space="preserve">documents/MTO-5/BRD.md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FSD</w:t>
            </w:r>
          </w:p>
        </w:tc>
        <w:tc>
          <w:tcPr/>
          <w:p>
            <w:pPr>
              <w:pStyle w:val="Compact"/>
            </w:pPr>
            <w:r>
              <w:t xml:space="preserve">documents/MTO-5/FSD.md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TDD</w:t>
            </w:r>
          </w:p>
        </w:tc>
        <w:tc>
          <w:tcPr/>
          <w:p>
            <w:pPr>
              <w:pStyle w:val="Compact"/>
            </w:pPr>
            <w:r>
              <w:t xml:space="preserve">documents/MTO-5/TDD.md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author-tracking"/>
    <w:p>
      <w:pPr>
        <w:pStyle w:val="2"/>
      </w:pPr>
      <w:r>
        <w:t xml:space="preserve">Author Tracking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 - Position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QA Agent – QA Engineer</w:t>
            </w:r>
          </w:p>
        </w:tc>
        <w:tc>
          <w:tcPr/>
          <w:p>
            <w:pPr>
              <w:pStyle w:val="Compact"/>
            </w:pPr>
            <w:r>
              <w:t xml:space="preserve">Create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Reviewer</w:t>
            </w:r>
          </w:p>
        </w:tc>
        <w:tc>
          <w:tcPr/>
          <w:p>
            <w:pPr>
              <w:pStyle w:val="Compact"/>
            </w:pPr>
            <w:r>
              <w:t xml:space="preserve">Tech Lead – Senior Engineer</w:t>
            </w:r>
          </w:p>
        </w:tc>
        <w:tc>
          <w:tcPr/>
          <w:p>
            <w:pPr>
              <w:pStyle w:val="Compact"/>
            </w:pPr>
            <w:r>
              <w:t xml:space="preserve">Review document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revision-history"/>
    <w:p>
      <w:pPr>
        <w:pStyle w:val="2"/>
      </w:pPr>
      <w:r>
        <w:t xml:space="preserve">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1980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</w:pPr>
            <w:r>
              <w:t xml:space="preserve">QA Agent</w:t>
            </w:r>
          </w:p>
        </w:tc>
        <w:tc>
          <w:tcPr/>
          <w:p>
            <w:pPr>
              <w:pStyle w:val="Compact"/>
            </w:pPr>
            <w:r>
              <w:t xml:space="preserve">Initiate document — auto-generated from BRD, FSD, and TDD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6" w:name="introduction"/>
    <w:p>
      <w:pPr>
        <w:pStyle w:val="2"/>
      </w:pPr>
      <w:r>
        <w:t xml:space="preserve">1. Introduction</w:t>
      </w:r>
    </w:p>
    <w:bookmarkStart w:id="13" w:name="purpose"/>
    <w:p>
      <w:pPr>
        <w:pStyle w:val="3"/>
      </w:pPr>
      <w:r>
        <w:t xml:space="preserve">1.1 Purpose</w:t>
      </w:r>
    </w:p>
    <w:p>
      <w:pPr>
        <w:pStyle w:val="FirstParagraph"/>
      </w:pPr>
      <w:r>
        <w:t xml:space="preserve">This test plan defines the testing strategy, scope, schedule, and resources for the</w:t>
      </w:r>
      <w:r>
        <w:t xml:space="preserve"> </w:t>
      </w:r>
      <w:r>
        <w:rPr>
          <w:b/>
          <w:bCs/>
        </w:rPr>
        <w:t xml:space="preserve">MCP Orchestration Server</w:t>
      </w:r>
      <w:r>
        <w:t xml:space="preserve"> </w:t>
      </w:r>
      <w:r>
        <w:t xml:space="preserve">— a Kotlin/Ktor application that acts as an intelligent proxy between the Kiro AI IDE and multiple upstream MCP Servers. The server exposes two MCP tools (</w:t>
      </w:r>
      <w:r>
        <w:rPr>
          <w:rStyle w:val="VerbatimChar"/>
        </w:rPr>
        <w:t xml:space="preserve">find_tools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execute_dynamic_tool</w:t>
      </w:r>
      <w:r>
        <w:t xml:space="preserve">) to minimize AI context window consumption while providing access to an unlimited number of upstream tools via semantic search and dynamic proxying.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/>
          <w:bCs/>
        </w:rPr>
        <w:t xml:space="preserve">backend-only</w:t>
      </w:r>
      <w:r>
        <w:t xml:space="preserve"> </w:t>
      </w:r>
      <w:r>
        <w:t xml:space="preserve">system with no UI. Testing focuses on API-level verification, property-based correctness, unit logic, and integration with external services (Vector DB, Embedding API, upstream MCP servers).</w:t>
      </w:r>
    </w:p>
    <w:bookmarkEnd w:id="13"/>
    <w:bookmarkStart w:id="14" w:name="test-objectives"/>
    <w:p>
      <w:pPr>
        <w:pStyle w:val="3"/>
      </w:pPr>
      <w:r>
        <w:t xml:space="preserve">1.2 Test Objectives</w:t>
      </w:r>
    </w:p>
    <w:p>
      <w:pPr>
        <w:pStyle w:val="Compact"/>
        <w:numPr>
          <w:ilvl w:val="0"/>
          <w:numId w:val="1001"/>
        </w:numPr>
      </w:pPr>
      <w:r>
        <w:t xml:space="preserve">Verify all 5 Use Cases (UC-01 through UC-05) from FSD are implemented correctly</w:t>
      </w:r>
    </w:p>
    <w:p>
      <w:pPr>
        <w:pStyle w:val="Compact"/>
        <w:numPr>
          <w:ilvl w:val="0"/>
          <w:numId w:val="1001"/>
        </w:numPr>
      </w:pPr>
      <w:r>
        <w:t xml:space="preserve">Validate all 27 Business Rules (BR-01 through BR-27) are enforced</w:t>
      </w:r>
    </w:p>
    <w:p>
      <w:pPr>
        <w:pStyle w:val="Compact"/>
        <w:numPr>
          <w:ilvl w:val="0"/>
          <w:numId w:val="1001"/>
        </w:numPr>
      </w:pPr>
      <w:r>
        <w:t xml:space="preserve">Ensure all 9 Error Codes are returned correctly under specified conditions</w:t>
      </w:r>
    </w:p>
    <w:p>
      <w:pPr>
        <w:pStyle w:val="Compact"/>
        <w:numPr>
          <w:ilvl w:val="0"/>
          <w:numId w:val="1001"/>
        </w:numPr>
      </w:pPr>
      <w:r>
        <w:t xml:space="preserve">Verify fallback mechanisms (keyword search when Vector DB / Embedding service unavailable)</w:t>
      </w:r>
    </w:p>
    <w:p>
      <w:pPr>
        <w:pStyle w:val="Compact"/>
        <w:numPr>
          <w:ilvl w:val="0"/>
          <w:numId w:val="1001"/>
        </w:numPr>
      </w:pPr>
      <w:r>
        <w:t xml:space="preserve">Validate non-functional requirements: latency (&lt;500ms find_tools, &lt;100ms proxy overhead), scalability (1000+ tools, 50+ servers), and reliability (auto-reconnect, graceful degradation)</w:t>
      </w:r>
    </w:p>
    <w:p>
      <w:pPr>
        <w:pStyle w:val="Compact"/>
        <w:numPr>
          <w:ilvl w:val="0"/>
          <w:numId w:val="1001"/>
        </w:numPr>
      </w:pPr>
      <w:r>
        <w:t xml:space="preserve">Confirm security requirements: no secrets in logs, environment variable injection, input validation</w:t>
      </w:r>
    </w:p>
    <w:p>
      <w:pPr>
        <w:pStyle w:val="Compact"/>
        <w:numPr>
          <w:ilvl w:val="0"/>
          <w:numId w:val="1001"/>
        </w:numPr>
      </w:pPr>
      <w:r>
        <w:t xml:space="preserve">Achieve &gt;80% test coverage for core logic</w:t>
      </w:r>
    </w:p>
    <w:bookmarkEnd w:id="14"/>
    <w:bookmarkStart w:id="15" w:name="references"/>
    <w:p>
      <w:pPr>
        <w:pStyle w:val="3"/>
      </w:pPr>
      <w:r>
        <w:t xml:space="preserve">1.3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BRD</w:t>
            </w:r>
          </w:p>
        </w:tc>
        <w:tc>
          <w:tcPr/>
          <w:p>
            <w:pPr>
              <w:pStyle w:val="Compact"/>
            </w:pPr>
            <w:r>
              <w:t xml:space="preserve">documents/MTO-5/BRD.md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FSD</w:t>
            </w:r>
          </w:p>
        </w:tc>
        <w:tc>
          <w:tcPr/>
          <w:p>
            <w:pPr>
              <w:pStyle w:val="Compact"/>
            </w:pPr>
            <w:r>
              <w:t xml:space="preserve">documents/MTO-5/FSD.md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TDD</w:t>
            </w:r>
          </w:p>
        </w:tc>
        <w:tc>
          <w:tcPr/>
          <w:p>
            <w:pPr>
              <w:pStyle w:val="Compact"/>
            </w:pPr>
            <w:r>
              <w:t xml:space="preserve">documents/MTO-5/TDD.md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Specification</w:t>
            </w:r>
          </w:p>
        </w:tc>
        <w:tc>
          <w:tcPr/>
          <w:p>
            <w:pPr>
              <w:pStyle w:val="Compact"/>
            </w:pPr>
            <w:r>
              <w:t xml:space="preserve">https://modelcontextprotocol.io/specification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22" w:name="test-strategy"/>
    <w:p>
      <w:pPr>
        <w:pStyle w:val="2"/>
      </w:pPr>
      <w:r>
        <w:t xml:space="preserve">2. Test Strategy</w:t>
      </w:r>
    </w:p>
    <w:bookmarkStart w:id="17" w:name="test-levels"/>
    <w:p>
      <w:pPr>
        <w:pStyle w:val="3"/>
      </w:pPr>
      <w:r>
        <w:t xml:space="preserve">2.1 Test Levels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0"/>
        <w:gridCol w:w="1680"/>
        <w:gridCol w:w="2880"/>
        <w:gridCol w:w="1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Automation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PBT</w:t>
            </w:r>
          </w:p>
        </w:tc>
        <w:tc>
          <w:tcPr/>
          <w:p>
            <w:pPr>
              <w:pStyle w:val="Compact"/>
            </w:pPr>
            <w:r>
              <w:t xml:space="preserve">Correctness properties — random inputs for validation, serialization, config parsing</w:t>
            </w:r>
          </w:p>
        </w:tc>
        <w:tc>
          <w:tcPr/>
          <w:p>
            <w:pPr>
              <w:pStyle w:val="Compact"/>
            </w:pPr>
            <w:r>
              <w:t xml:space="preserve">Automated</w:t>
            </w:r>
          </w:p>
        </w:tc>
        <w:tc>
          <w:tcPr/>
          <w:p>
            <w:pPr>
              <w:pStyle w:val="Compact"/>
            </w:pPr>
            <w:r>
              <w:t xml:space="preserve">kotest-property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</w:t>
            </w:r>
          </w:p>
        </w:tc>
        <w:tc>
          <w:tcPr/>
          <w:p>
            <w:pPr>
              <w:pStyle w:val="Compact"/>
            </w:pPr>
            <w:r>
              <w:t xml:space="preserve">Unit/edge case tests — individual service methods, error handling, data transformations</w:t>
            </w:r>
          </w:p>
        </w:tc>
        <w:tc>
          <w:tcPr/>
          <w:p>
            <w:pPr>
              <w:pStyle w:val="Compact"/>
            </w:pPr>
            <w:r>
              <w:t xml:space="preserve">Automated</w:t>
            </w:r>
          </w:p>
        </w:tc>
        <w:tc>
          <w:tcPr/>
          <w:p>
            <w:pPr>
              <w:pStyle w:val="Compact"/>
            </w:pPr>
            <w:r>
              <w:t xml:space="preserve">JUnit 5 + kotest assertions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Integration tests — Ktor testApplication, Qdrant Testcontainers, mock upstream servers</w:t>
            </w:r>
          </w:p>
        </w:tc>
        <w:tc>
          <w:tcPr/>
          <w:p>
            <w:pPr>
              <w:pStyle w:val="Compact"/>
            </w:pPr>
            <w:r>
              <w:t xml:space="preserve">Automated</w:t>
            </w:r>
          </w:p>
        </w:tc>
        <w:tc>
          <w:tcPr/>
          <w:p>
            <w:pPr>
              <w:pStyle w:val="Compact"/>
            </w:pPr>
            <w:r>
              <w:t xml:space="preserve">Ktor test engine + Testcontainers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E2E-API</w:t>
            </w:r>
          </w:p>
        </w:tc>
        <w:tc>
          <w:tcPr/>
          <w:p>
            <w:pPr>
              <w:pStyle w:val="Compact"/>
            </w:pPr>
            <w:r>
              <w:t xml:space="preserve">REST/MCP endpoint E2E — full Orchestrator with real Qdrant, mock upstreams</w:t>
            </w:r>
          </w:p>
        </w:tc>
        <w:tc>
          <w:tcPr/>
          <w:p>
            <w:pPr>
              <w:pStyle w:val="Compact"/>
            </w:pPr>
            <w:r>
              <w:t xml:space="preserve">Automated</w:t>
            </w:r>
          </w:p>
        </w:tc>
        <w:tc>
          <w:tcPr/>
          <w:p>
            <w:pPr>
              <w:pStyle w:val="Compact"/>
            </w:pPr>
            <w:r>
              <w:t xml:space="preserve">Ktor client + JUnit 5 + TestMcpClient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is a backend MCP server with no UI. E2E-UI and manual SIT levels are not applicable.</w:t>
      </w:r>
    </w:p>
    <w:bookmarkEnd w:id="17"/>
    <w:bookmarkStart w:id="18" w:name="test-types"/>
    <w:p>
      <w:pPr>
        <w:pStyle w:val="3"/>
      </w:pPr>
      <w:r>
        <w:t xml:space="preserve">2.2 Test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3321"/>
        <w:gridCol w:w="30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Applicable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 Testing</w:t>
            </w:r>
          </w:p>
        </w:tc>
        <w:tc>
          <w:tcPr/>
          <w:p>
            <w:pPr>
              <w:pStyle w:val="Compact"/>
            </w:pPr>
            <w:r>
              <w:t xml:space="preserve">Verify find_tools and execute_dynamic_tool per FSD use cases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Testing</w:t>
            </w:r>
          </w:p>
        </w:tc>
        <w:tc>
          <w:tcPr/>
          <w:p>
            <w:pPr>
              <w:pStyle w:val="Compact"/>
            </w:pPr>
            <w:r>
              <w:t xml:space="preserve">Ensure existing features are not broken after changes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Testing</w:t>
            </w:r>
          </w:p>
        </w:tc>
        <w:tc>
          <w:tcPr/>
          <w:p>
            <w:pPr>
              <w:pStyle w:val="Compact"/>
            </w:pPr>
            <w:r>
              <w:t xml:space="preserve">Verify response times (find_tools &lt;500ms, proxy &lt;100ms)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Testing</w:t>
            </w:r>
          </w:p>
        </w:tc>
        <w:tc>
          <w:tcPr/>
          <w:p>
            <w:pPr>
              <w:pStyle w:val="Compact"/>
            </w:pPr>
            <w:r>
              <w:t xml:space="preserve">Verify no secrets in logs, input validation, env var injection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 Testing</w:t>
            </w:r>
          </w:p>
        </w:tc>
        <w:tc>
          <w:tcPr/>
          <w:p>
            <w:pPr>
              <w:pStyle w:val="Compact"/>
            </w:pPr>
            <w:r>
              <w:t xml:space="preserve">Verify fallback mechanisms, auto-reconnect, graceful degradation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Compatibility Testing</w:t>
            </w:r>
          </w:p>
        </w:tc>
        <w:tc>
          <w:tcPr/>
          <w:p>
            <w:pPr>
              <w:pStyle w:val="Compact"/>
            </w:pPr>
            <w:r>
              <w:t xml:space="preserve">Verify stdio and HTTP transport modes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8"/>
    <w:bookmarkStart w:id="19" w:name="test-approach"/>
    <w:p>
      <w:pPr>
        <w:pStyle w:val="3"/>
      </w:pPr>
      <w:r>
        <w:t xml:space="preserve">2.3 Test Approach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Risk-based prioritization</w:t>
      </w:r>
      <w:r>
        <w:t xml:space="preserve">: High-priority tests cover core tool discovery and execution flows, error handling, and fallback mechanisms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Property-based testing (PBT)</w:t>
      </w:r>
      <w:r>
        <w:t xml:space="preserve">: Use random input generation to verify invariants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Mock-driven integration</w:t>
      </w:r>
      <w:r>
        <w:t xml:space="preserve">: Upstream MCP servers are mocked using MockUpstreamServer. Qdrant uses Testcontainers for real vector DB behavior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Contract testing</w:t>
      </w:r>
      <w:r>
        <w:t xml:space="preserve">: Verify JSON-RPC request/response formats match MCP 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Automated-first</w:t>
      </w:r>
      <w:r>
        <w:t xml:space="preserve">: All test levels (PBT, UT, IT, E2E-API) are fully automated. No manual testing required for this backend system</w:t>
      </w:r>
    </w:p>
    <w:bookmarkEnd w:id="19"/>
    <w:bookmarkStart w:id="20" w:name="entry-criteria"/>
    <w:p>
      <w:pPr>
        <w:pStyle w:val="3"/>
      </w:pPr>
      <w:r>
        <w:t xml:space="preserve">2.4 Entry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Entry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PBT</w:t>
            </w:r>
          </w:p>
        </w:tc>
        <w:tc>
          <w:tcPr/>
          <w:p>
            <w:pPr>
              <w:pStyle w:val="Compact"/>
            </w:pPr>
            <w:r>
              <w:t xml:space="preserve">Core data classes and validation logic 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</w:t>
            </w:r>
          </w:p>
        </w:tc>
        <w:tc>
          <w:tcPr/>
          <w:p>
            <w:pPr>
              <w:pStyle w:val="Compact"/>
            </w:pPr>
            <w:r>
              <w:t xml:space="preserve">Individual service classes implemented with interface contracts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Ktor application module configured, Testcontainers available, mock servers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E2E-API</w:t>
            </w:r>
          </w:p>
        </w:tc>
        <w:tc>
          <w:tcPr/>
          <w:p>
            <w:pPr>
              <w:pStyle w:val="Compact"/>
            </w:pPr>
            <w:r>
              <w:t xml:space="preserve">Full Orchestrator runnable, Qdrant container available, mock upstream servers configured</w:t>
            </w:r>
          </w:p>
        </w:tc>
      </w:tr>
    </w:tbl>
    <w:bookmarkEnd w:id="20"/>
    <w:bookmarkStart w:id="21" w:name="exit-criteria"/>
    <w:p>
      <w:pPr>
        <w:pStyle w:val="3"/>
      </w:pPr>
      <w:r>
        <w:t xml:space="preserve">2.5 Exit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Exit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PBT</w:t>
            </w:r>
          </w:p>
        </w:tc>
        <w:tc>
          <w:tcPr/>
          <w:p>
            <w:pPr>
              <w:pStyle w:val="Compact"/>
            </w:pPr>
            <w:r>
              <w:t xml:space="preserve">All property tests pass with 1000+ random inputs each, 0 failures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</w:t>
            </w:r>
          </w:p>
        </w:tc>
        <w:tc>
          <w:tcPr/>
          <w:p>
            <w:pPr>
              <w:pStyle w:val="Compact"/>
            </w:pPr>
            <w:r>
              <w:t xml:space="preserve">100% UT test cases executed, 0 Critical/Major defects, &gt;80% code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100% IT test cases executed, 0 Critical defects, all integrations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E2E-API</w:t>
            </w:r>
          </w:p>
        </w:tc>
        <w:tc>
          <w:tcPr/>
          <w:p>
            <w:pPr>
              <w:pStyle w:val="Compact"/>
            </w:pPr>
            <w:r>
              <w:t xml:space="preserve">100% E2E scenarios executed, 0 Critical defects, performance targets met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5" w:name="test-scope"/>
    <w:p>
      <w:pPr>
        <w:pStyle w:val="2"/>
      </w:pPr>
      <w:r>
        <w:t xml:space="preserve">3. Test Scope</w:t>
      </w:r>
    </w:p>
    <w:bookmarkStart w:id="23" w:name="features-in-scope"/>
    <w:p>
      <w:pPr>
        <w:pStyle w:val="3"/>
      </w:pPr>
      <w:r>
        <w:t xml:space="preserve">3.1 Features In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2223"/>
        <w:gridCol w:w="1389"/>
        <w:gridCol w:w="2084"/>
        <w:gridCol w:w="18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Feature / Story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FSD Reference</w:t>
            </w:r>
          </w:p>
        </w:tc>
        <w:tc>
          <w:tcPr/>
          <w:p>
            <w:pPr>
              <w:pStyle w:val="Compact"/>
            </w:pPr>
            <w:r>
              <w:t xml:space="preserve">Test Levels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Tool Discovery — find_tools (semantic search)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UC-01, BR-01..BR-07, STORY-1</w:t>
            </w:r>
          </w:p>
        </w:tc>
        <w:tc>
          <w:tcPr/>
          <w:p>
            <w:pPr>
              <w:pStyle w:val="Compact"/>
            </w:pPr>
            <w:r>
              <w:t xml:space="preserve">PBT, UT, IT, E2E-API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Tool Execution — execute_dynamic_tool (proxy)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UC-02, BR-08..BR-13, STORY-2</w:t>
            </w:r>
          </w:p>
        </w:tc>
        <w:tc>
          <w:tcPr/>
          <w:p>
            <w:pPr>
              <w:pStyle w:val="Compact"/>
            </w:pPr>
            <w:r>
              <w:t xml:space="preserve">PBT, UT, IT, E2E-API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Tool Registration and Indexing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UC-03, BR-14..BR-18, STORY-3</w:t>
            </w:r>
          </w:p>
        </w:tc>
        <w:tc>
          <w:tcPr/>
          <w:p>
            <w:pPr>
              <w:pStyle w:val="Compact"/>
            </w:pPr>
            <w:r>
              <w:t xml:space="preserve">UT, IT, E2E-API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Server Configuration Management (hot-reload)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UC-04, BR-19..BR-22, STORY-4</w:t>
            </w:r>
          </w:p>
        </w:tc>
        <w:tc>
          <w:tcPr/>
          <w:p>
            <w:pPr>
              <w:pStyle w:val="Compact"/>
            </w:pPr>
            <w:r>
              <w:t xml:space="preserve">UT, IT, E2E-API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Health Monitoring and Auto-Reconnect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UC-05, BR-23..BR-27, STORY-5</w:t>
            </w:r>
          </w:p>
        </w:tc>
        <w:tc>
          <w:tcPr/>
          <w:p>
            <w:pPr>
              <w:pStyle w:val="Compact"/>
            </w:pPr>
            <w:r>
              <w:t xml:space="preserve">UT, IT, E2E-API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Schema in Discovery Results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STORY-6</w:t>
            </w:r>
          </w:p>
        </w:tc>
        <w:tc>
          <w:tcPr/>
          <w:p>
            <w:pPr>
              <w:pStyle w:val="Compact"/>
            </w:pPr>
            <w:r>
              <w:t xml:space="preserve">UT,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Auto Metadata Extraction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STORY-7</w:t>
            </w:r>
          </w:p>
        </w:tc>
        <w:tc>
          <w:tcPr/>
          <w:p>
            <w:pPr>
              <w:pStyle w:val="Compact"/>
            </w:pPr>
            <w:r>
              <w:t xml:space="preserve">UT,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Fallback Mechanisms (keyword search)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BR-05, AF-02, AF-03</w:t>
            </w:r>
          </w:p>
        </w:tc>
        <w:tc>
          <w:tcPr/>
          <w:p>
            <w:pPr>
              <w:pStyle w:val="Compact"/>
            </w:pPr>
            <w:r>
              <w:t xml:space="preserve">UT, IT, E2E-API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Error Handling (9 error codes)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FSD S9</w:t>
            </w:r>
          </w:p>
        </w:tc>
        <w:tc>
          <w:tcPr/>
          <w:p>
            <w:pPr>
              <w:pStyle w:val="Compact"/>
            </w:pPr>
            <w:r>
              <w:t xml:space="preserve">PBT, UT, IT, E2E-API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MCP Protocol Compliance (initialize, tools/list, ping)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TDD S3.4</w:t>
            </w:r>
          </w:p>
        </w:tc>
        <w:tc>
          <w:tcPr/>
          <w:p>
            <w:pPr>
              <w:pStyle w:val="Compact"/>
            </w:pPr>
            <w:r>
              <w:t xml:space="preserve">IT, E2E-API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Security — secrets handling, input validation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FSD S7, TDD S7</w:t>
            </w:r>
          </w:p>
        </w:tc>
        <w:tc>
          <w:tcPr/>
          <w:p>
            <w:pPr>
              <w:pStyle w:val="Compact"/>
            </w:pPr>
            <w:r>
              <w:t xml:space="preserve">UT,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Performance — latency targets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FSD S8, BR-01, BR-08</w:t>
            </w:r>
          </w:p>
        </w:tc>
        <w:tc>
          <w:tcPr/>
          <w:p>
            <w:pPr>
              <w:pStyle w:val="Compact"/>
            </w:pPr>
            <w:r>
              <w:t xml:space="preserve">E2E-API</w:t>
            </w:r>
          </w:p>
        </w:tc>
      </w:tr>
    </w:tbl>
    <w:bookmarkEnd w:id="23"/>
    <w:bookmarkStart w:id="24" w:name="features-out-of-scope"/>
    <w:p>
      <w:pPr>
        <w:pStyle w:val="3"/>
      </w:pPr>
      <w:r>
        <w:t xml:space="preserve">3.2 Features Out of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356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UI/Dashboard for tool management</w:t>
            </w:r>
          </w:p>
        </w:tc>
        <w:tc>
          <w:tcPr/>
          <w:p>
            <w:pPr>
              <w:pStyle w:val="Compact"/>
            </w:pPr>
            <w:r>
              <w:t xml:space="preserve">Future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IDE plugin development</w:t>
            </w:r>
          </w:p>
        </w:tc>
        <w:tc>
          <w:tcPr/>
          <w:p>
            <w:pPr>
              <w:pStyle w:val="Compact"/>
            </w:pPr>
            <w:r>
              <w:t xml:space="preserve">Separate project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Production deployment infrastructure (K8s)</w:t>
            </w:r>
          </w:p>
        </w:tc>
        <w:tc>
          <w:tcPr/>
          <w:p>
            <w:pPr>
              <w:pStyle w:val="Compact"/>
            </w:pPr>
            <w:r>
              <w:t xml:space="preserve">DevOps 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HuggingFace local embeddings</w:t>
            </w:r>
          </w:p>
        </w:tc>
        <w:tc>
          <w:tcPr/>
          <w:p>
            <w:pPr>
              <w:pStyle w:val="Compact"/>
            </w:pPr>
            <w:r>
              <w:t xml:space="preserve">Deferred to v1.1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MCP resources and prompts</w:t>
            </w:r>
          </w:p>
        </w:tc>
        <w:tc>
          <w:tcPr/>
          <w:p>
            <w:pPr>
              <w:pStyle w:val="Compact"/>
            </w:pPr>
            <w:r>
              <w:t xml:space="preserve">Out of scope for v1.0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Horizontal scaling (HTTP mode multi-instance)</w:t>
            </w:r>
          </w:p>
        </w:tc>
        <w:tc>
          <w:tcPr/>
          <w:p>
            <w:pPr>
              <w:pStyle w:val="Compact"/>
            </w:pPr>
            <w:r>
              <w:t xml:space="preserve">Future phase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test-environment"/>
    <w:p>
      <w:pPr>
        <w:pStyle w:val="2"/>
      </w:pPr>
      <w:r>
        <w:t xml:space="preserve">4. Test Environment</w:t>
      </w:r>
    </w:p>
    <w:bookmarkStart w:id="26" w:name="environment-requirements"/>
    <w:p>
      <w:pPr>
        <w:pStyle w:val="3"/>
      </w:pPr>
      <w:r>
        <w:t xml:space="preserve">4.1 Environment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30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Dev</w:t>
            </w:r>
          </w:p>
        </w:tc>
        <w:tc>
          <w:tcPr/>
          <w:p>
            <w:pPr>
              <w:pStyle w:val="Compact"/>
            </w:pPr>
            <w:r>
              <w:t xml:space="preserve">JVM 21+, Gradle 8.x, Docker (for Qdrant Testcontainers)</w:t>
            </w:r>
          </w:p>
        </w:tc>
        <w:tc>
          <w:tcPr/>
          <w:p>
            <w:pPr>
              <w:pStyle w:val="Compact"/>
            </w:pPr>
            <w:r>
              <w:t xml:space="preserve">PBT, UT, IT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GitHub Actions / Jenkins with Docker support</w:t>
            </w:r>
          </w:p>
        </w:tc>
        <w:tc>
          <w:tcPr/>
          <w:p>
            <w:pPr>
              <w:pStyle w:val="Compact"/>
            </w:pPr>
            <w:r>
              <w:t xml:space="preserve">Automated test execution on PR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Full Orchestrator process + Qdrant container + Mock upstream servers</w:t>
            </w:r>
          </w:p>
        </w:tc>
        <w:tc>
          <w:tcPr/>
          <w:p>
            <w:pPr>
              <w:pStyle w:val="Compact"/>
            </w:pPr>
            <w:r>
              <w:t xml:space="preserve">E2E-API test execution</w:t>
            </w:r>
          </w:p>
        </w:tc>
      </w:tr>
    </w:tbl>
    <w:bookmarkEnd w:id="26"/>
    <w:bookmarkStart w:id="27" w:name="external-dependencies"/>
    <w:p>
      <w:pPr>
        <w:pStyle w:val="3"/>
      </w:pPr>
      <w:r>
        <w:t xml:space="preserve">4.2 External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Mock/Stub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Qdrant Vector DB</w:t>
            </w:r>
          </w:p>
        </w:tc>
        <w:tc>
          <w:tcPr/>
          <w:p>
            <w:pPr>
              <w:pStyle w:val="Compact"/>
            </w:pPr>
            <w:r>
              <w:t xml:space="preserve">Vector storage and search</w:t>
            </w:r>
          </w:p>
        </w:tc>
        <w:tc>
          <w:tcPr/>
          <w:p>
            <w:pPr>
              <w:pStyle w:val="Compact"/>
            </w:pPr>
            <w:r>
              <w:t xml:space="preserve">Yes — Testcontainers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Embedding API</w:t>
            </w:r>
          </w:p>
        </w:tc>
        <w:tc>
          <w:tcPr/>
          <w:p>
            <w:pPr>
              <w:pStyle w:val="Compact"/>
            </w:pPr>
            <w:r>
              <w:t xml:space="preserve">Embedding generation</w:t>
            </w:r>
          </w:p>
        </w:tc>
        <w:tc>
          <w:tcPr/>
          <w:p>
            <w:pPr>
              <w:pStyle w:val="Compact"/>
            </w:pPr>
            <w:r>
              <w:t xml:space="preserve">Yes — Mock HTTP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Upstream MCP Servers</w:t>
            </w:r>
          </w:p>
        </w:tc>
        <w:tc>
          <w:tcPr/>
          <w:p>
            <w:pPr>
              <w:pStyle w:val="Compact"/>
            </w:pPr>
            <w:r>
              <w:t xml:space="preserve">Tool providers</w:t>
            </w:r>
          </w:p>
        </w:tc>
        <w:tc>
          <w:tcPr/>
          <w:p>
            <w:pPr>
              <w:pStyle w:val="Compact"/>
            </w:pPr>
            <w:r>
              <w:t xml:space="preserve">Yes — MockUpstreamServer</w:t>
            </w:r>
          </w:p>
        </w:tc>
      </w:tr>
    </w:tbl>
    <w:bookmarkEnd w:id="27"/>
    <w:bookmarkStart w:id="28" w:name="test-data-requirements"/>
    <w:p>
      <w:pPr>
        <w:pStyle w:val="3"/>
      </w:pPr>
      <w:r>
        <w:t xml:space="preserve">4.3 Test Data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6"/>
        <w:gridCol w:w="2288"/>
        <w:gridCol w:w="1408"/>
        <w:gridCol w:w="22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Sample MCP tool metadata</w:t>
            </w:r>
          </w:p>
        </w:tc>
        <w:tc>
          <w:tcPr/>
          <w:p>
            <w:pPr>
              <w:pStyle w:val="Compact"/>
            </w:pPr>
            <w:r>
              <w:t xml:space="preserve">Fixture files</w:t>
            </w:r>
          </w:p>
        </w:tc>
        <w:tc>
          <w:tcPr/>
          <w:p>
            <w:pPr>
              <w:pStyle w:val="Compact"/>
            </w:pPr>
            <w:r>
              <w:t xml:space="preserve">Pre-defined in test fixtures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vectors</w:t>
            </w:r>
          </w:p>
        </w:tc>
        <w:tc>
          <w:tcPr/>
          <w:p>
            <w:pPr>
              <w:pStyle w:val="Compact"/>
            </w:pPr>
            <w:r>
              <w:t xml:space="preserve">Pre-computed 768-dim float arrays</w:t>
            </w:r>
          </w:p>
        </w:tc>
        <w:tc>
          <w:tcPr/>
          <w:p>
            <w:pPr>
              <w:pStyle w:val="Compact"/>
            </w:pPr>
            <w:r>
              <w:t xml:space="preserve">Mock embedding service</w:t>
            </w:r>
          </w:p>
        </w:tc>
        <w:tc>
          <w:tcPr/>
          <w:p>
            <w:pPr>
              <w:pStyle w:val="Compact"/>
            </w:pPr>
            <w:r>
              <w:t xml:space="preserve">Mock returns deterministic vectors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Test application.yml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  <w:tc>
          <w:tcPr/>
          <w:p>
            <w:pPr>
              <w:pStyle w:val="Compact"/>
            </w:pPr>
            <w:r>
              <w:t xml:space="preserve">Pre-defined per test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Invalid inputs</w:t>
            </w:r>
          </w:p>
        </w:tc>
        <w:tc>
          <w:tcPr/>
          <w:p>
            <w:pPr>
              <w:pStyle w:val="Compact"/>
            </w:pPr>
            <w:r>
              <w:t xml:space="preserve">Empty strings, oversized queries, malformed JSON</w:t>
            </w:r>
          </w:p>
        </w:tc>
        <w:tc>
          <w:tcPr/>
          <w:p>
            <w:pPr>
              <w:pStyle w:val="Compact"/>
            </w:pPr>
            <w:r>
              <w:t xml:space="preserve">PBT and test data CSVs</w:t>
            </w:r>
          </w:p>
        </w:tc>
        <w:tc>
          <w:tcPr/>
          <w:p>
            <w:pPr>
              <w:pStyle w:val="Compact"/>
            </w:pPr>
            <w:r>
              <w:t xml:space="preserve">Defined in testdata/*.csv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test-schedule"/>
    <w:p>
      <w:pPr>
        <w:pStyle w:val="2"/>
      </w:pPr>
      <w:r>
        <w:t xml:space="preserve">5. Test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777"/>
        <w:gridCol w:w="1616"/>
        <w:gridCol w:w="1616"/>
        <w:gridCol w:w="17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Start Date</w:t>
            </w:r>
          </w:p>
        </w:tc>
        <w:tc>
          <w:tcPr/>
          <w:p>
            <w:pPr>
              <w:pStyle w:val="Compact"/>
            </w:pPr>
            <w:r>
              <w:t xml:space="preserve">End Date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Planning (STP + STC)</w:t>
            </w:r>
          </w:p>
        </w:tc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STP + STC approved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Data and Fixture Preparation</w:t>
            </w:r>
          </w:p>
        </w:tc>
        <w:tc>
          <w:tcPr/>
          <w:p>
            <w:pPr>
              <w:pStyle w:val="Compact"/>
            </w:pPr>
            <w:r>
              <w:t xml:space="preserve">2026-05-03</w:t>
            </w:r>
          </w:p>
        </w:tc>
        <w:tc>
          <w:tcPr/>
          <w:p>
            <w:pPr>
              <w:pStyle w:val="Compact"/>
            </w:pPr>
            <w:r>
              <w:t xml:space="preserve">2026-05-03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Test data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PBT + UT Development</w:t>
            </w:r>
          </w:p>
        </w:tc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PBT + UT passing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Development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IT passing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E2E-API Development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E2E-API passing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Fix and Retest</w:t>
            </w:r>
          </w:p>
        </w:tc>
        <w:tc>
          <w:tcPr/>
          <w:p>
            <w:pPr>
              <w:pStyle w:val="Compact"/>
            </w:pPr>
            <w:r>
              <w:t xml:space="preserve">2026-05-13</w:t>
            </w:r>
          </w:p>
        </w:tc>
        <w:tc>
          <w:tcPr/>
          <w:p>
            <w:pPr>
              <w:pStyle w:val="Compact"/>
            </w:pPr>
            <w:r>
              <w:t xml:space="preserve">2026-05-14</w:t>
            </w:r>
          </w:p>
        </w:tc>
        <w:tc>
          <w:tcPr/>
          <w:p>
            <w:pPr>
              <w:pStyle w:val="Compact"/>
            </w:pPr>
            <w:r>
              <w:t xml:space="preserve">2 days</w:t>
            </w:r>
          </w:p>
        </w:tc>
        <w:tc>
          <w:tcPr/>
          <w:p>
            <w:pPr>
              <w:pStyle w:val="Compact"/>
            </w:pPr>
            <w:r>
              <w:t xml:space="preserve">All Critical/Major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Validation</w:t>
            </w:r>
          </w:p>
        </w:tc>
        <w:tc>
          <w:tcPr/>
          <w:p>
            <w:pPr>
              <w:pStyle w:val="Compact"/>
            </w:pPr>
            <w:r>
              <w:t xml:space="preserve">2026-05-15</w:t>
            </w:r>
          </w:p>
        </w:tc>
        <w:tc>
          <w:tcPr/>
          <w:p>
            <w:pPr>
              <w:pStyle w:val="Compact"/>
            </w:pPr>
            <w:r>
              <w:t xml:space="preserve">2026-05-15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Latency targets met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Completion Report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Final report delivered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resources-and-responsibilities"/>
    <w:p>
      <w:pPr>
        <w:pStyle w:val="2"/>
      </w:pPr>
      <w:r>
        <w:t xml:space="preserve">6. Resources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4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Lead</w:t>
            </w:r>
          </w:p>
        </w:tc>
        <w:tc>
          <w:tcPr/>
          <w:p>
            <w:pPr>
              <w:pStyle w:val="Compact"/>
            </w:pPr>
            <w:r>
              <w:t xml:space="preserve">QA Agent</w:t>
            </w:r>
          </w:p>
        </w:tc>
        <w:tc>
          <w:tcPr/>
          <w:p>
            <w:pPr>
              <w:pStyle w:val="Compact"/>
            </w:pPr>
            <w:r>
              <w:t xml:space="preserve">Test planning, coordination, 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Engineer</w:t>
            </w:r>
          </w:p>
        </w:tc>
        <w:tc>
          <w:tcPr/>
          <w:p>
            <w:pPr>
              <w:pStyle w:val="Compact"/>
            </w:pPr>
            <w:r>
              <w:t xml:space="preserve">QA Agent</w:t>
            </w:r>
          </w:p>
        </w:tc>
        <w:tc>
          <w:tcPr/>
          <w:p>
            <w:pPr>
              <w:pStyle w:val="Compact"/>
            </w:pPr>
            <w:r>
              <w:t xml:space="preserve">Test case design, PBT/UT/IT/E2E-API development,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DEV Agent</w:t>
            </w:r>
          </w:p>
        </w:tc>
        <w:tc>
          <w:tcPr/>
          <w:p>
            <w:pPr>
              <w:pStyle w:val="Compact"/>
            </w:pPr>
            <w:r>
              <w:t xml:space="preserve">Bug fixing, unit test coverage, mock server 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</w:t>
            </w:r>
          </w:p>
        </w:tc>
        <w:tc>
          <w:tcPr/>
          <w:p>
            <w:pPr>
              <w:pStyle w:val="Compact"/>
            </w:pPr>
            <w:r>
              <w:t xml:space="preserve">BA Agent</w:t>
            </w:r>
          </w:p>
        </w:tc>
        <w:tc>
          <w:tcPr/>
          <w:p>
            <w:pPr>
              <w:pStyle w:val="Compact"/>
            </w:pPr>
            <w:r>
              <w:t xml:space="preserve">Acceptance criteria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DevOps Agent</w:t>
            </w:r>
          </w:p>
        </w:tc>
        <w:tc>
          <w:tcPr/>
          <w:p>
            <w:pPr>
              <w:pStyle w:val="Compact"/>
            </w:pPr>
            <w:r>
              <w:t xml:space="preserve">CI/CD pipeline, Testcontainers setup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risk-and-mitigation"/>
    <w:p>
      <w:pPr>
        <w:pStyle w:val="2"/>
      </w:pPr>
      <w:r>
        <w:t xml:space="preserve">7. Risk and Mitigation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1159"/>
        <w:gridCol w:w="1545"/>
        <w:gridCol w:w="2318"/>
        <w:gridCol w:w="23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Qdrant Testcontainers slow to start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Use shared container; cache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OpenAI API mock doesn’t match real behavior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Use recorded responses; validate dimensions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Mock upstream servers don’t cover all MCP edge cases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Test with real MCP servers in E2E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Flaky tests due to timing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Use deterministic timers; increase timeouts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Coroutine-based code hard to test deterministically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Use runTest with TestCoroutineScheduler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Vector similarity scores vary with embedding model changes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Pin embedding model version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5" w:name="defect-management"/>
    <w:p>
      <w:pPr>
        <w:pStyle w:val="2"/>
      </w:pPr>
      <w:r>
        <w:t xml:space="preserve">8. Defect Management</w:t>
      </w:r>
    </w:p>
    <w:bookmarkStart w:id="33" w:name="severity-levels"/>
    <w:p>
      <w:pPr>
        <w:pStyle w:val="3"/>
      </w:pPr>
      <w:r>
        <w:t xml:space="preserve">8.1 Severity Levels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90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Core tool discovery/execution completely broken</w:t>
            </w:r>
          </w:p>
        </w:tc>
        <w:tc>
          <w:tcPr/>
          <w:p>
            <w:pPr>
              <w:pStyle w:val="Compact"/>
            </w:pPr>
            <w:r>
              <w:t xml:space="preserve">find_tools returns no results for any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</w:t>
            </w:r>
          </w:p>
        </w:tc>
        <w:tc>
          <w:tcPr/>
          <w:p>
            <w:pPr>
              <w:pStyle w:val="Compact"/>
            </w:pPr>
            <w:r>
              <w:t xml:space="preserve">Feature not working correctly, workaround exists</w:t>
            </w:r>
          </w:p>
        </w:tc>
        <w:tc>
          <w:tcPr/>
          <w:p>
            <w:pPr>
              <w:pStyle w:val="Compact"/>
            </w:pPr>
            <w:r>
              <w:t xml:space="preserve">Keyword fallback not triggered when Vector DB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Non-critical issue, cosmetic or edge case</w:t>
            </w:r>
          </w:p>
        </w:tc>
        <w:tc>
          <w:tcPr/>
          <w:p>
            <w:pPr>
              <w:pStyle w:val="Compact"/>
            </w:pPr>
            <w:r>
              <w:t xml:space="preserve">Log message format incorrect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Trivial</w:t>
            </w:r>
          </w:p>
        </w:tc>
        <w:tc>
          <w:tcPr/>
          <w:p>
            <w:pPr>
              <w:pStyle w:val="Compact"/>
            </w:pPr>
            <w:r>
              <w:t xml:space="preserve">Documentation typo, minor code style issue</w:t>
            </w:r>
          </w:p>
        </w:tc>
        <w:tc>
          <w:tcPr/>
          <w:p>
            <w:pPr>
              <w:pStyle w:val="Compact"/>
            </w:pPr>
            <w:r>
              <w:t xml:space="preserve">Comment typo</w:t>
            </w:r>
          </w:p>
        </w:tc>
      </w:tr>
    </w:tbl>
    <w:bookmarkEnd w:id="33"/>
    <w:bookmarkStart w:id="34" w:name="priority-levels"/>
    <w:p>
      <w:pPr>
        <w:pStyle w:val="3"/>
      </w:pPr>
      <w:r>
        <w:t xml:space="preserve">8.2 Priority Levels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SLA (Fix 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Must fix immediately — blocks testing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Must fix before release</w:t>
            </w:r>
          </w:p>
        </w:tc>
        <w:tc>
          <w:tcPr/>
          <w:p>
            <w:pPr>
              <w:pStyle w:val="Compact"/>
            </w:pPr>
            <w:r>
              <w:t xml:space="preserve">1 business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Should fix if time permits</w:t>
            </w:r>
          </w:p>
        </w:tc>
        <w:tc>
          <w:tcPr/>
          <w:p>
            <w:pPr>
              <w:pStyle w:val="Compact"/>
            </w:pPr>
            <w:r>
              <w:t xml:space="preserve">3 business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Nice to fix, can defer</w:t>
            </w:r>
          </w:p>
        </w:tc>
        <w:tc>
          <w:tcPr/>
          <w:p>
            <w:pPr>
              <w:pStyle w:val="Compact"/>
            </w:pPr>
            <w:r>
              <w:t xml:space="preserve">Next release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test-metrics"/>
    <w:p>
      <w:pPr>
        <w:pStyle w:val="2"/>
      </w:pPr>
      <w:r>
        <w:t xml:space="preserve">9. Test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Execution Rate</w:t>
            </w:r>
          </w:p>
        </w:tc>
        <w:tc>
          <w:tcPr/>
          <w:p>
            <w:pPr>
              <w:pStyle w:val="Compact"/>
            </w:pPr>
            <w:r>
              <w:t xml:space="preserve">Executed / Total x 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 Rate</w:t>
            </w:r>
          </w:p>
        </w:tc>
        <w:tc>
          <w:tcPr/>
          <w:p>
            <w:pPr>
              <w:pStyle w:val="Compact"/>
            </w:pPr>
            <w:r>
              <w:t xml:space="preserve">Passed / Executed x 100%</w:t>
            </w:r>
          </w:p>
        </w:tc>
        <w:tc>
          <w:tcPr/>
          <w:p>
            <w:pPr>
              <w:pStyle w:val="Compact"/>
            </w:pPr>
            <w:r>
              <w:t xml:space="preserve">&gt;= 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Density</w:t>
            </w:r>
          </w:p>
        </w:tc>
        <w:tc>
          <w:tcPr/>
          <w:p>
            <w:pPr>
              <w:pStyle w:val="Compact"/>
            </w:pPr>
            <w:r>
              <w:t xml:space="preserve">Defects / Test Cases</w:t>
            </w:r>
          </w:p>
        </w:tc>
        <w:tc>
          <w:tcPr/>
          <w:p>
            <w:pPr>
              <w:pStyle w:val="Compact"/>
            </w:pPr>
            <w:r>
              <w:t xml:space="preserve">&lt;= 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Defect Count</w:t>
            </w:r>
          </w:p>
        </w:tc>
        <w:tc>
          <w:tcPr/>
          <w:p>
            <w:pPr>
              <w:pStyle w:val="Compact"/>
            </w:pPr>
            <w:r>
              <w:t xml:space="preserve">Count of Critical severity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Coverage (UT)</w:t>
            </w:r>
          </w:p>
        </w:tc>
        <w:tc>
          <w:tcPr/>
          <w:p>
            <w:pPr>
              <w:pStyle w:val="Compact"/>
            </w:pPr>
            <w:r>
              <w:t xml:space="preserve">Lines covered / Total lines x 100%</w:t>
            </w:r>
          </w:p>
        </w:tc>
        <w:tc>
          <w:tcPr/>
          <w:p>
            <w:pPr>
              <w:pStyle w:val="Compact"/>
            </w:pPr>
            <w:r>
              <w:t xml:space="preserve">&gt;= 80%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test-cases-summary"/>
    <w:p>
      <w:pPr>
        <w:pStyle w:val="2"/>
      </w:pPr>
      <w:r>
        <w:t xml:space="preserve">10. Test Cases Summary</w:t>
      </w:r>
    </w:p>
    <w:bookmarkStart w:id="37" w:name="test-levels-summary"/>
    <w:p>
      <w:pPr>
        <w:pStyle w:val="3"/>
      </w:pPr>
      <w:r>
        <w:t xml:space="preserve">10.1 Test Levels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Automated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PBT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E2E-API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87 (100%)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(0%)</w:t>
            </w:r>
          </w:p>
        </w:tc>
      </w:tr>
    </w:tbl>
    <w:bookmarkEnd w:id="37"/>
    <w:bookmarkStart w:id="38" w:name="test-cases-by-feature"/>
    <w:p>
      <w:pPr>
        <w:pStyle w:val="3"/>
      </w:pPr>
      <w:r>
        <w:t xml:space="preserve">10.2 Test Cases by Feature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PBT</w:t>
            </w:r>
          </w:p>
        </w:tc>
        <w:tc>
          <w:tcPr/>
          <w:p>
            <w:pPr>
              <w:pStyle w:val="Compact"/>
            </w:pPr>
            <w:r>
              <w:t xml:space="preserve">UT</w:t>
            </w:r>
          </w:p>
        </w:tc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E2E-API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find_tools (UC-01)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execute_dynamic_tool (UC-02)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 Registration and Indexing (UC-03)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Management (UC-04)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Monitoring (UC-05)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Protocol Compliance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Input Validation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87</w:t>
            </w:r>
          </w:p>
        </w:tc>
      </w:tr>
    </w:tbl>
    <w:bookmarkEnd w:id="38"/>
    <w:bookmarkEnd w:id="39"/>
    <w:bookmarkEnd w:id="40"/>
    <w:sectPr w:rsidR="004276F3">
      <w:pgSz w:h="16838" w:w="11906"/>
      <w:pgMar w:bottom="1440" w:footer="992" w:gutter="0" w:header="851" w:left="1800" w:right="1800" w:top="1440"/>
      <w:cols w:space="425"/>
      <w:docGrid w:linePitch="312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2B38475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135097757" w:numId="1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/>
  <w:attachedTemplate r:id="rId1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420"/>
  <w:drawingGridHorizontalSpacing w:val="36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85B"/>
    <w:rsid w:val="002C5CDE"/>
    <w:rsid w:val="00377025"/>
    <w:rsid w:val="004276F3"/>
    <w:rsid w:val="0051685B"/>
    <w:rsid w:val="006452E8"/>
    <w:rsid w:val="00970A3B"/>
    <w:rsid w:val="00BD72EF"/>
    <w:rsid w:val="00D85068"/>
    <w:rsid w:val="00F77E3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2"/>
        <w:szCs w:val="24"/>
        <w:lang w:bidi="ar-SA" w:eastAsia="zh-CN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pPr>
      <w:widowControl w:val="0"/>
    </w:pPr>
  </w:style>
  <w:style w:styleId="1" w:type="paragraph">
    <w:name w:val="heading 1"/>
    <w:basedOn w:val="a"/>
    <w:next w:val="a"/>
    <w:link w:val="10"/>
    <w:uiPriority w:val="9"/>
    <w:qFormat/>
    <w:rsid w:val="00D85068"/>
    <w:pPr>
      <w:keepNext/>
      <w:keepLines/>
      <w:spacing w:after="80" w:before="480"/>
      <w:outlineLvl w:val="0"/>
    </w:pPr>
    <w:rPr>
      <w:rFonts w:asciiTheme="majorHAnsi" w:cstheme="majorBidi" w:eastAsiaTheme="majorEastAsia" w:hAnsiTheme="majorHAnsi"/>
      <w:color w:themeColor="accent1" w:themeShade="BF" w:val="2F5496"/>
      <w:sz w:val="48"/>
      <w:szCs w:val="48"/>
    </w:rPr>
  </w:style>
  <w:style w:styleId="2" w:type="paragraph">
    <w:name w:val="heading 2"/>
    <w:basedOn w:val="a"/>
    <w:next w:val="a"/>
    <w:link w:val="20"/>
    <w:uiPriority w:val="9"/>
    <w:semiHidden/>
    <w:unhideWhenUsed/>
    <w:qFormat/>
    <w:rsid w:val="00D85068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styleId="3" w:type="paragraph">
    <w:name w:val="heading 3"/>
    <w:basedOn w:val="a"/>
    <w:next w:val="a"/>
    <w:link w:val="30"/>
    <w:uiPriority w:val="9"/>
    <w:semiHidden/>
    <w:unhideWhenUsed/>
    <w:qFormat/>
    <w:rsid w:val="00D85068"/>
    <w:pPr>
      <w:keepNext/>
      <w:keepLines/>
      <w:spacing w:after="80" w:before="160"/>
      <w:outlineLvl w:val="2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4" w:type="paragraph">
    <w:name w:val="heading 4"/>
    <w:basedOn w:val="a"/>
    <w:next w:val="a"/>
    <w:link w:val="40"/>
    <w:uiPriority w:val="9"/>
    <w:semiHidden/>
    <w:unhideWhenUsed/>
    <w:qFormat/>
    <w:rsid w:val="00D85068"/>
    <w:pPr>
      <w:keepNext/>
      <w:keepLines/>
      <w:spacing w:after="40" w:before="80"/>
      <w:outlineLvl w:val="3"/>
    </w:pPr>
    <w:rPr>
      <w:rFonts w:cstheme="majorBidi"/>
      <w:color w:themeColor="accent1" w:themeShade="BF" w:val="2F5496"/>
      <w:sz w:val="28"/>
      <w:szCs w:val="28"/>
    </w:rPr>
  </w:style>
  <w:style w:styleId="5" w:type="paragraph">
    <w:name w:val="heading 5"/>
    <w:basedOn w:val="a"/>
    <w:next w:val="a"/>
    <w:link w:val="50"/>
    <w:uiPriority w:val="9"/>
    <w:semiHidden/>
    <w:unhideWhenUsed/>
    <w:qFormat/>
    <w:rsid w:val="00D85068"/>
    <w:pPr>
      <w:keepNext/>
      <w:keepLines/>
      <w:spacing w:after="40" w:before="80"/>
      <w:outlineLvl w:val="4"/>
    </w:pPr>
    <w:rPr>
      <w:rFonts w:cstheme="majorBidi"/>
      <w:color w:themeColor="accent1" w:themeShade="BF" w:val="2F5496"/>
      <w:sz w:val="24"/>
    </w:rPr>
  </w:style>
  <w:style w:styleId="6" w:type="paragraph">
    <w:name w:val="heading 6"/>
    <w:basedOn w:val="a"/>
    <w:next w:val="a"/>
    <w:link w:val="60"/>
    <w:uiPriority w:val="9"/>
    <w:semiHidden/>
    <w:unhideWhenUsed/>
    <w:qFormat/>
    <w:rsid w:val="00D85068"/>
    <w:pPr>
      <w:keepNext/>
      <w:keepLines/>
      <w:spacing w:after="0" w:before="40"/>
      <w:outlineLvl w:val="5"/>
    </w:pPr>
    <w:rPr>
      <w:rFonts w:cstheme="majorBidi"/>
      <w:b/>
      <w:bCs/>
      <w:color w:themeColor="accent1" w:themeShade="BF" w:val="2F5496"/>
    </w:rPr>
  </w:style>
  <w:style w:styleId="7" w:type="paragraph">
    <w:name w:val="heading 7"/>
    <w:basedOn w:val="a"/>
    <w:next w:val="a"/>
    <w:link w:val="70"/>
    <w:uiPriority w:val="9"/>
    <w:semiHidden/>
    <w:unhideWhenUsed/>
    <w:qFormat/>
    <w:rsid w:val="00D85068"/>
    <w:pPr>
      <w:keepNext/>
      <w:keepLines/>
      <w:spacing w:after="0" w:before="40"/>
      <w:outlineLvl w:val="6"/>
    </w:pPr>
    <w:rPr>
      <w:rFonts w:cstheme="majorBidi"/>
      <w:b/>
      <w:bCs/>
      <w:color w:themeColor="text1" w:themeTint="A6" w:val="595959"/>
    </w:rPr>
  </w:style>
  <w:style w:styleId="8" w:type="paragraph">
    <w:name w:val="heading 8"/>
    <w:basedOn w:val="a"/>
    <w:next w:val="a"/>
    <w:link w:val="80"/>
    <w:uiPriority w:val="9"/>
    <w:semiHidden/>
    <w:unhideWhenUsed/>
    <w:qFormat/>
    <w:rsid w:val="00D85068"/>
    <w:pPr>
      <w:keepNext/>
      <w:keepLines/>
      <w:spacing w:after="0"/>
      <w:outlineLvl w:val="7"/>
    </w:pPr>
    <w:rPr>
      <w:rFonts w:cstheme="majorBidi"/>
      <w:color w:themeColor="text1" w:themeTint="A6" w:val="595959"/>
    </w:rPr>
  </w:style>
  <w:style w:styleId="9" w:type="paragraph">
    <w:name w:val="heading 9"/>
    <w:basedOn w:val="a"/>
    <w:next w:val="a"/>
    <w:link w:val="90"/>
    <w:uiPriority w:val="9"/>
    <w:semiHidden/>
    <w:unhideWhenUsed/>
    <w:qFormat/>
    <w:rsid w:val="00D85068"/>
    <w:pPr>
      <w:keepNext/>
      <w:keepLines/>
      <w:spacing w:after="0"/>
      <w:outlineLvl w:val="8"/>
    </w:pPr>
    <w:rPr>
      <w:rFonts w:cstheme="majorBidi" w:eastAsiaTheme="majorEastAsia"/>
      <w:color w:themeColor="text1" w:themeTint="A6" w:val="595959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0" w:type="character">
    <w:name w:val="标题 1 字符"/>
    <w:basedOn w:val="a0"/>
    <w:link w:val="1"/>
    <w:uiPriority w:val="9"/>
    <w:rsid w:val="00D85068"/>
    <w:rPr>
      <w:rFonts w:asciiTheme="majorHAnsi" w:cstheme="majorBidi" w:eastAsiaTheme="majorEastAsia" w:hAnsiTheme="majorHAnsi"/>
      <w:color w:themeColor="accent1" w:themeShade="BF" w:val="2F5496"/>
      <w:sz w:val="48"/>
      <w:szCs w:val="48"/>
    </w:rPr>
  </w:style>
  <w:style w:customStyle="1" w:styleId="20" w:type="character">
    <w:name w:val="标题 2 字符"/>
    <w:basedOn w:val="a0"/>
    <w:link w:val="2"/>
    <w:uiPriority w:val="9"/>
    <w:semiHidden/>
    <w:rsid w:val="00D85068"/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customStyle="1" w:styleId="30" w:type="character">
    <w:name w:val="标题 3 字符"/>
    <w:basedOn w:val="a0"/>
    <w:link w:val="3"/>
    <w:uiPriority w:val="9"/>
    <w:semiHidden/>
    <w:rsid w:val="00D85068"/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customStyle="1" w:styleId="40" w:type="character">
    <w:name w:val="标题 4 字符"/>
    <w:basedOn w:val="a0"/>
    <w:link w:val="4"/>
    <w:uiPriority w:val="9"/>
    <w:semiHidden/>
    <w:rsid w:val="00D85068"/>
    <w:rPr>
      <w:rFonts w:cstheme="majorBidi"/>
      <w:color w:themeColor="accent1" w:themeShade="BF" w:val="2F5496"/>
      <w:sz w:val="28"/>
      <w:szCs w:val="28"/>
    </w:rPr>
  </w:style>
  <w:style w:customStyle="1" w:styleId="50" w:type="character">
    <w:name w:val="标题 5 字符"/>
    <w:basedOn w:val="a0"/>
    <w:link w:val="5"/>
    <w:uiPriority w:val="9"/>
    <w:semiHidden/>
    <w:rsid w:val="00D85068"/>
    <w:rPr>
      <w:rFonts w:cstheme="majorBidi"/>
      <w:color w:themeColor="accent1" w:themeShade="BF" w:val="2F5496"/>
      <w:sz w:val="24"/>
    </w:rPr>
  </w:style>
  <w:style w:customStyle="1" w:styleId="60" w:type="character">
    <w:name w:val="标题 6 字符"/>
    <w:basedOn w:val="a0"/>
    <w:link w:val="6"/>
    <w:uiPriority w:val="9"/>
    <w:semiHidden/>
    <w:rsid w:val="00D85068"/>
    <w:rPr>
      <w:rFonts w:cstheme="majorBidi"/>
      <w:b/>
      <w:bCs/>
      <w:color w:themeColor="accent1" w:themeShade="BF" w:val="2F5496"/>
    </w:rPr>
  </w:style>
  <w:style w:customStyle="1" w:styleId="70" w:type="character">
    <w:name w:val="标题 7 字符"/>
    <w:basedOn w:val="a0"/>
    <w:link w:val="7"/>
    <w:uiPriority w:val="9"/>
    <w:semiHidden/>
    <w:rsid w:val="00D85068"/>
    <w:rPr>
      <w:rFonts w:cstheme="majorBidi"/>
      <w:b/>
      <w:bCs/>
      <w:color w:themeColor="text1" w:themeTint="A6" w:val="595959"/>
    </w:rPr>
  </w:style>
  <w:style w:customStyle="1" w:styleId="80" w:type="character">
    <w:name w:val="标题 8 字符"/>
    <w:basedOn w:val="a0"/>
    <w:link w:val="8"/>
    <w:uiPriority w:val="9"/>
    <w:semiHidden/>
    <w:rsid w:val="00D85068"/>
    <w:rPr>
      <w:rFonts w:cstheme="majorBidi"/>
      <w:color w:themeColor="text1" w:themeTint="A6" w:val="595959"/>
    </w:rPr>
  </w:style>
  <w:style w:customStyle="1" w:styleId="90" w:type="character">
    <w:name w:val="标题 9 字符"/>
    <w:basedOn w:val="a0"/>
    <w:link w:val="9"/>
    <w:uiPriority w:val="9"/>
    <w:semiHidden/>
    <w:rsid w:val="00D85068"/>
    <w:rPr>
      <w:rFonts w:cstheme="majorBidi" w:eastAsiaTheme="majorEastAsia"/>
      <w:color w:themeColor="text1" w:themeTint="A6" w:val="595959"/>
    </w:rPr>
  </w:style>
  <w:style w:styleId="a3" w:type="paragraph">
    <w:name w:val="Title"/>
    <w:basedOn w:val="a"/>
    <w:next w:val="a"/>
    <w:link w:val="a4"/>
    <w:uiPriority w:val="10"/>
    <w:qFormat/>
    <w:rsid w:val="00D85068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a4" w:type="character">
    <w:name w:val="标题 字符"/>
    <w:basedOn w:val="a0"/>
    <w:link w:val="a3"/>
    <w:uiPriority w:val="10"/>
    <w:rsid w:val="00D85068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a5" w:type="paragraph">
    <w:name w:val="Subtitle"/>
    <w:basedOn w:val="a"/>
    <w:next w:val="a"/>
    <w:link w:val="a6"/>
    <w:uiPriority w:val="11"/>
    <w:qFormat/>
    <w:rsid w:val="00D85068"/>
    <w:pPr>
      <w:numPr>
        <w:ilvl w:val="1"/>
      </w:numPr>
      <w:jc w:val="center"/>
    </w:pPr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customStyle="1" w:styleId="a6" w:type="character">
    <w:name w:val="副标题 字符"/>
    <w:basedOn w:val="a0"/>
    <w:link w:val="a5"/>
    <w:uiPriority w:val="11"/>
    <w:rsid w:val="00D85068"/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styleId="a7" w:type="paragraph">
    <w:name w:val="Quote"/>
    <w:basedOn w:val="a"/>
    <w:next w:val="a"/>
    <w:link w:val="a8"/>
    <w:uiPriority w:val="29"/>
    <w:qFormat/>
    <w:rsid w:val="00D85068"/>
    <w:pPr>
      <w:spacing w:before="160"/>
      <w:jc w:val="center"/>
    </w:pPr>
    <w:rPr>
      <w:i/>
      <w:iCs/>
      <w:color w:themeColor="text1" w:themeTint="BF" w:val="404040"/>
    </w:rPr>
  </w:style>
  <w:style w:customStyle="1" w:styleId="a8" w:type="character">
    <w:name w:val="引用 字符"/>
    <w:basedOn w:val="a0"/>
    <w:link w:val="a7"/>
    <w:uiPriority w:val="29"/>
    <w:rsid w:val="00D85068"/>
    <w:rPr>
      <w:i/>
      <w:iCs/>
      <w:color w:themeColor="text1" w:themeTint="BF" w:val="404040"/>
    </w:rPr>
  </w:style>
  <w:style w:styleId="a9" w:type="paragraph">
    <w:name w:val="List Paragraph"/>
    <w:basedOn w:val="a"/>
    <w:uiPriority w:val="34"/>
    <w:qFormat/>
    <w:rsid w:val="00D85068"/>
    <w:pPr>
      <w:ind w:left="720"/>
      <w:contextualSpacing/>
    </w:pPr>
  </w:style>
  <w:style w:styleId="aa" w:type="character">
    <w:name w:val="Intense Emphasis"/>
    <w:basedOn w:val="a0"/>
    <w:uiPriority w:val="21"/>
    <w:qFormat/>
    <w:rsid w:val="00D85068"/>
    <w:rPr>
      <w:i/>
      <w:iCs/>
      <w:color w:themeColor="accent1" w:themeShade="BF" w:val="2F5496"/>
    </w:rPr>
  </w:style>
  <w:style w:styleId="ab" w:type="paragraph">
    <w:name w:val="Intense Quote"/>
    <w:basedOn w:val="a"/>
    <w:next w:val="a"/>
    <w:link w:val="ac"/>
    <w:uiPriority w:val="30"/>
    <w:qFormat/>
    <w:rsid w:val="00D8506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ac" w:type="character">
    <w:name w:val="明显引用 字符"/>
    <w:basedOn w:val="a0"/>
    <w:link w:val="ab"/>
    <w:uiPriority w:val="30"/>
    <w:rsid w:val="00D85068"/>
    <w:rPr>
      <w:i/>
      <w:iCs/>
      <w:color w:themeColor="accent1" w:themeShade="BF" w:val="2F5496"/>
    </w:rPr>
  </w:style>
  <w:style w:styleId="ad" w:type="character">
    <w:name w:val="Intense Reference"/>
    <w:basedOn w:val="a0"/>
    <w:uiPriority w:val="32"/>
    <w:qFormat/>
    <w:rsid w:val="00D85068"/>
    <w:rPr>
      <w:b/>
      <w:bCs/>
      <w:smallCaps/>
      <w:color w:themeColor="accent1" w:themeShade="BF" w:val="2F5496"/>
      <w:spacing w:val="5"/>
    </w:rPr>
  </w:style>
  <w:style w:customStyle="1" w:styleId="SourceCode" w:type="paragraph">
    <w:name w:val="Source Code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e" w:type="table">
    <w:name w:val="Table Grid"/>
    <w:basedOn w:val="a1"/>
    <w:uiPriority w:val="39"/>
    <w:rsid w:val="002C5CDE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" w:type="table">
    <w:name w:val="Table"/>
    <w:basedOn w:val="a1"/>
    <w:uiPriority w:val="99"/>
    <w:rsid w:val="00970A3B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b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bw/Downloads/docx_template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docx_template.dotx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2026-05-02T11:20:14Z</dcterms:created>
  <dcterms:modified xsi:type="dcterms:W3CDTF">2026-05-02T11:20:14Z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