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usiness-requirements-document-brd"/>
    <w:p>
      <w:pPr>
        <w:pStyle w:val="Heading1"/>
      </w:pPr>
      <w:r>
        <w:t xml:space="preserve">Business Requirements Document (BRD)</w:t>
      </w:r>
    </w:p>
    <w:bookmarkStart w:id="20" w:name="X8e90eb123d6afa0661107fbd405c81ceadddd9e"/>
    <w:p>
      <w:pPr>
        <w:pStyle w:val="Heading2"/>
      </w:pPr>
      <w:r>
        <w:t xml:space="preserve">SDLC-Agents-4-Enterprise — SA4E-77: Pega Knowledge Graph — Categorized node types, Pega-mode colors, entry_id-based Code/KB split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 — Categorized node types, Pega-mode colors, entry_id-based Code/KB 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introduction"/>
    <w:p>
      <w:pPr>
        <w:pStyle w:val="Heading2"/>
      </w:pPr>
      <w:r>
        <w:t xml:space="preserve">1. Introduction</w:t>
      </w:r>
    </w:p>
    <w:bookmarkStart w:id="22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BRD covers the enhancement of the Pega Knowledge Graph visualization to:</w:t>
      </w:r>
      <w:r>
        <w:t xml:space="preserve"> </w:t>
      </w:r>
      <w:r>
        <w:t xml:space="preserve">- Auto-detect Pega projects and switch graph legend colors to Pega rule categories</w:t>
      </w:r>
      <w:r>
        <w:t xml:space="preserve"> </w:t>
      </w:r>
      <w:r>
        <w:t xml:space="preserve">- Classify Pega rules by their pxObjClass type (PROCESS, DECISION, DATA_MODEL, UI, etc.)</w:t>
      </w:r>
      <w:r>
        <w:t xml:space="preserve"> </w:t>
      </w:r>
      <w:r>
        <w:t xml:space="preserve">- Use entry_id prefix matching for Code/KB split instead of hardcoded allowlists</w:t>
      </w:r>
      <w:r>
        <w:t xml:space="preserve"> </w:t>
      </w:r>
      <w:r>
        <w:t xml:space="preserve">- Provide a config-driven category mapping for Pega rule types via</w:t>
      </w:r>
      <w:r>
        <w:t xml:space="preserve"> </w:t>
      </w:r>
      <w:r>
        <w:rPr>
          <w:rStyle w:val="VerbatimChar"/>
        </w:rPr>
        <w:t xml:space="preserve">pega-categories.json</w:t>
      </w:r>
    </w:p>
    <w:bookmarkEnd w:id="22"/>
    <w:bookmarkStart w:id="23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Changes to the Pega API fetch mechanism or authentication</w:t>
      </w:r>
    </w:p>
    <w:p>
      <w:pPr>
        <w:numPr>
          <w:ilvl w:val="0"/>
          <w:numId w:val="1001"/>
        </w:numPr>
        <w:pStyle w:val="Compact"/>
      </w:pPr>
      <w:r>
        <w:t xml:space="preserve">Performance optimization of the 3D graph renderer beyond color/type changes</w:t>
      </w:r>
    </w:p>
    <w:p>
      <w:pPr>
        <w:numPr>
          <w:ilvl w:val="0"/>
          <w:numId w:val="1001"/>
        </w:numPr>
        <w:pStyle w:val="Compact"/>
      </w:pPr>
      <w:r>
        <w:t xml:space="preserve">New graph interaction features (search, filter, etc.) beyond legend and color switching</w:t>
      </w:r>
    </w:p>
    <w:p>
      <w:pPr>
        <w:numPr>
          <w:ilvl w:val="0"/>
          <w:numId w:val="1001"/>
        </w:numPr>
        <w:pStyle w:val="Compact"/>
      </w:pPr>
      <w:r>
        <w:t xml:space="preserve">Multi-project Pega category sharing across backend instances</w:t>
      </w:r>
    </w:p>
    <w:bookmarkEnd w:id="23"/>
    <w:bookmarkStart w:id="24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2"/>
        </w:numPr>
        <w:pStyle w:val="Compact"/>
      </w:pPr>
      <w:r>
        <w:t xml:space="preserve">Pega integration must already be configured (PegaHttpClient working)</w:t>
      </w:r>
    </w:p>
    <w:p>
      <w:pPr>
        <w:numPr>
          <w:ilvl w:val="0"/>
          <w:numId w:val="1002"/>
        </w:numPr>
        <w:pStyle w:val="Compact"/>
      </w:pPr>
      <w:r>
        <w:t xml:space="preserve">Knowledge base must have graph_nodes table with existing entries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usiness-requirements"/>
    <w:p>
      <w:pPr>
        <w:pStyle w:val="Heading2"/>
      </w:pPr>
      <w:r>
        <w:t xml:space="preserve">2. Business Requirements</w:t>
      </w:r>
    </w:p>
    <w:bookmarkStart w:id="26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feature enables Pega developers using the SDLC Agents extension to:</w:t>
      </w:r>
      <w:r>
        <w:t xml:space="preserve"> </w:t>
      </w:r>
      <w:r>
        <w:t xml:space="preserve">1. Fetch Pega context from the Pega server</w:t>
      </w:r>
      <w:r>
        <w:t xml:space="preserve"> </w:t>
      </w:r>
      <w:r>
        <w:t xml:space="preserve">2. View Pega rules categorized by type in the knowledge graph</w:t>
      </w:r>
      <w:r>
        <w:t xml:space="preserve"> </w:t>
      </w:r>
      <w:r>
        <w:t xml:space="preserve">3. See a Pega-specific legend with rule category colors</w:t>
      </w:r>
      <w:r>
        <w:t xml:space="preserve"> </w:t>
      </w:r>
      <w:r>
        <w:t xml:space="preserve">4. Toggle visibility of rule categories via filter dropdown</w:t>
      </w:r>
      <w:r>
        <w:t xml:space="preserve"> </w:t>
      </w:r>
      <w:r>
        <w:t xml:space="preserve">5. Automatically distinguish between code symbols, Pega rules, and KB entries in dashboard counts</w:t>
      </w:r>
    </w:p>
    <w:bookmarkEnd w:id="26"/>
    <w:bookmarkStart w:id="27" w:name="list-of-user-stories"/>
    <w:p>
      <w:pPr>
        <w:pStyle w:val="Heading3"/>
      </w:pPr>
      <w:r>
        <w:t xml:space="preserve">2.2 List of User Stories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78"/>
        <w:gridCol w:w="1584"/>
        <w:gridCol w:w="2262"/>
        <w:gridCol w:w="339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Pega developer, I want Pega rules to be categorized by type in the knowledge graph so that I can visually distinguish between Activities, Data Types, UI rules, etc.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Pega developer, I want the graph legend to show Pega category colors (not code symbol types) when viewing a Pega project so that the visualization is relevant to my domain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Pega developer, I want the Code/KB split in the dashboard to automatically include Pega rules as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 </w:t>
            </w:r>
            <w:r>
              <w:t xml:space="preserve">so that I can see the total rule count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admin, I want to customize the Pega rule type categorization via a config file so that I can adapt grouping to my project’s needs</w:t>
            </w:r>
          </w:p>
        </w:tc>
        <w:tc>
          <w:p>
            <w:pPr>
              <w:pStyle w:val="Compact"/>
              <w:jc w:val="left"/>
            </w:pPr>
            <w:r>
              <w:t xml:space="preserve">COULD HAVE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 on non-Pega projects, I want the graph to continue working as before with standard code symbol colors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65"/>
        <w:gridCol w:w="1532"/>
        <w:gridCol w:w="3321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Integration (SA4E-50/53)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PegaHttpClient must be functional for fetching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Nodes Table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graph_nodes table must exist in SQLite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Three.js v0.128.0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LOD graph renderer library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Implement the 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Verify graph coloring and category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Developer (end user)</w:t>
            </w:r>
          </w:p>
        </w:tc>
        <w:tc>
          <w:p>
            <w:pPr>
              <w:pStyle w:val="Compact"/>
              <w:jc w:val="left"/>
            </w:pPr>
            <w:r>
              <w:t xml:space="preserve">Validate that rule visualization is correct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risks-and-assumptions"/>
    <w:p>
      <w:pPr>
        <w:pStyle w:val="Heading2"/>
      </w:pPr>
      <w:r>
        <w:t xml:space="preserve">5. Risks and Assumptions</w:t>
      </w:r>
    </w:p>
    <w:bookmarkStart w:id="31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pega-categories.json config mismatch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Auto-fallback to first segment after Rule-Obj-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regression for large rule sets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LOD rendering handles up to 10K nodes</w:t>
            </w:r>
          </w:p>
        </w:tc>
      </w:tr>
    </w:tbl>
    <w:bookmarkEnd w:id="31"/>
    <w:bookmarkStart w:id="32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3"/>
        </w:numPr>
        <w:pStyle w:val="Compact"/>
      </w:pPr>
      <w:r>
        <w:t xml:space="preserve">The existing graph rendering pipeline (kb-graph-renderer.js) supports adding new node types</w:t>
      </w:r>
    </w:p>
    <w:p>
      <w:pPr>
        <w:numPr>
          <w:ilvl w:val="0"/>
          <w:numId w:val="1003"/>
        </w:numPr>
        <w:pStyle w:val="Compact"/>
      </w:pPr>
      <w:r>
        <w:t xml:space="preserve">The /api/admin/kb/graph/positions response can include additional fields without breaking the frontend</w:t>
      </w:r>
    </w:p>
    <w:p>
      <w:pPr>
        <w:numPr>
          <w:ilvl w:val="0"/>
          <w:numId w:val="1003"/>
        </w:numPr>
        <w:pStyle w:val="Compact"/>
      </w:pPr>
      <w:r>
        <w:t xml:space="preserve">Pega pxObjClass naming conventions are consistent (Rule-Obj-{Category}-{Subtype})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43"/>
        <w:gridCol w:w="4476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Graph load time for 10K nodes should not exceed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Non-Pega projects must see the exact same colors and legend as before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p>
            <w:pPr>
              <w:pStyle w:val="Compact"/>
              <w:jc w:val="left"/>
            </w:pPr>
            <w:r>
              <w:t xml:space="preserve">Pega category mapping must be editable without code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Auto-detection</w:t>
            </w:r>
          </w:p>
        </w:tc>
        <w:tc>
          <w:p>
            <w:pPr>
              <w:pStyle w:val="Compact"/>
              <w:jc w:val="left"/>
            </w:pPr>
            <w:r>
              <w:t xml:space="preserve">Pega mode must be detected automatically, not require manual toggle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15"/>
        <w:gridCol w:w="2036"/>
        <w:gridCol w:w="3168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 — Categorized node types, colors, Code/KB split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2026-07-30T01:29:16Z</dcterms:created>
  <dcterms:modified xsi:type="dcterms:W3CDTF">2026-07-30T01:29:16Z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