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oftware-test-plan-stp"/>
    <w:p>
      <w:pPr>
        <w:pStyle w:val="1"/>
      </w:pPr>
      <w:r>
        <w:t xml:space="preserve">Software Test Plan (STP)</w:t>
      </w:r>
    </w:p>
    <w:bookmarkStart w:id="9" w:name="X3955fb810ca5b6c200a48f467e5fb0703dc1d0a"/>
    <w:p>
      <w:pPr>
        <w:pStyle w:val="2"/>
      </w:pPr>
      <w:r>
        <w:t xml:space="preserve">Kiro Backend MCP Server - SA4E-18: Tool Visibility Tiers - reduce LLM context by hiding rarely-used tools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Tool Visibility Tiers - reduce LLM context by hiding rarely-used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TDD-v1-SA4E-18.docx</w:t>
            </w:r>
          </w:p>
        </w:tc>
      </w:tr>
    </w:tbl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-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-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- auto-generated from BRD, FSD, and TDD</w:t>
            </w:r>
          </w:p>
        </w:tc>
      </w:tr>
    </w:tbl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I agree and confirm the test plan in this STP</w:t>
            </w:r>
          </w:p>
        </w:tc>
      </w:tr>
    </w:tbl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strategy, scope, levels, environment, and traceability for verifying</w:t>
      </w:r>
      <w:r>
        <w:t xml:space="preserve"> </w:t>
      </w:r>
      <w:r>
        <w:rPr>
          <w:b/>
          <w:bCs/>
        </w:rPr>
        <w:t xml:space="preserve">SA4E-18 - Tool Visibility Tiers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kiro-backend-mcp</w:t>
      </w:r>
      <w:r>
        <w:t xml:space="preserve"> </w:t>
      </w:r>
      <w:r>
        <w:t xml:space="preserve">server. The change introduces a two-tier tool visibility model (CORE vs EXTENDED), a central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allowlist, non-blocking per-tool usage tracking, and 100% backward-compatible discoverability/callability of hidden tools.</w:t>
      </w:r>
    </w:p>
    <w:p>
      <w:pPr>
        <w:pStyle w:val="BodyText"/>
      </w:pPr>
      <w:r>
        <w:t xml:space="preserve">The system under test is a</w:t>
      </w:r>
      <w:r>
        <w:t xml:space="preserve"> </w:t>
      </w:r>
      <w:r>
        <w:rPr>
          <w:b/>
          <w:bCs/>
        </w:rPr>
        <w:t xml:space="preserve">headless backend MCP server</w:t>
      </w:r>
      <w:r>
        <w:t xml:space="preserve"> </w:t>
      </w:r>
      <w:r>
        <w:t xml:space="preserve">(TypeScript/Node.js,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, MCP JSON-RPC). It has</w:t>
      </w:r>
      <w:r>
        <w:t xml:space="preserve"> </w:t>
      </w:r>
      <w:r>
        <w:rPr>
          <w:b/>
          <w:bCs/>
        </w:rPr>
        <w:t xml:space="preserve">no UI</w:t>
      </w:r>
      <w:r>
        <w:t xml:space="preserve">. Consequently, the test effort concentrates on</w:t>
      </w:r>
      <w:r>
        <w:t xml:space="preserve"> </w:t>
      </w:r>
      <w:r>
        <w:rPr>
          <w:b/>
          <w:bCs/>
        </w:rPr>
        <w:t xml:space="preserve">Unit (UT)</w:t>
      </w:r>
      <w:r>
        <w:t xml:space="preserve">,</w:t>
      </w:r>
      <w:r>
        <w:t xml:space="preserve"> </w:t>
      </w:r>
      <w:r>
        <w:rPr>
          <w:b/>
          <w:bCs/>
        </w:rPr>
        <w:t xml:space="preserve">Integration (IT)</w:t>
      </w:r>
      <w:r>
        <w:t xml:space="preserve">, and</w:t>
      </w:r>
      <w:r>
        <w:t xml:space="preserve"> </w:t>
      </w:r>
      <w:r>
        <w:rPr>
          <w:b/>
          <w:bCs/>
        </w:rPr>
        <w:t xml:space="preserve">E2E-API</w:t>
      </w:r>
      <w:r>
        <w:t xml:space="preserve"> </w:t>
      </w:r>
      <w:r>
        <w:t xml:space="preserve">levels, with</w:t>
      </w:r>
      <w:r>
        <w:t xml:space="preserve"> </w:t>
      </w:r>
      <w:r>
        <w:rPr>
          <w:b/>
          <w:bCs/>
        </w:rPr>
        <w:t xml:space="preserve">Property-Based (PBT)</w:t>
      </w:r>
      <w:r>
        <w:t xml:space="preserve"> </w:t>
      </w:r>
      <w:r>
        <w:t xml:space="preserve">tests for correctness invariants of the pure config resolver and usage counter. E2E-UI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and SIT is minimized to a few manual/operator exploratory checks (see �2.1).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returns exactly the 8 configured CORE tools and omits all EXTENDED tools (BR-01/02, UC-01).</w:t>
      </w:r>
    </w:p>
    <w:p>
      <w:pPr>
        <w:pStyle w:val="Compact"/>
        <w:numPr>
          <w:ilvl w:val="0"/>
          <w:numId w:val="1001"/>
        </w:numPr>
      </w:pPr>
      <w:r>
        <w:t xml:space="preserve">Verify meta-tools (</w:t>
      </w:r>
      <w:r>
        <w:rPr>
          <w:rStyle w:val="VerbatimChar"/>
        </w:rPr>
        <w:t xml:space="preserve">find_tools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orchestration_status</w:t>
      </w:r>
      <w:r>
        <w:t xml:space="preserve">) are always visible regardless of config (BR-03).</w:t>
      </w:r>
    </w:p>
    <w:p>
      <w:pPr>
        <w:pStyle w:val="Compact"/>
        <w:numPr>
          <w:ilvl w:val="0"/>
          <w:numId w:val="1001"/>
        </w:numPr>
      </w:pPr>
      <w:r>
        <w:t xml:space="preserve">Verify the central</w:t>
      </w:r>
      <w:r>
        <w:t xml:space="preserve"> </w:t>
      </w:r>
      <w:r>
        <w:rPr>
          <w:rStyle w:val="VerbatimChar"/>
        </w:rPr>
        <w:t xml:space="preserve">CORE_TOOLS</w:t>
      </w:r>
      <w:r>
        <w:t xml:space="preserve"> </w:t>
      </w:r>
      <w:r>
        <w:t xml:space="preserve">resolver degrades gracefully for empty/duplicate/invalid/unknown entries and never throws (BR-04/05/06/08).</w:t>
      </w:r>
    </w:p>
    <w:p>
      <w:pPr>
        <w:pStyle w:val="Compact"/>
        <w:numPr>
          <w:ilvl w:val="0"/>
          <w:numId w:val="1001"/>
        </w:numPr>
      </w:pPr>
      <w:r>
        <w:t xml:space="preserve">Verify per-tool usage tracking increments on both invocation paths, persists across restart, never double-counts, and never blocks a tool call (BR-07/09/10/12, UC-03).</w:t>
      </w:r>
    </w:p>
    <w:p>
      <w:pPr>
        <w:pStyle w:val="Compact"/>
        <w:numPr>
          <w:ilvl w:val="0"/>
          <w:numId w:val="1001"/>
        </w:numPr>
      </w:pPr>
      <w:r>
        <w:t xml:space="preserve">Verify EXTENDED tools remain discoverable via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 callable via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and direct</w:t>
      </w:r>
      <w:r>
        <w:t xml:space="preserve"> </w:t>
      </w:r>
      <w:r>
        <w:rPr>
          <w:rStyle w:val="VerbatimChar"/>
        </w:rPr>
        <w:t xml:space="preserve">CallTool</w:t>
      </w:r>
      <w:r>
        <w:t xml:space="preserve"> </w:t>
      </w:r>
      <w:r>
        <w:t xml:space="preserve">- 100% backward compatibility, 0 regressions (BR-11/13/14/15/16, UC-04).</w:t>
      </w:r>
    </w:p>
    <w:p>
      <w:pPr>
        <w:pStyle w:val="Compact"/>
        <w:numPr>
          <w:ilvl w:val="0"/>
          <w:numId w:val="1001"/>
        </w:numPr>
      </w:pPr>
      <w:r>
        <w:t xml:space="preserve">Verify the NFR target:</w:t>
      </w:r>
      <w:r>
        <w:t xml:space="preserve"> </w:t>
      </w:r>
      <w:r>
        <w:rPr>
          <w:rStyle w:val="VerbatimChar"/>
        </w:rPr>
        <w:t xml:space="preserve">ListTools</w:t>
      </w:r>
      <w:r>
        <w:t xml:space="preserve"> </w:t>
      </w:r>
      <w:r>
        <w:t xml:space="preserve">serialized payload reduced by &gt;= 70% vs the full-set baseline.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FSD-v1-SA4E-18.docx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TDD-v1-SA4E-18.docx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tool execution pattern</w:t>
            </w:r>
          </w:p>
        </w:tc>
        <w:tc>
          <w:tcPr/>
          <w:p>
            <w:pPr>
              <w:pStyle w:val="Compact"/>
            </w:pPr>
            <w:r>
              <w:t xml:space="preserve">.kiro/steering/tool-usage-dynamic.md</w:t>
            </w:r>
          </w:p>
        </w:tc>
      </w:tr>
    </w:tbl>
    <w:bookmarkEnd w:id="16"/>
    <w:bookmarkEnd w:id="17"/>
    <w:bookmarkStart w:id="24" w:name="test-strategy"/>
    <w:p>
      <w:pPr>
        <w:pStyle w:val="2"/>
      </w:pPr>
      <w:r>
        <w:t xml:space="preserve">2. Test Strategy</w:t>
      </w:r>
    </w:p>
    <w:bookmarkStart w:id="18" w:name="test-levels"/>
    <w:p>
      <w:pPr>
        <w:pStyle w:val="3"/>
      </w:pPr>
      <w:r>
        <w:t xml:space="preserve">2.1 Test Levels</w:t>
      </w:r>
    </w:p>
    <w:p>
      <w:pPr>
        <w:pStyle w:val="FirstParagraph"/>
      </w:pPr>
      <w:r>
        <w:t xml:space="preserve">(diagram - see attached .drawio/.png)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over random inputs (resolver invariants, counter monotonicity)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+ vitest/jest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Unit/edge-case tests (resolveCoreToolNames, MemoryEngine methods, trackToolUsage)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vitest/jest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In-process MCP handler + real SQLite integration (ListTools filter, CallTool hook, dynamic hook, mem_admin read path, schema DDL)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vitest/jest + better-sqlite3 (temp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MCP JSON-RPC E2E against a running server instance (tools/list, tools/call, find_tools, execute_dynamic_tool, usage, restart)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MCP client / in-process transport + vitest/jest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- (no UI in this backend 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operator checks (LLM session context inspection, operator usage read, maintainer config edit)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MCP client / terminal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 for E2E-UI = N/A and minimal SIT:</w:t>
      </w:r>
      <w:r>
        <w:t xml:space="preserve"> </w:t>
      </w:r>
      <w:r>
        <w:t xml:space="preserve">SA4E-18 is a pure backend/protocol change with no user interface. There are no screens, forms, or visual elements to validate. All observable behavior is expressed through the MCP JSON-RPC contract, which is fully automatable at the E2E-API level. SIT is therefore reduced to three manual sanity checks that benefit from human judgement (real LLM context reduction observation, human-readability of operator usage output, and the maintainer restart workflow).</w:t>
      </w:r>
    </w:p>
    <w:p>
      <w:pPr>
        <w:pStyle w:val="BodyText"/>
      </w:pPr>
      <w:r>
        <w:rPr>
          <w:b/>
          <w:bCs/>
        </w:rPr>
        <w:t xml:space="preserve">E2E Automation Coverage:</w:t>
      </w:r>
      <w:r>
        <w:t xml:space="preserve"> </w:t>
      </w:r>
      <w:r>
        <w:t xml:space="preserve">Every deterministic scenario from TDD �11.2 is automated as E2E-API (no browser needed). The only manual (SIT) items are the maintainer workflow and human-observation sanity checks that are not worth automating.</w:t>
      </w:r>
    </w:p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features per FSD use cases (filtering, tracking, discovery, execution)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Ensure all previously-working tool invocations still work (BR-16)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Usage-write overhead &lt; 5 ms p95; filter cost &lt; 1 ms; token reduction &gt;= 70%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SQL-injection safety of bound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; confirm visibility is NOT access control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Not applicable (no UI)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MCP protocol compliance with a smaller tool 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FirstParagraph"/>
      </w:pPr>
      <w:r>
        <w:t xml:space="preserve">Risk-based and traceability-driven. Correctness invariants of the pure resolver and the counter are covered by PBT; concrete edge cases by UT; wiring of handlers + real DB by IT; full protocol behavior by E2E-API. Manual SIT covers only what automation cannot meaningfully assert. Every test case traces to at least one BR / UC / AC, and every BR / UC has at least one test (see RTM in STC �10).</w:t>
      </w:r>
    </w:p>
    <w:bookmarkEnd w:id="20"/>
    <w:bookmarkStart w:id="21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Code compiles (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); new modules present (CoreTools.ts, toolUsageTracker.ts, MemoryEngine methods).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UT pass;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DDL merged into</w:t>
            </w:r>
            <w:r>
              <w:t xml:space="preserve"> </w:t>
            </w:r>
            <w:r>
              <w:rPr>
                <w:rStyle w:val="VerbatimChar"/>
              </w:rPr>
              <w:t xml:space="preserve">schema.ts</w:t>
            </w:r>
            <w:r>
              <w:t xml:space="preserve">; temp SQLite DB provisioning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IT pass; server can start in test mode with full tool set ingested into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E2E-API pass; a running server instance reachable by an MCP client.</w:t>
            </w:r>
          </w:p>
        </w:tc>
      </w:tr>
    </w:tbl>
    <w:bookmarkEnd w:id="21"/>
    <w:bookmarkStart w:id="22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100% of planned cases executed; 0 failing; branch coverage of new code &gt;= 90%.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100% executed; 0 Critical/Major open;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row assertions pass against real 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100% executed; all 10 �11.2 scenarios pass; token reduction assertion &gt;= 70%; 0 regressions.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All 3 manual checks executed; results recorded with evidence; 0 Critical defects open.</w:t>
            </w:r>
          </w:p>
        </w:tc>
      </w:tr>
    </w:tbl>
    <w:bookmarkEnd w:id="22"/>
    <w:bookmarkStart w:id="23" w:name="test-cases-summary"/>
    <w:p>
      <w:pPr>
        <w:pStyle w:val="3"/>
      </w:pPr>
      <w:r>
        <w:t xml:space="preserve">2.6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(91%)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(9%)</w:t>
            </w:r>
          </w:p>
        </w:tc>
      </w:tr>
    </w:tbl>
    <w:bookmarkEnd w:id="23"/>
    <w:bookmarkEnd w:id="24"/>
    <w:bookmarkStart w:id="27" w:name="test-scope"/>
    <w:p>
      <w:pPr>
        <w:pStyle w:val="2"/>
      </w:pPr>
      <w:r>
        <w:t xml:space="preserve">3. Test Scope</w:t>
      </w:r>
    </w:p>
    <w:p>
      <w:pPr>
        <w:pStyle w:val="FirstParagraph"/>
      </w:pPr>
      <w:r>
        <w:t xml:space="preserve">(diagram - see attached .drawio/.png)</w:t>
      </w:r>
    </w:p>
    <w:bookmarkStart w:id="25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Filtered ListTools (CORE-only response)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BR-01/02/03/11</w:t>
            </w:r>
          </w:p>
        </w:tc>
        <w:tc>
          <w:tcPr/>
          <w:p>
            <w:pPr>
              <w:pStyle w:val="Compact"/>
            </w:pPr>
            <w:r>
              <w:t xml:space="preserve">Functional,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Central CORE_TOOLS allowlist configuration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UC-02, BR-04/05/06/08</w:t>
            </w:r>
          </w:p>
        </w:tc>
        <w:tc>
          <w:tcPr/>
          <w:p>
            <w:pPr>
              <w:pStyle w:val="Compact"/>
            </w:pPr>
            <w:r>
              <w:t xml:space="preserve">Functional,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Per-tool usage tracking (non-blocking, persistent)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UC-03, BR-07/09/10/12</w:t>
            </w:r>
          </w:p>
        </w:tc>
        <w:tc>
          <w:tcPr/>
          <w:p>
            <w:pPr>
              <w:pStyle w:val="Compact"/>
            </w:pPr>
            <w:r>
              <w:t xml:space="preserve">Functional, Performance,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Backward-compatible discoverability &amp; callability of hidden tools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BR-13/14/15/16</w:t>
            </w:r>
          </w:p>
        </w:tc>
        <w:tc>
          <w:tcPr/>
          <w:p>
            <w:pPr>
              <w:pStyle w:val="Compact"/>
            </w:pPr>
            <w:r>
              <w:t xml:space="preserve">Functional,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Usage read path (</w:t>
            </w:r>
            <w:r>
              <w:rPr>
                <w:rStyle w:val="VerbatimChar"/>
              </w:rPr>
              <w:t xml:space="preserve">mem_admin action=tool_usage</w:t>
            </w:r>
            <w:r>
              <w:t xml:space="preserve">, OI-1)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TDD �4.3</w:t>
            </w:r>
          </w:p>
        </w:tc>
        <w:tc>
          <w:tcPr/>
          <w:p>
            <w:pPr>
              <w:pStyle w:val="Compact"/>
            </w:pPr>
            <w:r>
              <w:t xml:space="preserve">Integration, Manual</w:t>
            </w:r>
          </w:p>
        </w:tc>
      </w:tr>
    </w:tbl>
    <w:bookmarkEnd w:id="25"/>
    <w:bookmarkStart w:id="26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 re-classification of tools from usage data</w:t>
            </w:r>
          </w:p>
        </w:tc>
        <w:tc>
          <w:tcPr/>
          <w:p>
            <w:pPr>
              <w:pStyle w:val="Compact"/>
            </w:pPr>
            <w:r>
              <w:t xml:space="preserve">Out of scope per BRD �1.2 - this CR only collects counts.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 UI / console for the allowlist</w:t>
            </w:r>
          </w:p>
        </w:tc>
        <w:tc>
          <w:tcPr/>
          <w:p>
            <w:pPr>
              <w:pStyle w:val="Compact"/>
            </w:pPr>
            <w:r>
              <w:t xml:space="preserve">Config-driven only; no UI in this CR.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Changes to tool handler behavior</w:t>
            </w:r>
          </w:p>
        </w:tc>
        <w:tc>
          <w:tcPr/>
          <w:p>
            <w:pPr>
              <w:pStyle w:val="Compact"/>
            </w:pPr>
            <w:r>
              <w:t xml:space="preserve">No handler logic changes; only hooks added.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embedding / vector search logic</w:t>
            </w:r>
          </w:p>
        </w:tc>
        <w:tc>
          <w:tcPr/>
          <w:p>
            <w:pPr>
              <w:pStyle w:val="Compact"/>
            </w:pPr>
            <w:r>
              <w:t xml:space="preserve">Unchanged per BRD �1.2.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Startup ingestion in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</w:pPr>
            <w:r>
              <w:t xml:space="preserve">Explicitly UNCHANGED (BR-13); verified only, not modified.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Access-control enforcement on execution paths</w:t>
            </w:r>
          </w:p>
        </w:tc>
        <w:tc>
          <w:tcPr/>
          <w:p>
            <w:pPr>
              <w:pStyle w:val="Compact"/>
            </w:pPr>
            <w:r>
              <w:t xml:space="preserve">By design, visibility is NOT access control (TDD �7.1).</w:t>
            </w:r>
          </w:p>
        </w:tc>
      </w:tr>
    </w:tbl>
    <w:bookmarkEnd w:id="26"/>
    <w:bookmarkEnd w:id="27"/>
    <w:bookmarkStart w:id="32" w:name="test-environment"/>
    <w:p>
      <w:pPr>
        <w:pStyle w:val="2"/>
      </w:pPr>
      <w:r>
        <w:t xml:space="preserve">4. Test Environment</w:t>
      </w:r>
    </w:p>
    <w:bookmarkStart w:id="28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931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/ CI</w:t>
            </w:r>
          </w:p>
        </w:tc>
        <w:tc>
          <w:tcPr/>
          <w:p>
            <w:pPr>
              <w:pStyle w:val="Compact"/>
            </w:pPr>
            <w:r>
              <w:t xml:space="preserve">Node.js + TypeScript (ESM)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(temp/in-memory WAL SQLite per test)</w:t>
            </w:r>
          </w:p>
        </w:tc>
        <w:tc>
          <w:tcPr/>
          <w:p>
            <w:pPr>
              <w:pStyle w:val="Compact"/>
            </w:pPr>
            <w:r>
              <w:t xml:space="preserve">PBT, UT, IT, E2E-API automated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kiro-backend-mcp</w:t>
            </w:r>
            <w:r>
              <w:t xml:space="preserve"> </w:t>
            </w: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Shared WAL SQLite (Memory DB)</w:t>
            </w:r>
          </w:p>
        </w:tc>
        <w:tc>
          <w:tcPr/>
          <w:p>
            <w:pPr>
              <w:pStyle w:val="Compact"/>
            </w:pPr>
            <w:r>
              <w:t xml:space="preserve">Operator/maintainer manual checks via MCP client</w:t>
            </w:r>
          </w:p>
        </w:tc>
      </w:tr>
    </w:tbl>
    <w:bookmarkEnd w:id="28"/>
    <w:bookmarkStart w:id="29" w:name="browser-device-requirements"/>
    <w:p>
      <w:pPr>
        <w:pStyle w:val="3"/>
      </w:pPr>
      <w:r>
        <w:t xml:space="preserve">4.2 Browser / Device Requirements</w:t>
      </w:r>
    </w:p>
    <w:p>
      <w:pPr>
        <w:pStyle w:val="FirstParagraph"/>
      </w:pPr>
      <w:r>
        <w:t xml:space="preserve">Not applicable - headless MCP server, no UI.</w:t>
      </w:r>
    </w:p>
    <w:bookmarkEnd w:id="29"/>
    <w:bookmarkStart w:id="30" w:name="test-data-requirements"/>
    <w:p>
      <w:pPr>
        <w:pStyle w:val="3"/>
      </w:pPr>
      <w:r>
        <w:t xml:space="preserve">4.3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tool list</w:t>
            </w:r>
          </w:p>
        </w:tc>
        <w:tc>
          <w:tcPr/>
          <w:p>
            <w:pPr>
              <w:pStyle w:val="Compact"/>
            </w:pPr>
            <w:r>
              <w:t xml:space="preserve">The 8 CORE tool names + representative EXTENDED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testdata/core-tools-list.csv</w:t>
            </w:r>
          </w:p>
        </w:tc>
        <w:tc>
          <w:tcPr/>
          <w:p>
            <w:pPr>
              <w:pStyle w:val="Compact"/>
            </w:pPr>
            <w:r>
              <w:t xml:space="preserve">Static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inputs</w:t>
            </w:r>
          </w:p>
        </w:tc>
        <w:tc>
          <w:tcPr/>
          <w:p>
            <w:pPr>
              <w:pStyle w:val="Compact"/>
            </w:pPr>
            <w:r>
              <w:t xml:space="preserve">Valid/empty/duplicate/invalid/unknown CORE_TOOLS arrays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testdata/resolve-core-scenarios.csv</w:t>
            </w:r>
          </w:p>
        </w:tc>
        <w:tc>
          <w:tcPr/>
          <w:p>
            <w:pPr>
              <w:pStyle w:val="Compact"/>
            </w:pPr>
            <w:r>
              <w:t xml:space="preserve">Static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scenarios</w:t>
            </w:r>
          </w:p>
        </w:tc>
        <w:tc>
          <w:tcPr/>
          <w:p>
            <w:pPr>
              <w:pStyle w:val="Compact"/>
            </w:pPr>
            <w:r>
              <w:t xml:space="preserve">Invocation paths, repetition counts, expected 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testdata/usage-scenarios.csv</w:t>
            </w:r>
          </w:p>
        </w:tc>
        <w:tc>
          <w:tcPr/>
          <w:p>
            <w:pPr>
              <w:pStyle w:val="Compact"/>
            </w:pPr>
            <w:r>
              <w:t xml:space="preserve">Static fixture; DB seeded per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tool set</w:t>
            </w:r>
          </w:p>
        </w:tc>
        <w:tc>
          <w:tcPr/>
          <w:p>
            <w:pPr>
              <w:pStyle w:val="Compact"/>
            </w:pPr>
            <w:r>
              <w:t xml:space="preserve">~60 registered tools ingested into</w:t>
            </w:r>
            <w:r>
              <w:t xml:space="preserve"> </w:t>
            </w:r>
            <w:r>
              <w:rPr>
                <w:rStyle w:val="VerbatimChar"/>
              </w:rPr>
              <w:t xml:space="preserve">mcp_tools</w:t>
            </w:r>
            <w:r>
              <w:t xml:space="preserve"> </w:t>
            </w:r>
            <w:r>
              <w:t xml:space="preserve">at startup</w:t>
            </w:r>
          </w:p>
        </w:tc>
        <w:tc>
          <w:tcPr/>
          <w:p>
            <w:pPr>
              <w:pStyle w:val="Compact"/>
            </w:pPr>
            <w:r>
              <w:t xml:space="preserve">Existing registry + startup ingestion</w:t>
            </w:r>
          </w:p>
        </w:tc>
        <w:tc>
          <w:tcPr/>
          <w:p>
            <w:pPr>
              <w:pStyle w:val="Compact"/>
            </w:pPr>
            <w:r>
              <w:t xml:space="preserve">Provisioned by server bootstrap</w:t>
            </w:r>
          </w:p>
        </w:tc>
      </w:tr>
    </w:tbl>
    <w:bookmarkEnd w:id="30"/>
    <w:bookmarkStart w:id="31" w:name="external-dependencies"/>
    <w:p>
      <w:pPr>
        <w:pStyle w:val="3"/>
      </w:pPr>
      <w:r>
        <w:t xml:space="preserve">4.4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MemoryModule DB</w:t>
            </w:r>
          </w:p>
        </w:tc>
        <w:tc>
          <w:tcPr/>
          <w:p>
            <w:pPr>
              <w:pStyle w:val="Compact"/>
            </w:pPr>
            <w:r>
              <w:t xml:space="preserve">Persistent store for</w:t>
            </w:r>
            <w:r>
              <w:t xml:space="preserve"> </w:t>
            </w:r>
            <w:r>
              <w:rPr>
                <w:rStyle w:val="VerbatimChar"/>
              </w:rPr>
              <w:t xml:space="preserve">tool_usage</w:t>
            </w:r>
            <w:r>
              <w:t xml:space="preserve"> </w:t>
            </w:r>
            <w:r>
              <w:t xml:space="preserve">counters</w:t>
            </w:r>
          </w:p>
        </w:tc>
        <w:tc>
          <w:tcPr/>
          <w:p>
            <w:pPr>
              <w:pStyle w:val="Compact"/>
            </w:pPr>
            <w:r>
              <w:t xml:space="preserve">Yes - temp SQLite file / in-memory DB for automated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MCP servers (proxied tools)</w:t>
            </w:r>
          </w:p>
        </w:tc>
        <w:tc>
          <w:tcPr/>
          <w:p>
            <w:pPr>
              <w:pStyle w:val="Compact"/>
            </w:pPr>
            <w:r>
              <w:t xml:space="preserve">Source of EXTENDED proxied tools (OI-4)</w:t>
            </w:r>
          </w:p>
        </w:tc>
        <w:tc>
          <w:tcPr/>
          <w:p>
            <w:pPr>
              <w:pStyle w:val="Compact"/>
            </w:pPr>
            <w:r>
              <w:t xml:space="preserve">Yes - a native EXTENDED registry tool can substitute for proxied-path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transport</w:t>
            </w:r>
          </w:p>
        </w:tc>
        <w:tc>
          <w:tcPr/>
          <w:p>
            <w:pPr>
              <w:pStyle w:val="Compact"/>
            </w:pPr>
            <w:r>
              <w:t xml:space="preserve">JSON-RPC request/response</w:t>
            </w:r>
          </w:p>
        </w:tc>
        <w:tc>
          <w:tcPr/>
          <w:p>
            <w:pPr>
              <w:pStyle w:val="Compact"/>
            </w:pPr>
            <w:r>
              <w:t xml:space="preserve">Yes - in-process transport / direct handler invocation</w:t>
            </w:r>
          </w:p>
        </w:tc>
      </w:tr>
    </w:tbl>
    <w:bookmarkEnd w:id="31"/>
    <w:bookmarkEnd w:id="32"/>
    <w:bookmarkStart w:id="33" w:name="test-schedule"/>
    <w:p>
      <w:pPr>
        <w:pStyle w:val="2"/>
      </w:pPr>
      <w:r>
        <w:t xml:space="preserve">5.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 (est.)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 (STP + STC)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CSV fixtures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Resolver + engine + tracker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Handler + DB wiring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Execution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10 �11.2 scenarios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 + Report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SIT sign-off, TEST-REPORT ready</w:t>
            </w:r>
          </w:p>
        </w:tc>
      </w:tr>
    </w:tbl>
    <w:bookmarkEnd w:id="33"/>
    <w:bookmarkStart w:id="34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Test planning, RTM ownership, reporting, quality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 case design, PBT/UT/IT/E2E-API authoring &amp;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Acceptance criteria clarification, UAT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Implement per TDD checklist, fix defects, keep tests green (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+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CI pipeline for automated test execution</w:t>
            </w:r>
          </w:p>
        </w:tc>
      </w:tr>
    </w:tbl>
    <w:p>
      <w:pPr>
        <w:pStyle w:val="BodyText"/>
      </w:pPr>
      <w:r>
        <w:t xml:space="preserve">Tools: test management (this STC + TEST-REPORT.csv), bug tracking (Jira), automation (vitest/jest + fast-check + better-sqlite3).</w:t>
      </w:r>
    </w:p>
    <w:bookmarkEnd w:id="34"/>
    <w:bookmarkStart w:id="35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Hidden tool not discoverable due to weak embedding 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Keep full vector ingestion; test find_tools with threshold 0.3 + rephrase (E2E-API-04).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tracking adds latency / contention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Non-blocking best-effort UPSERT; micro-benchmark asserts &lt; 5 ms p95 (TC covered under E2E-API perf).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Double counting in dynamic path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 no_double_count test (E2E-API-10) + IT-03 asserting distinct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Misconfigured CORE_TOOLS crashes startup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PBT/UT prove resolver never throws; EF fallbacks tested (UT-02/04/05).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Regression on previously-working tool calls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Regression coverage via direct CallTool + execute_dynamic_tool E2E (BR-16).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Visibility mistaken for access control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Security test confirms hidden tools remain callable; documented as non-boundary (TDD �7.1).</w:t>
            </w:r>
          </w:p>
        </w:tc>
      </w:tr>
    </w:tbl>
    <w:bookmarkEnd w:id="35"/>
    <w:bookmarkStart w:id="39" w:name="defect-management"/>
    <w:p>
      <w:pPr>
        <w:pStyle w:val="2"/>
      </w:pPr>
      <w:r>
        <w:t xml:space="preserve">8. Defect Management</w:t>
      </w:r>
    </w:p>
    <w:bookmarkStart w:id="36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 (this 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Server crash / all tool calls broken / data loss</w:t>
            </w:r>
          </w:p>
        </w:tc>
        <w:tc>
          <w:tcPr/>
          <w:p>
            <w:pPr>
              <w:pStyle w:val="Compact"/>
            </w:pPr>
            <w:r>
              <w:t xml:space="preserve">Startup crash on bad CORE_TOOLS; every CallTool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  <w:tc>
          <w:tcPr/>
          <w:p>
            <w:pPr>
              <w:pStyle w:val="Compact"/>
            </w:pPr>
            <w:r>
              <w:t xml:space="preserve">ListTools returns full set; usage never increments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Non-blocking incorrectness</w:t>
            </w:r>
          </w:p>
        </w:tc>
        <w:tc>
          <w:tcPr/>
          <w:p>
            <w:pPr>
              <w:pStyle w:val="Compact"/>
            </w:pPr>
            <w:r>
              <w:t xml:space="preserve">Wrapper row not counted; ordering wrong in read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Cosmetic / log wording</w:t>
            </w:r>
          </w:p>
        </w:tc>
        <w:tc>
          <w:tcPr/>
          <w:p>
            <w:pPr>
              <w:pStyle w:val="Compact"/>
            </w:pPr>
            <w:r>
              <w:t xml:space="preserve">Warn message text mismatch</w:t>
            </w:r>
          </w:p>
        </w:tc>
      </w:tr>
    </w:tbl>
    <w:bookmarkEnd w:id="36"/>
    <w:bookmarkStart w:id="37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37"/>
    <w:bookmarkStart w:id="38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-&gt; Open -&gt; In Progress -&gt; Fixed -&gt; Ready for Retest -&gt; Verified -&gt; Closed</w:t>
      </w:r>
      <w:r>
        <w:br/>
      </w:r>
      <w:r>
        <w:rPr>
          <w:rStyle w:val="VerbatimChar"/>
        </w:rPr>
        <w:t xml:space="preserve">                                                        -&gt; Reopened -&gt; In Progress</w:t>
      </w:r>
    </w:p>
    <w:p>
      <w:pPr>
        <w:pStyle w:val="FirstParagraph"/>
      </w:pPr>
      <w:r>
        <w:t xml:space="preserve">SLA: Critical=P1, Major=P2, Minor=P3, Trivial=P4.</w:t>
      </w:r>
    </w:p>
    <w:bookmarkEnd w:id="38"/>
    <w:bookmarkEnd w:id="39"/>
    <w:bookmarkStart w:id="42" w:name="test-metrics-reporting"/>
    <w:p>
      <w:pPr>
        <w:pStyle w:val="2"/>
      </w:pPr>
      <w:r>
        <w:t xml:space="preserve">9. Test Metrics &amp; Reporting</w:t>
      </w:r>
    </w:p>
    <w:bookmarkStart w:id="40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x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x 100%</w:t>
            </w:r>
          </w:p>
        </w:tc>
        <w:tc>
          <w:tcPr/>
          <w:p>
            <w:pPr>
              <w:pStyle w:val="Compact"/>
            </w:pPr>
            <w:r>
              <w:t xml:space="preserve">&gt;=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&lt;=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 Coverage</w:t>
            </w:r>
          </w:p>
        </w:tc>
        <w:tc>
          <w:tcPr/>
          <w:p>
            <w:pPr>
              <w:pStyle w:val="Compact"/>
            </w:pPr>
            <w:r>
              <w:t xml:space="preserve">Requirements with &gt;= 1 test / Total requirements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 (new code)</w:t>
            </w:r>
          </w:p>
        </w:tc>
        <w:tc>
          <w:tcPr/>
          <w:p>
            <w:pPr>
              <w:pStyle w:val="Compact"/>
            </w:pPr>
            <w:r>
              <w:t xml:space="preserve">Covered branches / Total branches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Reduction</w:t>
            </w:r>
          </w:p>
        </w:tc>
        <w:tc>
          <w:tcPr/>
          <w:p>
            <w:pPr>
              <w:pStyle w:val="Compact"/>
            </w:pPr>
            <w:r>
              <w:t xml:space="preserve">1 - (CORE payload bytes / full payload bytes)</w:t>
            </w:r>
          </w:p>
        </w:tc>
        <w:tc>
          <w:tcPr/>
          <w:p>
            <w:pPr>
              <w:pStyle w:val="Compact"/>
            </w:pPr>
            <w:r>
              <w:t xml:space="preserve">&gt;= 70%</w:t>
            </w:r>
          </w:p>
        </w:tc>
      </w:tr>
    </w:tbl>
    <w:bookmarkEnd w:id="40"/>
    <w:bookmarkStart w:id="41" w:name="reporting"/>
    <w:p>
      <w:pPr>
        <w:pStyle w:val="3"/>
      </w:pPr>
      <w:r>
        <w:t xml:space="preserve">9.2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status (TEST-REPORT.csv)</w:t>
            </w:r>
          </w:p>
        </w:tc>
        <w:tc>
          <w:tcPr/>
          <w:p>
            <w:pPr>
              <w:pStyle w:val="Compact"/>
            </w:pP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Daily during execution</w:t>
            </w:r>
          </w:p>
        </w:tc>
        <w:tc>
          <w:tcPr/>
          <w:p>
            <w:pPr>
              <w:pStyle w:val="Compact"/>
            </w:pPr>
            <w:r>
              <w:t xml:space="preserve">Dev team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 (TEST-REPORT.md)</w:t>
            </w:r>
          </w:p>
        </w:tc>
        <w:tc>
          <w:tcPr/>
          <w:p>
            <w:pPr>
              <w:pStyle w:val="Compact"/>
            </w:pPr>
            <w:r>
              <w:t xml:space="preserve">End of cycle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</w:tbl>
    <w:bookmarkEnd w:id="41"/>
    <w:bookmarkEnd w:id="42"/>
    <w:bookmarkStart w:id="50" w:name="appendix"/>
    <w:p>
      <w:pPr>
        <w:pStyle w:val="2"/>
      </w:pPr>
      <w:r>
        <w:t xml:space="preserve">10. Appendix</w:t>
      </w:r>
    </w:p>
    <w:bookmarkStart w:id="43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/ EXTENDED tier</w:t>
            </w:r>
          </w:p>
        </w:tc>
        <w:tc>
          <w:tcPr/>
          <w:p>
            <w:pPr>
              <w:pStyle w:val="Compact"/>
            </w:pPr>
            <w:r>
              <w:t xml:space="preserve">Visible allowlisted tools vs hidden-but-callable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/ IT</w:t>
            </w:r>
          </w:p>
        </w:tc>
        <w:tc>
          <w:tcPr/>
          <w:p>
            <w:pPr>
              <w:pStyle w:val="Compact"/>
            </w:pPr>
            <w:r>
              <w:t xml:space="preserve">Unit Test / Integration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End-to-end MCP JSON-RPC test against a running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System Integration Testing (manual exploratory)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UPSERT</w:t>
            </w:r>
          </w:p>
        </w:tc>
        <w:tc>
          <w:tcPr/>
          <w:p>
            <w:pPr>
              <w:pStyle w:val="Compact"/>
            </w:pPr>
            <w:r>
              <w:t xml:space="preserve">Insert-or-update SQLite operation for the usage counter</w:t>
            </w:r>
          </w:p>
        </w:tc>
      </w:tr>
    </w:tbl>
    <w:bookmarkEnd w:id="43"/>
    <w:bookmarkStart w:id="44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 </w:t>
      </w:r>
      <w:r>
        <w:t xml:space="preserve">pattern is reliable (per tool-usage-dynamic.md).</w:t>
      </w:r>
    </w:p>
    <w:p>
      <w:pPr>
        <w:pStyle w:val="Compact"/>
        <w:numPr>
          <w:ilvl w:val="0"/>
          <w:numId w:val="1002"/>
        </w:numPr>
      </w:pPr>
      <w:r>
        <w:t xml:space="preserve">All ~60 tools are ingested into</w:t>
      </w:r>
      <w:r>
        <w:t xml:space="preserve"> </w:t>
      </w:r>
      <w:r>
        <w:rPr>
          <w:rStyle w:val="VerbatimChar"/>
        </w:rPr>
        <w:t xml:space="preserve">mcp_tools</w:t>
      </w:r>
      <w:r>
        <w:t xml:space="preserve"> </w:t>
      </w:r>
      <w:r>
        <w:t xml:space="preserve">at startup (BR-13, unchanged).</w:t>
      </w:r>
    </w:p>
    <w:p>
      <w:pPr>
        <w:pStyle w:val="Compact"/>
        <w:numPr>
          <w:ilvl w:val="0"/>
          <w:numId w:val="1002"/>
        </w:numPr>
      </w:pPr>
      <w:r>
        <w:t xml:space="preserve">The confirmed 8-tool CORE set covers high-frequency operations.</w:t>
      </w:r>
    </w:p>
    <w:bookmarkEnd w:id="44"/>
    <w:bookmarkStart w:id="4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Matrix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9"/>
    <w:bookmarkEnd w:id="50"/>
    <w:bookmarkEnd w:id="5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diagrams/test-coverage.drawio" TargetMode="External" /><Relationship Type="http://schemas.openxmlformats.org/officeDocument/2006/relationships/hyperlink" Id="rId45" Target="diagrams/test-coverage.png" TargetMode="External" /><Relationship Type="http://schemas.openxmlformats.org/officeDocument/2006/relationships/hyperlink" Id="rId48" Target="diagrams/test-execution-flow.drawio" TargetMode="External" /><Relationship Type="http://schemas.openxmlformats.org/officeDocument/2006/relationships/hyperlink" Id="rId47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test-coverage.drawio" TargetMode="External" /><Relationship Type="http://schemas.openxmlformats.org/officeDocument/2006/relationships/hyperlink" Id="rId45" Target="diagrams/test-coverage.png" TargetMode="External" /><Relationship Type="http://schemas.openxmlformats.org/officeDocument/2006/relationships/hyperlink" Id="rId48" Target="diagrams/test-execution-flow.drawio" TargetMode="External" /><Relationship Type="http://schemas.openxmlformats.org/officeDocument/2006/relationships/hyperlink" Id="rId47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2026-07-08T04:05:43Z</dcterms:created>
  <dcterms:modified xsi:type="dcterms:W3CDTF">2026-07-08T04:05:43Z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