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ecurity-assessment-report-design-phase"/>
    <w:p>
      <w:pPr>
        <w:pStyle w:val="Heading1"/>
      </w:pPr>
      <w:r>
        <w:t xml:space="preserve">🔒 Security Assessment Report — Design Phase</w:t>
      </w:r>
    </w:p>
    <w:bookmarkStart w:id="2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AI Chat Assistant (SA4E) — Slash Commands (Tier 1), SA4E-191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Design-phase security review of BRD.md, FSD.md, TDD.md (no source code yet)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Assessor</w:t>
            </w:r>
          </w:p>
        </w:tc>
        <w:tc>
          <w:p>
            <w:pPr>
              <w:pStyle w:val="Compact"/>
              <w:jc w:val="left"/>
            </w:pPr>
            <w:r>
              <w:t xml:space="preserve">Security Agent (static design 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Artifacts Reviewed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documents/SA4E-191/BRD.md, documents/SA4E-191/FSD.md, documents/SA4E-191/TDD.md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scope-methodology"/>
    <w:p>
      <w:pPr>
        <w:pStyle w:val="Heading2"/>
      </w:pPr>
      <w:r>
        <w:t xml:space="preserve">1. Scope &amp; Methodology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design-phase</w:t>
      </w:r>
      <w:r>
        <w:t xml:space="preserve"> </w:t>
      </w:r>
      <w:r>
        <w:t xml:space="preserve">(pre-implementation) security assessment. No source code was available; findings are derived from the Business Requirements Document (BRD), Functional Specification Document (FSD), and Technical Design Document (TDD) for SA4E-191. The review treats the three documents as the authoritative threat model and identifies security gaps that must be closed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implementation checklist (TDD §9) is executed.</w:t>
      </w:r>
    </w:p>
    <w:bookmarkStart w:id="21" w:name="reviewed-artifacts"/>
    <w:p>
      <w:pPr>
        <w:pStyle w:val="Heading3"/>
      </w:pPr>
      <w:r>
        <w:t xml:space="preserve">1.1 Reviewed Artifacts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BRD.md</w:t>
      </w:r>
      <w:r>
        <w:t xml:space="preserve"> </w:t>
      </w:r>
      <w:r>
        <w:t xml:space="preserve">— business scope, 7 commands, owner-only requirement (§2.3 US-06/US-07), dependencies SA4E-182/183/186 (§3), NFR-03 security (§6).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FSD.md</w:t>
      </w:r>
      <w:r>
        <w:t xml:space="preserve"> </w:t>
      </w:r>
      <w:r>
        <w:t xml:space="preserve">— functional API contracts per command (§3.x.7), consolidated business rules BR-1..BR-7 (§3.8), technical integration (§5.4), security requirements (§7), audit trail (§7.3).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TDD.md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CommandRegistry.dispatch</w:t>
      </w:r>
      <w:r>
        <w:t xml:space="preserve"> </w:t>
      </w:r>
      <w:r>
        <w:t xml:space="preserve">(§2.3),</w:t>
      </w:r>
      <w:r>
        <w:t xml:space="preserve"> </w:t>
      </w:r>
      <w:r>
        <w:rPr>
          <w:rStyle w:val="VerbatimChar"/>
        </w:rPr>
        <w:t xml:space="preserve">ChatSessionSnapshot</w:t>
      </w:r>
      <w:r>
        <w:t xml:space="preserve"> </w:t>
      </w:r>
      <w:r>
        <w:t xml:space="preserve">(§2.1), adapter contracts (§6.1), handler pseudocode (§6.3–6.5), module/file map (§3.1, §9), backend</w:t>
      </w:r>
      <w:r>
        <w:t xml:space="preserve"> </w:t>
      </w:r>
      <w:r>
        <w:rPr>
          <w:rStyle w:val="VerbatimChar"/>
        </w:rPr>
        <w:t xml:space="preserve">slash-command</w:t>
      </w:r>
      <w:r>
        <w:t xml:space="preserve"> </w:t>
      </w:r>
      <w:r>
        <w:t xml:space="preserve">module (§3.1 #20).</w:t>
      </w:r>
    </w:p>
    <w:bookmarkEnd w:id="21"/>
    <w:bookmarkStart w:id="22" w:name="owasp-top-10-2021-mapping-approach"/>
    <w:p>
      <w:pPr>
        <w:pStyle w:val="Heading3"/>
      </w:pPr>
      <w:r>
        <w:t xml:space="preserve">1.2 OWASP Top 10 (2021) Mapping Approach</w:t>
      </w:r>
    </w:p>
    <w:p>
      <w:pPr>
        <w:pStyle w:val="FirstParagraph"/>
      </w:pPr>
      <w:r>
        <w:t xml:space="preserve">Each design element was mapped against the OWASP categories:</w:t>
      </w:r>
      <w:r>
        <w:t xml:space="preserve"> </w:t>
      </w:r>
      <w:r>
        <w:rPr>
          <w:bCs/>
          <w:b/>
        </w:rPr>
        <w:t xml:space="preserve">A01 Broken Access Control</w:t>
      </w:r>
      <w:r>
        <w:t xml:space="preserve"> </w:t>
      </w:r>
      <w:r>
        <w:t xml:space="preserve">(owner-only, IDOR, backend endpoints),</w:t>
      </w:r>
      <w:r>
        <w:t xml:space="preserve"> </w:t>
      </w:r>
      <w:r>
        <w:rPr>
          <w:bCs/>
          <w:b/>
        </w:rPr>
        <w:t xml:space="preserve">A03 Injection</w:t>
      </w:r>
      <w:r>
        <w:t xml:space="preserve"> </w:t>
      </w:r>
      <w:r>
        <w:t xml:space="preserve">(argument/command injection, prompt injection),</w:t>
      </w:r>
      <w:r>
        <w:t xml:space="preserve"> </w:t>
      </w:r>
      <w:r>
        <w:rPr>
          <w:bCs/>
          <w:b/>
        </w:rPr>
        <w:t xml:space="preserve">A04 Insecure Design</w:t>
      </w:r>
      <w:r>
        <w:t xml:space="preserve"> </w:t>
      </w:r>
      <w:r>
        <w:t xml:space="preserve">(missing trust boundaries, abuse/cost controls),</w:t>
      </w:r>
      <w:r>
        <w:t xml:space="preserve"> </w:t>
      </w:r>
      <w:r>
        <w:rPr>
          <w:bCs/>
          <w:b/>
        </w:rPr>
        <w:t xml:space="preserve">A05 Security Misconfiguration</w:t>
      </w:r>
      <w:r>
        <w:t xml:space="preserve"> </w:t>
      </w:r>
      <w:r>
        <w:t xml:space="preserve">(backend endpoint hardening),</w:t>
      </w:r>
      <w:r>
        <w:t xml:space="preserve"> </w:t>
      </w:r>
      <w:r>
        <w:rPr>
          <w:bCs/>
          <w:b/>
        </w:rPr>
        <w:t xml:space="preserve">A08 Software &amp; Data Integrity Failures</w:t>
      </w:r>
      <w:r>
        <w:t xml:space="preserve"> </w:t>
      </w:r>
      <w:r>
        <w:t xml:space="preserve">(dependency trust, audit integrity),</w:t>
      </w:r>
      <w:r>
        <w:t xml:space="preserve"> </w:t>
      </w:r>
      <w:r>
        <w:rPr>
          <w:bCs/>
          <w:b/>
        </w:rPr>
        <w:t xml:space="preserve">A09 Logging &amp; Monitoring Failures</w:t>
      </w:r>
      <w:r>
        <w:t xml:space="preserve"> </w:t>
      </w:r>
      <w:r>
        <w:t xml:space="preserve">(PII/secret leakage, tamperability). Categories not triggered (A02 crypto, A06 components, A07 auth, A10 SSRF) are noted as</w:t>
      </w:r>
      <w:r>
        <w:t xml:space="preserve"> </w:t>
      </w:r>
      <w:r>
        <w:t xml:space="preserve">“</w:t>
      </w:r>
      <w:r>
        <w:t xml:space="preserve">not applicable at design stage</w:t>
      </w:r>
      <w:r>
        <w:t xml:space="preserve">”</w:t>
      </w:r>
      <w:r>
        <w:t xml:space="preserve"> </w:t>
      </w:r>
      <w:r>
        <w:t xml:space="preserve">where relevant.</w:t>
      </w:r>
    </w:p>
    <w:bookmarkEnd w:id="22"/>
    <w:bookmarkStart w:id="23" w:name="threat-context"/>
    <w:p>
      <w:pPr>
        <w:pStyle w:val="Heading3"/>
      </w:pPr>
      <w:r>
        <w:t xml:space="preserve">1.3 Threat Context</w:t>
      </w:r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Cs/>
          <w:b/>
        </w:rPr>
        <w:t xml:space="preserve">AI chat assistant</w:t>
      </w:r>
      <w:r>
        <w:t xml:space="preserve"> </w:t>
      </w:r>
      <w:r>
        <w:t xml:space="preserve">running inside a VS Code extension webview with a Node/TS backend (TDD §1.1). It provides a command surface that (a) mutates</w:t>
      </w:r>
      <w:r>
        <w:t xml:space="preserve"> </w:t>
      </w:r>
      <w:r>
        <w:rPr>
          <w:bCs/>
          <w:b/>
        </w:rPr>
        <w:t xml:space="preserve">session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/agents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), (b) reads and reverts</w:t>
      </w:r>
      <w:r>
        <w:t xml:space="preserve"> </w:t>
      </w:r>
      <w:r>
        <w:rPr>
          <w:bCs/>
          <w:b/>
        </w:rPr>
        <w:t xml:space="preserve">files on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/diff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), and (c) spawns</w:t>
      </w:r>
      <w:r>
        <w:t xml:space="preserve"> </w:t>
      </w:r>
      <w:r>
        <w:rPr>
          <w:bCs/>
          <w:b/>
        </w:rPr>
        <w:t xml:space="preserve">LLM-powered 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/review</w:t>
      </w:r>
      <w:r>
        <w:t xml:space="preserve">). The feature consumes three external engines (SA4E-182 compaction, SA4E-183 file-change tracking, SA4E-186 agent routing) and persists audit events to a backend. The combination of</w:t>
      </w:r>
      <w:r>
        <w:t xml:space="preserve"> </w:t>
      </w:r>
      <w:r>
        <w:rPr>
          <w:bCs/>
          <w:b/>
        </w:rPr>
        <w:t xml:space="preserve">file write</w:t>
      </w:r>
      <w:r>
        <w:t xml:space="preserve">,</w:t>
      </w:r>
      <w:r>
        <w:t xml:space="preserve"> </w:t>
      </w:r>
      <w:r>
        <w:rPr>
          <w:bCs/>
          <w:b/>
        </w:rPr>
        <w:t xml:space="preserve">arbitrary engine invocation</w:t>
      </w:r>
      <w:r>
        <w:t xml:space="preserve">, and</w:t>
      </w:r>
      <w:r>
        <w:t xml:space="preserve"> </w:t>
      </w:r>
      <w:r>
        <w:rPr>
          <w:bCs/>
          <w:b/>
        </w:rPr>
        <w:t xml:space="preserve">client-held identity</w:t>
      </w:r>
      <w:r>
        <w:t xml:space="preserve"> </w:t>
      </w:r>
      <w:r>
        <w:t xml:space="preserve">makes the trust-boundary placement the central security question of this design.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curity-relevant-system-summary"/>
    <w:p>
      <w:pPr>
        <w:pStyle w:val="Heading2"/>
      </w:pPr>
      <w:r>
        <w:t xml:space="preserve">2. Security-Relevant System Summary</w:t>
      </w:r>
    </w:p>
    <w:p>
      <w:pPr>
        <w:pStyle w:val="FirstParagraph"/>
      </w:pPr>
      <w:r>
        <w:rPr>
          <w:bCs/>
          <w:b/>
        </w:rPr>
        <w:t xml:space="preserve">Authentication / Session.</w:t>
      </w:r>
      <w:r>
        <w:t xml:space="preserve"> </w:t>
      </w:r>
      <w:r>
        <w:t xml:space="preserve">An authenticated session is assumed pre-existing (BRD §1.3). Identity is modeled as</w:t>
      </w:r>
      <w:r>
        <w:t xml:space="preserve"> </w:t>
      </w:r>
      <w:r>
        <w:rPr>
          <w:rStyle w:val="VerbatimChar"/>
        </w:rPr>
        <w:t xml:space="preserve">ChatSessionSnapshot { id, userId, ownerId, activeAgentId, activeModelId, contextRef, historyRef }</w:t>
      </w:r>
      <w:r>
        <w:t xml:space="preserve"> </w:t>
      </w:r>
      <w:r>
        <w:t xml:space="preserve">(TDD §2.1), held in a</w:t>
      </w:r>
      <w:r>
        <w:t xml:space="preserve"> </w:t>
      </w:r>
      <w:r>
        <w:rPr>
          <w:bCs/>
          <w:b/>
        </w:rPr>
        <w:t xml:space="preserve">client-side Svelte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sessionStore</w:t>
      </w:r>
      <w:r>
        <w:t xml:space="preserve"> </w:t>
      </w:r>
      <w:r>
        <w:t xml:space="preserve">(TDD §3.1, §5.1). There is no server-side session object owned by the slash-command feature itself.</w:t>
      </w:r>
    </w:p>
    <w:p>
      <w:pPr>
        <w:pStyle w:val="BodyText"/>
      </w:pPr>
      <w:r>
        <w:rPr>
          <w:bCs/>
          <w:b/>
        </w:rPr>
        <w:t xml:space="preserve">Command Dispatch.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CommandRegistry.dispatch(ctx)</w:t>
      </w:r>
      <w:r>
        <w:t xml:space="preserve"> </w:t>
      </w:r>
      <w:r>
        <w:t xml:space="preserve">(TDD §2.3) centralizes cross-cutting controls: owner-only check (</w:t>
      </w:r>
      <w:r>
        <w:rPr>
          <w:rStyle w:val="VerbatimChar"/>
        </w:rPr>
        <w:t xml:space="preserve">descriptor.requiresOwner &amp;&amp; ctx.session.userId !== ctx.session.ownerId</w:t>
      </w:r>
      <w:r>
        <w:t xml:space="preserve">), token-bucket rate limit (20/min/session), timeout, circuit breaker, and audit. All 7 handlers implement</w:t>
      </w:r>
      <w:r>
        <w:t xml:space="preserve"> </w:t>
      </w:r>
      <w:r>
        <w:rPr>
          <w:rStyle w:val="VerbatimChar"/>
        </w:rPr>
        <w:t xml:space="preserve">CommandHandler.execute(ctx)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Owner-Only Commands.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are registered with</w:t>
      </w:r>
      <w:r>
        <w:t xml:space="preserve"> </w:t>
      </w:r>
      <w:r>
        <w:rPr>
          <w:rStyle w:val="VerbatimChar"/>
        </w:rPr>
        <w:t xml:space="preserve">requiresOwner: true</w:t>
      </w:r>
      <w:r>
        <w:t xml:space="preserve"> </w:t>
      </w:r>
      <w:r>
        <w:t xml:space="preserve">(FSD §3.6.7, §3.7.7; TDD §2.1). The check is performed</w:t>
      </w:r>
      <w:r>
        <w:t xml:space="preserve"> </w:t>
      </w:r>
      <w:r>
        <w:rPr>
          <w:bCs/>
          <w:b/>
        </w:rPr>
        <w:t xml:space="preserve">in the webview dispatch</w:t>
      </w:r>
      <w:r>
        <w:t xml:space="preserve">; the UI also greys out the entries for non-owners. These commands perform the most sensitive actions: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streams source diffs to an LLM agent;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t xml:space="preserve">can</w:t>
      </w:r>
      <w:r>
        <w:t xml:space="preserve"> </w:t>
      </w:r>
      <w:r>
        <w:rPr>
          <w:bCs/>
          <w:b/>
        </w:rPr>
        <w:t xml:space="preserve">revert files on disk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Audit Logging.</w:t>
      </w:r>
      <w:r>
        <w:t xml:space="preserve"> </w:t>
      </w:r>
      <w:r>
        <w:t xml:space="preserve">One structured event per invocation is emitted from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and handlers (FSD §3.9) and bridged via</w:t>
      </w:r>
      <w:r>
        <w:t xml:space="preserve"> </w:t>
      </w:r>
      <w:r>
        <w:rPr>
          <w:rStyle w:val="VerbatimChar"/>
        </w:rPr>
        <w:t xml:space="preserve">slash:audit</w:t>
      </w:r>
      <w:r>
        <w:t xml:space="preserve"> </w:t>
      </w:r>
      <w:r>
        <w:t xml:space="preserve">to a backend module that</w:t>
      </w:r>
      <w:r>
        <w:t xml:space="preserve"> </w:t>
      </w:r>
      <w:r>
        <w:t xml:space="preserve">“</w:t>
      </w:r>
      <w:r>
        <w:t xml:space="preserve">persists audit</w:t>
      </w:r>
      <w:r>
        <w:t xml:space="preserve">”</w:t>
      </w:r>
      <w:r>
        <w:t xml:space="preserve"> </w:t>
      </w:r>
      <w:r>
        <w:t xml:space="preserve">(TDD §3.1 #20). Retention is 90 days (FSD §7.3, §8). Logged fields per spec:</w:t>
      </w:r>
      <w:r>
        <w:t xml:space="preserve"> </w:t>
      </w:r>
      <w:r>
        <w:rPr>
          <w:rStyle w:val="VerbatimChar"/>
        </w:rPr>
        <w:t xml:space="preserve">event, userId, command, ts, target, status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Integrations (trust boundaries).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SA4E-186 (Agent Runtime Routing):</w:t>
      </w:r>
      <w:r>
        <w:t xml:space="preserve"> </w:t>
      </w:r>
      <w:r>
        <w:t xml:space="preserve">supplies</w:t>
      </w:r>
      <w:r>
        <w:t xml:space="preserve"> </w:t>
      </w:r>
      <w:r>
        <w:rPr>
          <w:rStyle w:val="VerbatimChar"/>
        </w:rPr>
        <w:t xml:space="preserve">availableAgents</w:t>
      </w:r>
      <w:r>
        <w:t xml:space="preserve"> </w:t>
      </w:r>
      <w:r>
        <w:t xml:space="preserve">and resolves</w:t>
      </w:r>
      <w:r>
        <w:t xml:space="preserve"> </w:t>
      </w:r>
      <w:r>
        <w:rPr>
          <w:rStyle w:val="VerbatimChar"/>
        </w:rPr>
        <w:t xml:space="preserve">review_agent</w:t>
      </w:r>
      <w:r>
        <w:t xml:space="preserve">; called by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SA4E-182 (Compaction):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compactedSummaryRef</w:t>
      </w:r>
      <w:r>
        <w:t xml:space="preserve"> </w:t>
      </w:r>
      <w:r>
        <w:t xml:space="preserve">+ summary content; called by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SA4E-183 (File Change Tracking):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DiffEntry[]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filePath</w:t>
      </w:r>
      <w:r>
        <w:t xml:space="preserve">, hashes, status) and accepts</w:t>
      </w:r>
      <w:r>
        <w:t xml:space="preserve"> </w:t>
      </w:r>
      <w:r>
        <w:rPr>
          <w:rStyle w:val="VerbatimChar"/>
        </w:rPr>
        <w:t xml:space="preserve">revert(entry)</w:t>
      </w:r>
      <w:r>
        <w:t xml:space="preserve">; called by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Transport.</w:t>
      </w:r>
      <w:r>
        <w:t xml:space="preserve"> </w:t>
      </w:r>
      <w:r>
        <w:t xml:space="preserve">All engine calls are</w:t>
      </w:r>
      <w:r>
        <w:t xml:space="preserve"> </w:t>
      </w:r>
      <w:r>
        <w:t xml:space="preserve">“</w:t>
      </w:r>
      <w:r>
        <w:t xml:space="preserve">in-process</w:t>
      </w:r>
      <w:r>
        <w:t xml:space="preserve">”</w:t>
      </w:r>
      <w:r>
        <w:t xml:space="preserve"> </w:t>
      </w:r>
      <w:r>
        <w:t xml:space="preserve">(FSD §5.4, TDD §6.1) Webview →</w:t>
      </w:r>
      <w:r>
        <w:t xml:space="preserve"> </w:t>
      </w:r>
      <w:r>
        <w:rPr>
          <w:rStyle w:val="VerbatimChar"/>
        </w:rPr>
        <w:t xml:space="preserve">MessageBridge.request(slash:*)</w:t>
      </w:r>
      <w:r>
        <w:t xml:space="preserve"> </w:t>
      </w:r>
      <w:r>
        <w:t xml:space="preserve">→ Extension Host → backend</w:t>
      </w:r>
      <w:r>
        <w:t xml:space="preserve"> </w:t>
      </w:r>
      <w:r>
        <w:rPr>
          <w:rStyle w:val="VerbatimChar"/>
        </w:rPr>
        <w:t xml:space="preserve">slash-command</w:t>
      </w:r>
      <w:r>
        <w:t xml:space="preserve"> </w:t>
      </w:r>
      <w:r>
        <w:t xml:space="preserve">module → engine. The backend module is described as exposing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endpoints (TDD §3.1), but its authentication/authorization contract is unspecified.</w:t>
      </w:r>
    </w:p>
    <w:p>
      <w:r>
        <w:pict>
          <v:rect style="width:0;height:1.5pt" o:hralign="center" o:hrstd="t" o:hr="t"/>
        </w:pict>
      </w:r>
    </w:p>
    <w:bookmarkEnd w:id="25"/>
    <w:bookmarkStart w:id="28" w:name="threat-model"/>
    <w:p>
      <w:pPr>
        <w:pStyle w:val="Heading2"/>
      </w:pPr>
      <w:r>
        <w:t xml:space="preserve">3. Threat Model</w:t>
      </w:r>
    </w:p>
    <w:bookmarkStart w:id="26" w:name="attacker-profiles"/>
    <w:p>
      <w:pPr>
        <w:pStyle w:val="Heading3"/>
      </w:pPr>
      <w:r>
        <w:t xml:space="preserve">Attacker Profiles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Malicious authenticated chat user (non-owner).</w:t>
      </w:r>
      <w:r>
        <w:t xml:space="preserve"> </w:t>
      </w:r>
      <w:r>
        <w:t xml:space="preserve">Goal: invoke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/</w:t>
      </w:r>
      <w:r>
        <w:rPr>
          <w:rStyle w:val="VerbatimChar"/>
        </w:rPr>
        <w:t xml:space="preserve">/undo</w:t>
      </w:r>
      <w:r>
        <w:t xml:space="preserve">, read other users’ source via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, or revert files they should not control. Leverages any gap where owner enforcement is bypassable or where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/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is attacker-influenced (IDOR).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Compromised / tampering webview client.</w:t>
      </w:r>
      <w:r>
        <w:t xml:space="preserve"> </w:t>
      </w:r>
      <w:r>
        <w:t xml:space="preserve">Because identity (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ownerId</w:t>
      </w:r>
      <w:r>
        <w:t xml:space="preserve">) and the owner check live in the client Svelte store, a modified client can set</w:t>
      </w:r>
      <w:r>
        <w:t xml:space="preserve"> </w:t>
      </w:r>
      <w:r>
        <w:rPr>
          <w:rStyle w:val="VerbatimChar"/>
        </w:rPr>
        <w:t xml:space="preserve">userId === ownerId</w:t>
      </w:r>
      <w:r>
        <w:t xml:space="preserve"> </w:t>
      </w:r>
      <w:r>
        <w:t xml:space="preserve">or forge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bridge messages to the backend, bypassing UI-level protection.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Compromised dependency (SA4E-182 / SA4E-183 / SA4E-186).</w:t>
      </w:r>
      <w:r>
        <w:t xml:space="preserve"> </w:t>
      </w:r>
      <w:r>
        <w:t xml:space="preserve">A malicious or buggy engine can return: a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with traversal/symlink (</w:t>
      </w:r>
      <w:r>
        <w:rPr>
          <w:rStyle w:val="VerbatimChar"/>
        </w:rPr>
        <w:t xml:space="preserve">/diff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), a poisoned compaction summary (prompt injection into future LLM turns), a malicious/forged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id, or suppress/forge audit events.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/ cross-origin caller (if backend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slash:*</w:t>
      </w:r>
      <w:r>
        <w:rPr>
          <w:bCs/>
          <w:b/>
        </w:rPr>
        <w:t xml:space="preserve"> </w:t>
      </w:r>
      <w:r>
        <w:rPr>
          <w:bCs/>
          <w:b/>
        </w:rPr>
        <w:t xml:space="preserve">endpoints are network-reachable).</w:t>
      </w:r>
      <w:r>
        <w:t xml:space="preserve"> </w:t>
      </w:r>
      <w:r>
        <w:t xml:space="preserve">Could issue forged commands (CSRF / missing authn) if backend does not re-establish the principal from a server-side session.</w:t>
      </w:r>
    </w:p>
    <w:bookmarkEnd w:id="26"/>
    <w:bookmarkStart w:id="27" w:name="trust-boundary-gaps-design-level"/>
    <w:p>
      <w:pPr>
        <w:pStyle w:val="Heading3"/>
      </w:pPr>
      <w:r>
        <w:t xml:space="preserve">Trust Boundary Gaps (design-level)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TB-1:</w:t>
      </w:r>
      <w:r>
        <w:t xml:space="preserve"> </w:t>
      </w:r>
      <w:r>
        <w:t xml:space="preserve">Identity is asserted by the client, not derived from an authenticated server principal.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TB-2:</w:t>
      </w:r>
      <w:r>
        <w:t xml:space="preserve"> </w:t>
      </w:r>
      <w:r>
        <w:t xml:space="preserve">Engine outputs (SA4E-182/183/186) are consumed without validation/sandboxing.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TB-3:</w:t>
      </w:r>
      <w:r>
        <w:t xml:space="preserve"> </w:t>
      </w:r>
      <w:r>
        <w:t xml:space="preserve">File-system operations use externally-supplied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without canonicalization.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TB-4:</w:t>
      </w:r>
      <w:r>
        <w:t xml:space="preserve"> </w:t>
      </w:r>
      <w:r>
        <w:t xml:space="preserve">Audit is client-emitted and its integrity/secret-handling is unspecified.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findings"/>
    <w:p>
      <w:pPr>
        <w:pStyle w:val="Heading2"/>
      </w:pPr>
      <w:r>
        <w:t xml:space="preserve">4. Findings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02"/>
        <w:gridCol w:w="880"/>
        <w:gridCol w:w="2011"/>
        <w:gridCol w:w="1257"/>
        <w:gridCol w:w="326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OWASP Category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Affected Design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p>
            <w:pPr>
              <w:pStyle w:val="Compact"/>
              <w:jc w:val="left"/>
            </w:pPr>
            <w:r>
              <w:t xml:space="preserve">Owner-only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enforced only in webview, not server-side</w:t>
            </w:r>
          </w:p>
        </w:tc>
        <w:tc>
          <w:p>
            <w:pPr>
              <w:pStyle w:val="Compact"/>
              <w:jc w:val="left"/>
            </w:pPr>
            <w:r>
              <w:t xml:space="preserve">A01 Broken 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TDD §2.3 dispatch; FSD §3.6.7/§3.7.7; TDD §3.1 #20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p>
            <w:pPr>
              <w:pStyle w:val="Compact"/>
              <w:jc w:val="left"/>
            </w:pPr>
            <w:r>
              <w:t xml:space="preserve">Command/argument injection via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/agents</w:t>
            </w:r>
            <w:r>
              <w:t xml:space="preserve"> </w:t>
            </w:r>
            <w:r>
              <w:t xml:space="preserve">args</w:t>
            </w:r>
          </w:p>
        </w:tc>
        <w:tc>
          <w:p>
            <w:pPr>
              <w:pStyle w:val="Compact"/>
              <w:jc w:val="left"/>
            </w:pPr>
            <w:r>
              <w:t xml:space="preserve">A03 Injection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TDD §6.4 (</w:t>
            </w:r>
            <w:r>
              <w:rPr>
                <w:rStyle w:val="VerbatimChar"/>
              </w:rPr>
              <w:t xml:space="preserve">branchName</w:t>
            </w:r>
            <w:r>
              <w:t xml:space="preserve">→</w:t>
            </w:r>
            <w:r>
              <w:rPr>
                <w:rStyle w:val="VerbatimChar"/>
              </w:rPr>
              <w:t xml:space="preserve">VCS.getBranchDiff</w:t>
            </w:r>
            <w:r>
              <w:t xml:space="preserve">); FSD §3.6.4; TDD §4.2 AgentsCommand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p>
            <w:pPr>
              <w:pStyle w:val="Compact"/>
              <w:jc w:val="left"/>
            </w:pPr>
            <w:r>
              <w:t xml:space="preserve">Insecure file operations: path traversal / symlink in</w:t>
            </w:r>
            <w:r>
              <w:t xml:space="preserve"> </w:t>
            </w:r>
            <w:r>
              <w:rPr>
                <w:rStyle w:val="VerbatimChar"/>
              </w:rPr>
              <w:t xml:space="preserve">/diff</w:t>
            </w:r>
            <w:r>
              <w:t xml:space="preserve"> </w:t>
            </w:r>
            <w:r>
              <w:t xml:space="preserve">read &amp;</w:t>
            </w:r>
            <w:r>
              <w:t xml:space="preserve"> </w:t>
            </w:r>
            <w:r>
              <w:rPr>
                <w:rStyle w:val="VerbatimChar"/>
              </w:rPr>
              <w:t xml:space="preserve">/undo</w:t>
            </w:r>
            <w:r>
              <w:t xml:space="preserve"> </w:t>
            </w:r>
            <w:r>
              <w:t xml:space="preserve">revert</w:t>
            </w:r>
          </w:p>
        </w:tc>
        <w:tc>
          <w:p>
            <w:pPr>
              <w:pStyle w:val="Compact"/>
              <w:jc w:val="left"/>
            </w:pPr>
            <w:r>
              <w:t xml:space="preserve">A01 / A03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§4.2 DiffEntry.filePath; TDD §6.5 revert; SA4E-183 contract §5.4.3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SEC-4</w:t>
            </w:r>
          </w:p>
        </w:tc>
        <w:tc>
          <w:p>
            <w:pPr>
              <w:pStyle w:val="Compact"/>
              <w:jc w:val="left"/>
            </w:pPr>
            <w:r>
              <w:t xml:space="preserve">Audit log integrity &amp; source/PII leakage in logs</w:t>
            </w:r>
          </w:p>
        </w:tc>
        <w:tc>
          <w:p>
            <w:pPr>
              <w:pStyle w:val="Compact"/>
              <w:jc w:val="left"/>
            </w:pPr>
            <w:r>
              <w:t xml:space="preserve">A09 / A08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§7.3, §3.9; TDD §3.1 #20; TDD §10.2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SEC-5</w:t>
            </w:r>
          </w:p>
        </w:tc>
        <w:tc>
          <w:p>
            <w:pPr>
              <w:pStyle w:val="Compact"/>
              <w:jc w:val="left"/>
            </w:pPr>
            <w:r>
              <w:t xml:space="preserve">Unvalidated outputs from SA4E-182/183/186 (dependency trust)</w:t>
            </w:r>
          </w:p>
        </w:tc>
        <w:tc>
          <w:p>
            <w:pPr>
              <w:pStyle w:val="Compact"/>
              <w:jc w:val="left"/>
            </w:pPr>
            <w:r>
              <w:t xml:space="preserve">A08 Software &amp; Data Integrity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§5.4; TDD §6.1 adapters; SA4E-186/182/183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SEC-6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slash:*</w:t>
            </w:r>
            <w:r>
              <w:t xml:space="preserve"> </w:t>
            </w:r>
            <w:r>
              <w:t xml:space="preserve">endpoints lack specified authn/authz &amp; CSRF protection</w:t>
            </w:r>
          </w:p>
        </w:tc>
        <w:tc>
          <w:p>
            <w:pPr>
              <w:pStyle w:val="Compact"/>
              <w:jc w:val="left"/>
            </w:pPr>
            <w:r>
              <w:t xml:space="preserve">A01 / A05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TDD §3.1 #20, §6.1; FSD §7.1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SEC-7</w:t>
            </w:r>
          </w:p>
        </w:tc>
        <w:tc>
          <w:p>
            <w:pPr>
              <w:pStyle w:val="Compact"/>
              <w:jc w:val="left"/>
            </w:pPr>
            <w:r>
              <w:t xml:space="preserve">Abuse / rate-limiting / LLM cost &amp; resource exhaustion</w:t>
            </w:r>
          </w:p>
        </w:tc>
        <w:tc>
          <w:p>
            <w:pPr>
              <w:pStyle w:val="Compact"/>
              <w:jc w:val="left"/>
            </w:pPr>
            <w:r>
              <w:t xml:space="preserve">A04 Insecure Design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§3.6.7/§3.2.7 rate limit; TDD §10.1 NFR-07-T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SEC-8</w:t>
            </w:r>
          </w:p>
        </w:tc>
        <w:tc>
          <w:p>
            <w:pPr>
              <w:pStyle w:val="Compact"/>
              <w:jc w:val="left"/>
            </w:pPr>
            <w:r>
              <w:t xml:space="preserve">Missing input schema validation / prototype-pollution &amp; mass-assignment</w:t>
            </w:r>
          </w:p>
        </w:tc>
        <w:tc>
          <w:p>
            <w:pPr>
              <w:pStyle w:val="Compact"/>
              <w:jc w:val="left"/>
            </w:pPr>
            <w:r>
              <w:t xml:space="preserve">A04 / A03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TDD §2.1</w:t>
            </w:r>
            <w:r>
              <w:t xml:space="preserve"> </w:t>
            </w:r>
            <w:r>
              <w:rPr>
                <w:rStyle w:val="VerbatimChar"/>
              </w:rPr>
              <w:t xml:space="preserve">args: Record&lt;string,unknown&gt;</w:t>
            </w:r>
            <w:r>
              <w:t xml:space="preserve">; FSD §3.x.4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SEC-9</w:t>
            </w:r>
          </w:p>
        </w:tc>
        <w:tc>
          <w:p>
            <w:pPr>
              <w:pStyle w:val="Compact"/>
              <w:jc w:val="left"/>
            </w:pPr>
            <w:r>
              <w:t xml:space="preserve">Error messages may leak internal detail to UI/logs</w:t>
            </w:r>
          </w:p>
        </w:tc>
        <w:tc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TDD §2.3</w:t>
            </w:r>
            <w:r>
              <w:t xml:space="preserve"> </w:t>
            </w:r>
            <w:r>
              <w:rPr>
                <w:rStyle w:val="VerbatimChar"/>
              </w:rPr>
              <w:t xml:space="preserve">fail(..., (err as Error).message)</w:t>
            </w:r>
            <w:r>
              <w:t xml:space="preserve">; FSD §3.9</w:t>
            </w:r>
          </w:p>
        </w:tc>
      </w:tr>
    </w:tbl>
    <w:bookmarkStart w:id="29" w:name="Xc9330a0994e848aceaec3a9c68964aacf6ea69d"/>
    <w:p>
      <w:pPr>
        <w:pStyle w:val="Heading3"/>
      </w:pPr>
      <w:r>
        <w:t xml:space="preserve">Finding SEC-1 — Owner-only not enforced server-side (Broken Access Control)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A01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requiresOwner</w:t>
      </w:r>
      <w:r>
        <w:t xml:space="preserve"> </w:t>
      </w:r>
      <w:r>
        <w:t xml:space="preserve">is checked inside</w:t>
      </w:r>
      <w:r>
        <w:t xml:space="preserve"> </w:t>
      </w:r>
      <w:r>
        <w:rPr>
          <w:rStyle w:val="VerbatimChar"/>
        </w:rPr>
        <w:t xml:space="preserve">CommandRegistry.dispatch</w:t>
      </w:r>
      <w:r>
        <w:t xml:space="preserve"> </w:t>
      </w:r>
      <w:r>
        <w:t xml:space="preserve">(TDD §2.3) using</w:t>
      </w:r>
      <w:r>
        <w:t xml:space="preserve"> </w:t>
      </w:r>
      <w:r>
        <w:rPr>
          <w:rStyle w:val="VerbatimChar"/>
        </w:rPr>
        <w:t xml:space="preserve">ctx.session.userId !== ctx.session.ownerId</w:t>
      </w:r>
      <w:r>
        <w:t xml:space="preserve">. Both values originate from the</w:t>
      </w:r>
      <w:r>
        <w:t xml:space="preserve"> </w:t>
      </w:r>
      <w:r>
        <w:rPr>
          <w:bCs/>
          <w:b/>
        </w:rPr>
        <w:t xml:space="preserve">client-side Svelte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sessionStore</w:t>
      </w:r>
      <w:r>
        <w:t xml:space="preserve"> </w:t>
      </w:r>
      <w:r>
        <w:t xml:space="preserve">(TDD §5.1). A tampering client can set them equal, or forge a</w:t>
      </w:r>
      <w:r>
        <w:t xml:space="preserve"> </w:t>
      </w:r>
      <w:r>
        <w:rPr>
          <w:rStyle w:val="VerbatimChar"/>
        </w:rPr>
        <w:t xml:space="preserve">slash:review</w:t>
      </w:r>
      <w:r>
        <w:t xml:space="preserve">/</w:t>
      </w:r>
      <w:r>
        <w:rPr>
          <w:rStyle w:val="VerbatimChar"/>
        </w:rPr>
        <w:t xml:space="preserve">slash:undo:revert</w:t>
      </w:r>
      <w:r>
        <w:t xml:space="preserve"> </w:t>
      </w:r>
      <w:r>
        <w:t xml:space="preserve">bridge message to the backend, passing the owner check. The backend</w:t>
      </w:r>
      <w:r>
        <w:t xml:space="preserve"> </w:t>
      </w:r>
      <w:r>
        <w:rPr>
          <w:rStyle w:val="VerbatimChar"/>
        </w:rPr>
        <w:t xml:space="preserve">slash-command</w:t>
      </w:r>
      <w:r>
        <w:t xml:space="preserve"> </w:t>
      </w:r>
      <w:r>
        <w:t xml:space="preserve">module (TDD §3.1 #20) is described only as a</w:t>
      </w:r>
      <w:r>
        <w:t xml:space="preserve"> </w:t>
      </w:r>
      <w:r>
        <w:t xml:space="preserve">“</w:t>
      </w:r>
      <w:r>
        <w:t xml:space="preserve">consumer of SA4E-182/183/186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persists audit</w:t>
      </w:r>
      <w:r>
        <w:t xml:space="preserve">”</w:t>
      </w:r>
      <w:r>
        <w:t xml:space="preserve"> </w:t>
      </w:r>
      <w:r>
        <w:t xml:space="preserve">— it is</w:t>
      </w:r>
      <w:r>
        <w:t xml:space="preserve"> </w:t>
      </w:r>
      <w:r>
        <w:rPr>
          <w:bCs/>
          <w:b/>
        </w:rPr>
        <w:t xml:space="preserve">not specified to re-validate</w:t>
      </w:r>
      <w:r>
        <w:t xml:space="preserve"> </w:t>
      </w:r>
      <w:r>
        <w:t xml:space="preserve">that the authenticated principal is the session owner. Without server-side enforcement, owner-only protection is cosmetic against a motivated attacker. This can escalate to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if the backend endpoint performs the file revert / agent dispatch without re-checking ownership.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TDD §2.3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; FSD §3.6.7/§3.7.7 (</w:t>
      </w:r>
      <w:r>
        <w:rPr>
          <w:rStyle w:val="VerbatimChar"/>
        </w:rPr>
        <w:t xml:space="preserve">requiresOwner=true</w:t>
      </w:r>
      <w:r>
        <w:t xml:space="preserve">); TDD §3.1 #20.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Make the backend the trust anchor. Derive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from the authenticated session token server-side; never accept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from the client payload. Re-run the</w:t>
      </w:r>
      <w:r>
        <w:t xml:space="preserve"> </w:t>
      </w:r>
      <w:r>
        <w:rPr>
          <w:rStyle w:val="VerbatimChar"/>
        </w:rPr>
        <w:t xml:space="preserve">requiresOwner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SlashCommandModule</w:t>
      </w:r>
      <w:r>
        <w:t xml:space="preserve"> </w:t>
      </w:r>
      <w:r>
        <w:t xml:space="preserve">before invoking SA4E-183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or SA4E-186</w:t>
      </w:r>
      <w:r>
        <w:t xml:space="preserve"> </w:t>
      </w:r>
      <w:r>
        <w:rPr>
          <w:rStyle w:val="VerbatimChar"/>
        </w:rPr>
        <w:t xml:space="preserve">review_agent</w:t>
      </w:r>
      <w:r>
        <w:t xml:space="preserve">. Keep the webview check only as UX convenience (defense-in-depth), not as the control.</w:t>
      </w:r>
    </w:p>
    <w:bookmarkEnd w:id="29"/>
    <w:bookmarkStart w:id="30" w:name="X033909e4153e1c0ef492b243cb71bdffa437219"/>
    <w:p>
      <w:pPr>
        <w:pStyle w:val="Heading3"/>
      </w:pPr>
      <w:r>
        <w:t xml:space="preserve">Finding SEC-2 — Argument / command injection via command args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ctx.args</w:t>
      </w:r>
      <w:r>
        <w:t xml:space="preserve"> </w:t>
      </w:r>
      <w:r>
        <w:t xml:space="preserve">(TDD §6.4:</w:t>
      </w:r>
      <w:r>
        <w:t xml:space="preserve"> </w:t>
      </w:r>
      <w:r>
        <w:rPr>
          <w:rStyle w:val="VerbatimChar"/>
        </w:rPr>
        <w:t xml:space="preserve">ctx.args.branchName as string ?? …</w:t>
      </w:r>
      <w:r>
        <w:t xml:space="preserve">).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 </w:t>
      </w:r>
      <w:r>
        <w:t xml:space="preserve">is passed to</w:t>
      </w:r>
      <w:r>
        <w:t xml:space="preserve"> </w:t>
      </w:r>
      <w:r>
        <w:rPr>
          <w:rStyle w:val="VerbatimChar"/>
        </w:rPr>
        <w:t xml:space="preserve">VCS.getBranchDiff(ctx.args.branchName)</w:t>
      </w:r>
      <w:r>
        <w:t xml:space="preserve">. If the VCS wrapper shells out to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with the branch name as an argument, a value such as</w:t>
      </w:r>
      <w:r>
        <w:t xml:space="preserve"> </w:t>
      </w:r>
      <w:r>
        <w:rPr>
          <w:rStyle w:val="VerbatimChar"/>
        </w:rPr>
        <w:t xml:space="preserve">--upload-pack=…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; rm -rf</w:t>
      </w:r>
      <w:r>
        <w:t xml:space="preserve"> </w:t>
      </w:r>
      <w:r>
        <w:t xml:space="preserve">enables</w:t>
      </w:r>
      <w:r>
        <w:t xml:space="preserve"> </w:t>
      </w:r>
      <w:r>
        <w:rPr>
          <w:bCs/>
          <w:b/>
        </w:rPr>
        <w:t xml:space="preserve">argument/command injection</w:t>
      </w:r>
      <w:r>
        <w:t xml:space="preserve">. Even with a library, an unsanitized branch name can confuse ref resolution.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 </w:t>
      </w:r>
      <w:r>
        <w:t xml:space="preserve">(arbitrary source text) is fed to the review agent and streamed into chat →</w:t>
      </w:r>
      <w:r>
        <w:t xml:space="preserve"> </w:t>
      </w:r>
      <w:r>
        <w:rPr>
          <w:bCs/>
          <w:b/>
        </w:rPr>
        <w:t xml:space="preserve">indirect prompt injection</w:t>
      </w:r>
      <w:r>
        <w:t xml:space="preserve"> </w:t>
      </w:r>
      <w:r>
        <w:t xml:space="preserve">and potential stored XSS if rendered without escaping.</w:t>
      </w:r>
      <w:r>
        <w:t xml:space="preserve"> </w:t>
      </w:r>
      <w:r>
        <w:rPr>
          <w:rStyle w:val="VerbatimChar"/>
        </w:rPr>
        <w:t xml:space="preserve">/agents selectedAgentId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/undo lastExchangeId</w:t>
      </w:r>
      <w:r>
        <w:t xml:space="preserve"> </w:t>
      </w:r>
      <w:r>
        <w:t xml:space="preserve">are likewise client-supplied and used in routing/lookup without a server-side allowlist.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TDD §6.4; FSD §3.6.4 (branchName/branchDiff validation only</w:t>
      </w:r>
      <w:r>
        <w:t xml:space="preserve"> </w:t>
      </w:r>
      <w:r>
        <w:t xml:space="preserve">“</w:t>
      </w:r>
      <w:r>
        <w:t xml:space="preserve">Valid VCS branch</w:t>
      </w:r>
      <w:r>
        <w:t xml:space="preserve">”</w:t>
      </w:r>
      <w:r>
        <w:t xml:space="preserve">/</w:t>
      </w:r>
      <w:r>
        <w:t xml:space="preserve">“</w:t>
      </w:r>
      <w:r>
        <w:t xml:space="preserve">Non-empty diff</w:t>
      </w:r>
      <w:r>
        <w:t xml:space="preserve">”</w:t>
      </w:r>
      <w:r>
        <w:t xml:space="preserve">); TDD §4.2 AgentsCommand.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Validate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^[A-Za-z0-9._\/-]+$</w:t>
      </w:r>
      <w:r>
        <w:t xml:space="preserve"> </w:t>
      </w:r>
      <w:r>
        <w:t xml:space="preserve">(reject</w:t>
      </w:r>
      <w:r>
        <w:t xml:space="preserve"> </w:t>
      </w:r>
      <w:r>
        <w:rPr>
          <w:rStyle w:val="VerbatimChar"/>
        </w:rPr>
        <w:t xml:space="preserve">--</w:t>
      </w:r>
      <w:r>
        <w:t xml:space="preserve">, spaces, shell metacharacters); never interpolate into a shell — use a typed git API. Cap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 </w:t>
      </w:r>
      <w:r>
        <w:t xml:space="preserve">size (e.g., 1 MB) and scan for prompt-injection markers before agent dispatch. Validate</w:t>
      </w:r>
      <w:r>
        <w:t xml:space="preserve"> </w:t>
      </w:r>
      <w:r>
        <w:rPr>
          <w:rStyle w:val="VerbatimChar"/>
        </w:rPr>
        <w:t xml:space="preserve">selectedAgentId</w:t>
      </w:r>
      <w:r>
        <w:t xml:space="preserve">/</w:t>
      </w:r>
      <w:r>
        <w:rPr>
          <w:rStyle w:val="VerbatimChar"/>
        </w:rPr>
        <w:t xml:space="preserve">lastExchangeId</w:t>
      </w:r>
      <w:r>
        <w:t xml:space="preserve"> </w:t>
      </w:r>
      <w:r>
        <w:t xml:space="preserve">against server-side allowlists (availableAgents, session history) rather than trusting client input.</w:t>
      </w:r>
    </w:p>
    <w:bookmarkEnd w:id="30"/>
    <w:bookmarkStart w:id="31" w:name="Xb7cd0f651bb79aee641157472b2decd0da514af"/>
    <w:p>
      <w:pPr>
        <w:pStyle w:val="Heading3"/>
      </w:pPr>
      <w:r>
        <w:t xml:space="preserve">Finding SEC-3 — Insecure file operations (path traversal / symlink)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A01/A03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displays and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 </w:t>
      </w:r>
      <w:r>
        <w:rPr>
          <w:bCs/>
          <w:b/>
        </w:rPr>
        <w:t xml:space="preserve">reverts</w:t>
      </w:r>
      <w:r>
        <w:t xml:space="preserve"> </w:t>
      </w:r>
      <w:r>
        <w:t xml:space="preserve">files whose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comes from SA4E-183</w:t>
      </w:r>
      <w:r>
        <w:t xml:space="preserve"> </w:t>
      </w:r>
      <w:r>
        <w:rPr>
          <w:rStyle w:val="VerbatimChar"/>
        </w:rPr>
        <w:t xml:space="preserve">DiffEntry</w:t>
      </w:r>
      <w:r>
        <w:t xml:space="preserve"> </w:t>
      </w:r>
      <w:r>
        <w:t xml:space="preserve">(FSD §4.2). The design specifies</w:t>
      </w:r>
      <w:r>
        <w:t xml:space="preserve"> </w:t>
      </w:r>
      <w:r>
        <w:rPr>
          <w:bCs/>
          <w:b/>
        </w:rPr>
        <w:t xml:space="preserve">no path canonicalization, no workspace-root allowlist, and no symlink resolution</w:t>
      </w:r>
      <w:r>
        <w:t xml:space="preserve">. A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../../../../etc/passwd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) could expose arbitrary file content; in</w:t>
      </w:r>
      <w:r>
        <w:t xml:space="preserve"> </w:t>
      </w:r>
      <w:r>
        <w:rPr>
          <w:rStyle w:val="VerbatimChar"/>
        </w:rPr>
        <w:t xml:space="preserve">/undo revert</w:t>
      </w:r>
      <w:r>
        <w:t xml:space="preserve">, a malicious or compromised SA4E-183 could supply a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outside the workspace or a symlink pointing to a sensitive file (e.g., SSH keys,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causing</w:t>
      </w:r>
      <w:r>
        <w:t xml:space="preserve"> </w:t>
      </w:r>
      <w:r>
        <w:rPr>
          <w:bCs/>
          <w:b/>
        </w:rPr>
        <w:t xml:space="preserve">arbitrary file overwrite</w:t>
      </w:r>
      <w:r>
        <w:t xml:space="preserve">. Revert writes are high-impact (data destruction / RCE-adjacent).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FSD §4.2 DiffEntry.filePath; TDD §6.5</w:t>
      </w:r>
      <w:r>
        <w:t xml:space="preserve"> </w:t>
      </w:r>
      <w:r>
        <w:rPr>
          <w:rStyle w:val="VerbatimChar"/>
        </w:rPr>
        <w:t xml:space="preserve">adapter.revert(entry)</w:t>
      </w:r>
      <w:r>
        <w:t xml:space="preserve">; FSD §5.4.3 SA4E-183 revert contract.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FileChangeAdapter</w:t>
      </w:r>
      <w:r>
        <w:t xml:space="preserve"> </w:t>
      </w:r>
      <w:r>
        <w:t xml:space="preserve">(and the backend module), canonicalize every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and verify it is</w:t>
      </w:r>
      <w:r>
        <w:t xml:space="preserve"> </w:t>
      </w:r>
      <w:r>
        <w:rPr>
          <w:bCs/>
          <w:b/>
        </w:rPr>
        <w:t xml:space="preserve">contained within the project workspace root</w:t>
      </w:r>
      <w:r>
        <w:t xml:space="preserve"> </w:t>
      </w:r>
      <w:r>
        <w:t xml:space="preserve">(prefix check after resolution). Refuse symlinks or resolve and re-validate the target. Apply the same guard when</w:t>
      </w:r>
      <w:r>
        <w:t xml:space="preserve"> </w:t>
      </w:r>
      <w:r>
        <w:rPr>
          <w:iCs/>
          <w:i/>
        </w:rPr>
        <w:t xml:space="preserve">reading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. Log rejected paths as security events.</w:t>
      </w:r>
    </w:p>
    <w:bookmarkEnd w:id="31"/>
    <w:bookmarkStart w:id="32" w:name="X355db48611b5d8b83c0f68b1fabc4ae150e0f5c"/>
    <w:p>
      <w:pPr>
        <w:pStyle w:val="Heading3"/>
      </w:pPr>
      <w:r>
        <w:t xml:space="preserve">Finding SEC-4 — Audit log integrity &amp; source/PII leakage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A09/A08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Audit events are emitted from the webview (FSD §3.9) and bridged to a backend that</w:t>
      </w:r>
      <w:r>
        <w:t xml:space="preserve"> </w:t>
      </w:r>
      <w:r>
        <w:t xml:space="preserve">“</w:t>
      </w:r>
      <w:r>
        <w:t xml:space="preserve">persists audit.</w:t>
      </w:r>
      <w:r>
        <w:t xml:space="preserve">”</w:t>
      </w:r>
      <w:r>
        <w:t xml:space="preserve"> </w:t>
      </w:r>
      <w:r>
        <w:t xml:space="preserve">Two problems: (1)</w:t>
      </w:r>
      <w:r>
        <w:t xml:space="preserve"> </w:t>
      </w:r>
      <w:r>
        <w:rPr>
          <w:bCs/>
          <w:b/>
        </w:rPr>
        <w:t xml:space="preserve">Integrity</w:t>
      </w:r>
      <w:r>
        <w:t xml:space="preserve"> </w:t>
      </w:r>
      <w:r>
        <w:t xml:space="preserve">— there is no mention of append-only/WORM storage, cryptographic signing, or backend-owned sequencing, so a tampering client or compromised engine can forge or suppress events (undermining FSD §7.3 traceability). (2)</w:t>
      </w:r>
      <w:r>
        <w:t xml:space="preserve"> </w:t>
      </w:r>
      <w:r>
        <w:rPr>
          <w:bCs/>
          <w:b/>
        </w:rPr>
        <w:t xml:space="preserve">Confidentiality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handle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source code (FSD §7.2). The spec logs only</w:t>
      </w:r>
      <w:r>
        <w:t xml:space="preserve"> </w:t>
      </w:r>
      <w:r>
        <w:rPr>
          <w:rStyle w:val="VerbatimChar"/>
        </w:rPr>
        <w:t xml:space="preserve">userId/command/ts/target/status</w:t>
      </w:r>
      <w:r>
        <w:t xml:space="preserve"> </w:t>
      </w:r>
      <w:r>
        <w:t xml:space="preserve">(good), but the dev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logging (TDD §10.2) and any future</w:t>
      </w:r>
      <w:r>
        <w:t xml:space="preserve"> </w:t>
      </w:r>
      <w:r>
        <w:t xml:space="preserve">“</w:t>
      </w:r>
      <w:r>
        <w:t xml:space="preserve">log args for debugging</w:t>
      </w:r>
      <w:r>
        <w:t xml:space="preserve">”</w:t>
      </w:r>
      <w:r>
        <w:t xml:space="preserve"> </w:t>
      </w:r>
      <w:r>
        <w:t xml:space="preserve">could capture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/file contents → secret/PII leakage into logs retained 90 days.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FSD §7.3, §3.9; TDD §3.1 #20; TDD §10.2.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Generate audit events</w:t>
      </w:r>
      <w:r>
        <w:t xml:space="preserve"> </w:t>
      </w:r>
      <w:r>
        <w:rPr>
          <w:bCs/>
          <w:b/>
        </w:rPr>
        <w:t xml:space="preserve">server-side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SlashCommandModule</w:t>
      </w:r>
      <w:r>
        <w:t xml:space="preserve"> </w:t>
      </w:r>
      <w:r>
        <w:t xml:space="preserve">(not the webview) so clients cannot suppress/forge them; store with append-only + hash-chaining or signed entries. Explicitly forbid logging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, or file contents; restrict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to session/resource ids. Apply 90-day retention with access controls.</w:t>
      </w:r>
    </w:p>
    <w:bookmarkEnd w:id="32"/>
    <w:bookmarkStart w:id="33" w:name="X2d681e0d8c8b8a94ed04fc758d4cb82635251e0"/>
    <w:p>
      <w:pPr>
        <w:pStyle w:val="Heading3"/>
      </w:pPr>
      <w:r>
        <w:t xml:space="preserve">Finding SEC-5 — Unvalidated outputs from SA4E-182/183/186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A08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The three dependency outputs are consumed as trusted: SA4E-183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(→ SEC-3), SA4E-182</w:t>
      </w:r>
      <w:r>
        <w:t xml:space="preserve"> </w:t>
      </w:r>
      <w:r>
        <w:rPr>
          <w:rStyle w:val="VerbatimChar"/>
        </w:rPr>
        <w:t xml:space="preserve">compactedSummaryRef</w:t>
      </w:r>
      <w:r>
        <w:t xml:space="preserve"> </w:t>
      </w:r>
      <w:r>
        <w:t xml:space="preserve">+ summary text injected into context (a poisoned summary is</w:t>
      </w:r>
      <w:r>
        <w:t xml:space="preserve"> </w:t>
      </w:r>
      <w:r>
        <w:rPr>
          <w:bCs/>
          <w:b/>
        </w:rPr>
        <w:t xml:space="preserve">prompt injection</w:t>
      </w:r>
      <w:r>
        <w:t xml:space="preserve"> </w:t>
      </w:r>
      <w:r>
        <w:t xml:space="preserve">into all subsequent LLM turns), and SA4E-186</w:t>
      </w:r>
      <w:r>
        <w:t xml:space="preserve"> </w:t>
      </w:r>
      <w:r>
        <w:rPr>
          <w:rStyle w:val="VerbatimChar"/>
        </w:rPr>
        <w:t xml:space="preserve">availableAgents</w:t>
      </w:r>
      <w:r>
        <w:t xml:space="preserve">/</w:t>
      </w:r>
      <w:r>
        <w:rPr>
          <w:rStyle w:val="VerbatimChar"/>
        </w:rPr>
        <w:t xml:space="preserve">review_agent</w:t>
      </w:r>
      <w:r>
        <w:t xml:space="preserve"> </w:t>
      </w:r>
      <w:r>
        <w:t xml:space="preserve">resolution (a malicious agent id could be routed/executed). The design validates</w:t>
      </w:r>
      <w:r>
        <w:t xml:space="preserve"> </w:t>
      </w:r>
      <w:r>
        <w:rPr>
          <w:rStyle w:val="VerbatimChar"/>
        </w:rPr>
        <w:t xml:space="preserve">selectedAgentId ∈ availableAgents</w:t>
      </w:r>
      <w:r>
        <w:t xml:space="preserve"> </w:t>
      </w:r>
      <w:r>
        <w:t xml:space="preserve">(good) but performs</w:t>
      </w:r>
      <w:r>
        <w:t xml:space="preserve"> </w:t>
      </w:r>
      <w:r>
        <w:rPr>
          <w:bCs/>
          <w:b/>
        </w:rPr>
        <w:t xml:space="preserve">no schema/type/range validation</w:t>
      </w:r>
      <w:r>
        <w:t xml:space="preserve"> </w:t>
      </w:r>
      <w:r>
        <w:t xml:space="preserve">on engine responses and assumes engine honesty.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FSD §5.4; TDD §6.1 adapters; SA4E-186/182/183 contracts.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Treat all engine responses as untrusted. Validate with strict schemas (e.g., Zod):</w:t>
      </w:r>
      <w:r>
        <w:t xml:space="preserve"> </w:t>
      </w:r>
      <w:r>
        <w:rPr>
          <w:rStyle w:val="VerbatimChar"/>
        </w:rPr>
        <w:t xml:space="preserve">DiffEntry.filePath</w:t>
      </w:r>
      <w:r>
        <w:t xml:space="preserve"> </w:t>
      </w:r>
      <w:r>
        <w:t xml:space="preserve">must be workspace-relative; compaction summary must be sized and content-scanned; agent ids resolved against a fixed server-side routing table (no dynamic import by name). Sandbox agent execution and treat review-agent output as untrusted when rendered.</w:t>
      </w:r>
    </w:p>
    <w:bookmarkEnd w:id="33"/>
    <w:bookmarkStart w:id="34" w:name="X2e4d2fd435cbedf0c374cf994d45c0af2b8c085"/>
    <w:p>
      <w:pPr>
        <w:pStyle w:val="Heading3"/>
      </w:pPr>
      <w:r>
        <w:t xml:space="preserve">Finding SEC-6 — Backend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endpoints lack specified authn/authz &amp; CSRF protection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A01/A05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The backend</w:t>
      </w:r>
      <w:r>
        <w:t xml:space="preserve"> </w:t>
      </w:r>
      <w:r>
        <w:rPr>
          <w:rStyle w:val="VerbatimChar"/>
        </w:rPr>
        <w:t xml:space="preserve">slash-command</w:t>
      </w:r>
      <w:r>
        <w:t xml:space="preserve"> </w:t>
      </w:r>
      <w:r>
        <w:t xml:space="preserve">module</w:t>
      </w:r>
      <w:r>
        <w:t xml:space="preserve"> </w:t>
      </w:r>
      <w:r>
        <w:t xml:space="preserve">“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endpoints</w:t>
      </w:r>
      <w:r>
        <w:t xml:space="preserve">”</w:t>
      </w:r>
      <w:r>
        <w:t xml:space="preserve"> </w:t>
      </w:r>
      <w:r>
        <w:t xml:space="preserve">(TDD §3.1 #20) reached via</w:t>
      </w:r>
      <w:r>
        <w:t xml:space="preserve"> </w:t>
      </w:r>
      <w:r>
        <w:rPr>
          <w:rStyle w:val="VerbatimChar"/>
        </w:rPr>
        <w:t xml:space="preserve">MessageBridge</w:t>
      </w:r>
      <w:r>
        <w:t xml:space="preserve">. The design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specify that these endpoints re-authenticate the caller, re-check ownership (see SEC-1), or defend against CSRF / cross-origin invocation. If reachable beyond the Extension Host (or if the bridge is abusable), an attacker could directly call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(LLM cost + source exfil to agent) or</w:t>
      </w:r>
      <w:r>
        <w:t xml:space="preserve"> </w:t>
      </w:r>
      <w:r>
        <w:rPr>
          <w:rStyle w:val="VerbatimChar"/>
        </w:rPr>
        <w:t xml:space="preserve">/undo revert</w:t>
      </w:r>
      <w:r>
        <w:t xml:space="preserve"> </w:t>
      </w:r>
      <w:r>
        <w:t xml:space="preserve">(file overwrite) without the webview guard.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TDD §3.1 #20, §6.1; FSD §7.1.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Require an authenticated principal on every backend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handler; bind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→owner server-side; enforce</w:t>
      </w:r>
      <w:r>
        <w:t xml:space="preserve"> </w:t>
      </w:r>
      <w:r>
        <w:rPr>
          <w:rStyle w:val="VerbatimChar"/>
        </w:rPr>
        <w:t xml:space="preserve">requiresOwner</w:t>
      </w:r>
      <w:r>
        <w:t xml:space="preserve"> </w:t>
      </w:r>
      <w:r>
        <w:t xml:space="preserve">server-side; add CSRF token / same-origin checks for any network-exposed surface; reject requests where the caller’s principal ≠ session owner.</w:t>
      </w:r>
    </w:p>
    <w:bookmarkEnd w:id="34"/>
    <w:bookmarkStart w:id="35" w:name="X3f474bcb007f0acb03560c2d732c9360ee75e7b"/>
    <w:p>
      <w:pPr>
        <w:pStyle w:val="Heading3"/>
      </w:pPr>
      <w:r>
        <w:t xml:space="preserve">Finding SEC-7 — Abuse / rate-limiting / LLM cost &amp; resource exhaustion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Medium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A04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Rate limit is</w:t>
      </w:r>
      <w:r>
        <w:t xml:space="preserve"> </w:t>
      </w:r>
      <w:r>
        <w:rPr>
          <w:bCs/>
          <w:b/>
        </w:rPr>
        <w:t xml:space="preserve">20 req/min per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sessionId</w:t>
      </w:r>
      <w:r>
        <w:rPr>
          <w:bCs/>
          <w:b/>
        </w:rPr>
        <w:t xml:space="preserve"> </w:t>
      </w:r>
      <w:r>
        <w:rPr>
          <w:bCs/>
          <w:b/>
        </w:rPr>
        <w:t xml:space="preserve">per command</w:t>
      </w:r>
      <w:r>
        <w:t xml:space="preserve"> </w:t>
      </w:r>
      <w:r>
        <w:t xml:space="preserve">(FSD §3.x.7, TDD NFR-07-T).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spawns a review agent + LLM call (cost),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runs a summarization LLM call (heavy), and</w:t>
      </w:r>
      <w:r>
        <w:t xml:space="preserve"> </w:t>
      </w:r>
      <w:r>
        <w:rPr>
          <w:rStyle w:val="VerbatimChar"/>
        </w:rPr>
        <w:t xml:space="preserve">/diff</w:t>
      </w:r>
      <w:r>
        <w:t xml:space="preserve"> </w:t>
      </w:r>
      <w:r>
        <w:t xml:space="preserve">can return very large diffs (memory). A user can open many sessions to bypass the per-session cap, and there is</w:t>
      </w:r>
      <w:r>
        <w:t xml:space="preserve"> </w:t>
      </w:r>
      <w:r>
        <w:rPr>
          <w:bCs/>
          <w:b/>
        </w:rPr>
        <w:t xml:space="preserve">no global per-user/per-day quota</w:t>
      </w:r>
      <w:r>
        <w:t xml:space="preserve"> </w:t>
      </w:r>
      <w:r>
        <w:t xml:space="preserve">or maximum diff size, enabling financial DoS (LLM spend) and resource exhaustion. Streaming review findings also lacks a max-size cap.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FSD §3.6.7/§3.2.7; TDD §10.1 NFR-07-T.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rPr>
          <w:bCs/>
          <w:b/>
        </w:rPr>
        <w:t xml:space="preserve">global per-user quota</w:t>
      </w:r>
      <w:r>
        <w:t xml:space="preserve"> </w:t>
      </w:r>
      <w:r>
        <w:t xml:space="preserve">(e.g., N reviews/day) and a hard cap on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/response size. Enforce quotas server-side (not just webview token-bucket). Consider cost-aware circuit breaker that trips on spend thresholds, not only failure counts.</w:t>
      </w:r>
    </w:p>
    <w:bookmarkEnd w:id="35"/>
    <w:bookmarkStart w:id="36" w:name="X6bf0e6984ba8c6ebc7cb6308f788a0d6976bc48"/>
    <w:p>
      <w:pPr>
        <w:pStyle w:val="Heading3"/>
      </w:pPr>
      <w:r>
        <w:t xml:space="preserve">Finding SEC-8 — Missing input schema validation / prototype pollution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A04/A03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ctx.args: Record&lt;string, unknown&gt;</w:t>
      </w:r>
      <w:r>
        <w:t xml:space="preserve"> </w:t>
      </w:r>
      <w:r>
        <w:t xml:space="preserve">(TDD §2.1) is parsed from client input with no declared schema. JSON parsing could carry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/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keys (prototype pollution) if merged into objects, and unvalidated fields enable mass-assignment (e.g., a client sending extra fields to</w:t>
      </w:r>
      <w:r>
        <w:t xml:space="preserve"> </w:t>
      </w:r>
      <w:r>
        <w:rPr>
          <w:rStyle w:val="VerbatimChar"/>
        </w:rPr>
        <w:t xml:space="preserve">ModelsCommand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NewCommand</w:t>
      </w:r>
      <w:r>
        <w:t xml:space="preserve">).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TDD §2.1</w:t>
      </w:r>
      <w:r>
        <w:t xml:space="preserve"> </w:t>
      </w:r>
      <w:r>
        <w:rPr>
          <w:rStyle w:val="VerbatimChar"/>
        </w:rPr>
        <w:t xml:space="preserve">CommandContext.args</w:t>
      </w:r>
      <w:r>
        <w:t xml:space="preserve">; FSD §3.x.4.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Define explicit Zod schemas per command and parse/validate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at the boundary (webview + backend). Reject unknown keys; never merge untrusted objects into prototypes.</w:t>
      </w:r>
    </w:p>
    <w:bookmarkEnd w:id="36"/>
    <w:bookmarkStart w:id="37" w:name="X9524e84d6bfb4b38a4348bd80c4d74318dcc2ef"/>
    <w:p>
      <w:pPr>
        <w:pStyle w:val="Heading3"/>
      </w:pPr>
      <w:r>
        <w:t xml:space="preserve">Finding SEC-9 — Error messages may leak internal detail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Low |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A09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catches errors and returns</w:t>
      </w:r>
      <w:r>
        <w:t xml:space="preserve"> </w:t>
      </w:r>
      <w:r>
        <w:rPr>
          <w:rStyle w:val="VerbatimChar"/>
        </w:rPr>
        <w:t xml:space="preserve">(err as Error).message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fail(...)</w:t>
      </w:r>
      <w:r>
        <w:t xml:space="preserve"> </w:t>
      </w:r>
      <w:r>
        <w:t xml:space="preserve">(TDD §2.3). Although FSD §3.9 says</w:t>
      </w:r>
      <w:r>
        <w:t xml:space="preserve"> </w:t>
      </w:r>
      <w:r>
        <w:t xml:space="preserve">“</w:t>
      </w:r>
      <w:r>
        <w:t xml:space="preserve">never surface raw stack traces,</w:t>
      </w:r>
      <w:r>
        <w:t xml:space="preserve">”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may still reveal internal paths, engine names, or ids useful to an attacker.</w:t>
      </w:r>
      <w:r>
        <w:t xml:space="preserve"> </w:t>
      </w:r>
      <w:r>
        <w:rPr>
          <w:bCs/>
          <w:b/>
        </w:rPr>
        <w:t xml:space="preserve">Affected Design Element:</w:t>
      </w:r>
      <w:r>
        <w:t xml:space="preserve"> </w:t>
      </w:r>
      <w:r>
        <w:t xml:space="preserve">TDD §2.3; FSD §3.9.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Map all exceptions to stable, generic user-facing codes/messages; log the detailed error server-side only. Never return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to the client.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isk-summary"/>
    <w:p>
      <w:pPr>
        <w:pStyle w:val="Heading2"/>
      </w:pPr>
      <w:r>
        <w:t xml:space="preserve">5. Risk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p>
            <w:pPr>
              <w:pStyle w:val="Compact"/>
              <w:jc w:val="left"/>
            </w:pPr>
            <w:r>
              <w:t xml:space="preserve">5 (SEC-1, SEC-2, SEC-3, SEC-5, SEC-6)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2 (SEC-4, SEC-7)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🔵 Low</w:t>
            </w:r>
          </w:p>
        </w:tc>
        <w:tc>
          <w:p>
            <w:pPr>
              <w:pStyle w:val="Compact"/>
              <w:jc w:val="left"/>
            </w:pPr>
            <w:r>
              <w:t xml:space="preserve">2 (SEC-8, SEC-9)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ℹ️ Informational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Risk Rating:</w:t>
      </w:r>
      <w:r>
        <w:t xml:space="preserve"> </w:t>
      </w:r>
      <w:r>
        <w:t xml:space="preserve">High (design-phase; all High findings are remediable via the changes in §6 before implementation).</w:t>
      </w:r>
    </w:p>
    <w:p>
      <w:r>
        <w:pict>
          <v:rect style="width:0;height:1.5pt" o:hralign="center" o:hrstd="t" o:hr="t"/>
        </w:pict>
      </w:r>
    </w:p>
    <w:bookmarkEnd w:id="39"/>
    <w:bookmarkStart w:id="43" w:name="remediation-plan-prioritized"/>
    <w:p>
      <w:pPr>
        <w:pStyle w:val="Heading2"/>
      </w:pPr>
      <w:r>
        <w:t xml:space="preserve">6. Remediation Plan (Prioritized)</w:t>
      </w:r>
    </w:p>
    <w:bookmarkStart w:id="40" w:name="X4b437c45e1aa55788a76e018c8618f53589feea"/>
    <w:p>
      <w:pPr>
        <w:pStyle w:val="Heading3"/>
      </w:pPr>
      <w:r>
        <w:t xml:space="preserve">P0 — Must resolve before implementation (blocks safe build)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SEC-1 / SEC-6 — Server-side trust anchor.</w:t>
      </w:r>
      <w:r>
        <w:t xml:space="preserve"> </w:t>
      </w:r>
      <w:r>
        <w:t xml:space="preserve">Move identity and</w:t>
      </w:r>
      <w:r>
        <w:t xml:space="preserve"> </w:t>
      </w:r>
      <w:r>
        <w:rPr>
          <w:rStyle w:val="VerbatimChar"/>
        </w:rPr>
        <w:t xml:space="preserve">requiresOwner</w:t>
      </w:r>
      <w:r>
        <w:t xml:space="preserve"> </w:t>
      </w:r>
      <w:r>
        <w:t xml:space="preserve">enforcement into</w:t>
      </w:r>
      <w:r>
        <w:t xml:space="preserve"> </w:t>
      </w:r>
      <w:r>
        <w:rPr>
          <w:rStyle w:val="VerbatimChar"/>
        </w:rPr>
        <w:t xml:space="preserve">SlashCommandModule</w:t>
      </w:r>
      <w:r>
        <w:t xml:space="preserve"> </w:t>
      </w:r>
      <w:r>
        <w:t xml:space="preserve">(backend). Derive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from the authenticated session token; reject client-supplied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ownerId</w:t>
      </w:r>
      <w:r>
        <w:t xml:space="preserve">; enforce authn + CSRF on every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endpoint.</w:t>
      </w:r>
      <w:r>
        <w:t xml:space="preserve"> </w:t>
      </w:r>
      <w:r>
        <w:rPr>
          <w:iCs/>
          <w:i/>
        </w:rPr>
        <w:t xml:space="preserve">(Design change: TDD §2.3, §3.1 #20, §6.1.)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SEC-3 — Safe file operations.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+ workspace-root containment + symlink refusal in</w:t>
      </w:r>
      <w:r>
        <w:t xml:space="preserve"> </w:t>
      </w:r>
      <w:r>
        <w:rPr>
          <w:rStyle w:val="VerbatimChar"/>
        </w:rPr>
        <w:t xml:space="preserve">FileChangeAdapter</w:t>
      </w:r>
      <w:r>
        <w:t xml:space="preserve"> </w:t>
      </w:r>
      <w:r>
        <w:t xml:space="preserve">and backend revert/read paths.</w:t>
      </w:r>
      <w:r>
        <w:t xml:space="preserve"> </w:t>
      </w:r>
      <w:r>
        <w:rPr>
          <w:iCs/>
          <w:i/>
        </w:rPr>
        <w:t xml:space="preserve">(Design change: TDD §6.5, FSD §4.2, §5.4.3.)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SEC-2 — Argument hardening.</w:t>
      </w:r>
      <w:r>
        <w:t xml:space="preserve"> </w:t>
      </w:r>
      <w:r>
        <w:t xml:space="preserve">Validate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 </w:t>
      </w:r>
      <w:r>
        <w:t xml:space="preserve">with strict regex; use typed git API (no shell); cap</w:t>
      </w:r>
      <w:r>
        <w:t xml:space="preserve"> </w:t>
      </w:r>
      <w:r>
        <w:rPr>
          <w:rStyle w:val="VerbatimChar"/>
        </w:rPr>
        <w:t xml:space="preserve">branchDiff</w:t>
      </w:r>
      <w:r>
        <w:t xml:space="preserve"> </w:t>
      </w:r>
      <w:r>
        <w:t xml:space="preserve">size; validate</w:t>
      </w:r>
      <w:r>
        <w:t xml:space="preserve"> </w:t>
      </w:r>
      <w:r>
        <w:rPr>
          <w:rStyle w:val="VerbatimChar"/>
        </w:rPr>
        <w:t xml:space="preserve">selectedAgentId</w:t>
      </w:r>
      <w:r>
        <w:t xml:space="preserve">/</w:t>
      </w:r>
      <w:r>
        <w:rPr>
          <w:rStyle w:val="VerbatimChar"/>
        </w:rPr>
        <w:t xml:space="preserve">lastExchangeId</w:t>
      </w:r>
      <w:r>
        <w:t xml:space="preserve"> </w:t>
      </w:r>
      <w:r>
        <w:t xml:space="preserve">server-side.</w:t>
      </w:r>
      <w:r>
        <w:t xml:space="preserve"> </w:t>
      </w:r>
      <w:r>
        <w:rPr>
          <w:iCs/>
          <w:i/>
        </w:rPr>
        <w:t xml:space="preserve">(Design change: TDD §6.4, FSD §3.6.4.)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SEC-5 (file/agent portions) — Validate dependency outputs.</w:t>
      </w:r>
      <w:r>
        <w:t xml:space="preserve"> </w:t>
      </w:r>
      <w:r>
        <w:t xml:space="preserve">Strict schema validation for</w:t>
      </w:r>
      <w:r>
        <w:t xml:space="preserve"> </w:t>
      </w:r>
      <w:r>
        <w:rPr>
          <w:rStyle w:val="VerbatimChar"/>
        </w:rPr>
        <w:t xml:space="preserve">DiffEntry</w:t>
      </w:r>
      <w:r>
        <w:t xml:space="preserve">, compaction summary, and agent-id routing table.</w:t>
      </w:r>
      <w:r>
        <w:t xml:space="preserve"> </w:t>
      </w:r>
      <w:r>
        <w:rPr>
          <w:iCs/>
          <w:i/>
        </w:rPr>
        <w:t xml:space="preserve">(Design change: TDD §6.1.)</w:t>
      </w:r>
    </w:p>
    <w:bookmarkEnd w:id="40"/>
    <w:bookmarkStart w:id="41" w:name="p1-resolve-in-current-sprint-hardening"/>
    <w:p>
      <w:pPr>
        <w:pStyle w:val="Heading3"/>
      </w:pPr>
      <w:r>
        <w:t xml:space="preserve">P1 — Resolve in current sprint (hardening)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SEC-4 — Audit integrity &amp; secret hygiene.</w:t>
      </w:r>
      <w:r>
        <w:t xml:space="preserve"> </w:t>
      </w:r>
      <w:r>
        <w:t xml:space="preserve">Emit audit server-side, append-only/signed, 90-day retention; forbid logging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/source/file contents.</w:t>
      </w:r>
      <w:r>
        <w:t xml:space="preserve"> </w:t>
      </w:r>
      <w:r>
        <w:rPr>
          <w:iCs/>
          <w:i/>
        </w:rPr>
        <w:t xml:space="preserve">(Design change: FSD §7.3, TDD §3.1 #20, §10.2.)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SEC-5 (summary/agent portions) — Sandbox engine influence.</w:t>
      </w:r>
      <w:r>
        <w:t xml:space="preserve"> </w:t>
      </w:r>
      <w:r>
        <w:t xml:space="preserve">Treat compaction summary and review-agent output as untrusted (scan, size-limit, escape on render).</w:t>
      </w:r>
      <w:r>
        <w:t xml:space="preserve"> </w:t>
      </w:r>
      <w:r>
        <w:rPr>
          <w:iCs/>
          <w:i/>
        </w:rPr>
        <w:t xml:space="preserve">(Design change: TDD §6.1, §6.4.)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SEC-7 — Cost &amp; resource controls.</w:t>
      </w:r>
      <w:r>
        <w:t xml:space="preserve"> </w:t>
      </w:r>
      <w:r>
        <w:t xml:space="preserve">Add global per-user quota for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/</w:t>
      </w:r>
      <w:r>
        <w:rPr>
          <w:rStyle w:val="VerbatimChar"/>
        </w:rPr>
        <w:t xml:space="preserve">/compact</w:t>
      </w:r>
      <w:r>
        <w:t xml:space="preserve">, max diff/response size, server-side enforcement.</w:t>
      </w:r>
      <w:r>
        <w:t xml:space="preserve"> </w:t>
      </w:r>
      <w:r>
        <w:rPr>
          <w:iCs/>
          <w:i/>
        </w:rPr>
        <w:t xml:space="preserve">(Design change: FSD §3.6.7, TDD NFR-07-T.)</w:t>
      </w:r>
    </w:p>
    <w:bookmarkEnd w:id="41"/>
    <w:bookmarkStart w:id="42" w:name="p2-follow-up-defense-in-depth"/>
    <w:p>
      <w:pPr>
        <w:pStyle w:val="Heading3"/>
      </w:pPr>
      <w:r>
        <w:t xml:space="preserve">P2 — Follow-up (defense-in-depth)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SEC-8 — Input schemas.</w:t>
      </w:r>
      <w:r>
        <w:t xml:space="preserve"> </w:t>
      </w:r>
      <w:r>
        <w:t xml:space="preserve">Add Zod validation for all</w:t>
      </w:r>
      <w:r>
        <w:t xml:space="preserve"> </w:t>
      </w:r>
      <w:r>
        <w:rPr>
          <w:rStyle w:val="VerbatimChar"/>
        </w:rPr>
        <w:t xml:space="preserve">ctx.args</w:t>
      </w:r>
      <w:r>
        <w:t xml:space="preserve">; reject unknown keys; guard prototype pollution.</w:t>
      </w:r>
      <w:r>
        <w:t xml:space="preserve"> </w:t>
      </w:r>
      <w:r>
        <w:rPr>
          <w:iCs/>
          <w:i/>
        </w:rPr>
        <w:t xml:space="preserve">(Design change: TDD §2.1.)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SEC-9 — Error sanitization.</w:t>
      </w:r>
      <w:r>
        <w:t xml:space="preserve"> </w:t>
      </w:r>
      <w:r>
        <w:t xml:space="preserve">Map exceptions to generic codes; detailed errors server-side only.</w:t>
      </w:r>
      <w:r>
        <w:t xml:space="preserve"> </w:t>
      </w:r>
      <w:r>
        <w:rPr>
          <w:iCs/>
          <w:i/>
        </w:rPr>
        <w:t xml:space="preserve">(Design change: TDD §2.3.)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esign-sign-off-recommendation"/>
    <w:p>
      <w:pPr>
        <w:pStyle w:val="Heading2"/>
      </w:pPr>
      <w:r>
        <w:t xml:space="preserve">7. Design Sign-off Recommendation</w:t>
      </w:r>
    </w:p>
    <w:p>
      <w:pPr>
        <w:pStyle w:val="FirstParagraph"/>
      </w:pPr>
      <w:r>
        <w:rPr>
          <w:bCs/>
          <w:b/>
        </w:rPr>
        <w:t xml:space="preserve">Verdict: GO-with-conditions.</w:t>
      </w:r>
    </w:p>
    <w:p>
      <w:pPr>
        <w:pStyle w:val="BodyText"/>
      </w:pPr>
      <w:r>
        <w:t xml:space="preserve">The functional design is coherent and demonstrates good practices (centralized</w:t>
      </w:r>
      <w:r>
        <w:t xml:space="preserve"> </w:t>
      </w:r>
      <w:r>
        <w:rPr>
          <w:rStyle w:val="VerbatimChar"/>
        </w:rPr>
        <w:t xml:space="preserve">CommandRegistry</w:t>
      </w:r>
      <w:r>
        <w:t xml:space="preserve">, defense-in-depth owner check in UI, circuit breakers, structured audit, rate limiting, validation of agent selection). However, the</w:t>
      </w:r>
      <w:r>
        <w:t xml:space="preserve"> </w:t>
      </w:r>
      <w:r>
        <w:rPr>
          <w:bCs/>
          <w:b/>
        </w:rPr>
        <w:t xml:space="preserve">security control placement is wrong for a feature that writes files and invokes LLM agents</w:t>
      </w:r>
      <w:r>
        <w:t xml:space="preserve">: identity and owner enforcement currently rely on a</w:t>
      </w:r>
      <w:r>
        <w:t xml:space="preserve"> </w:t>
      </w:r>
      <w:r>
        <w:rPr>
          <w:bCs/>
          <w:b/>
        </w:rPr>
        <w:t xml:space="preserve">client-held snapshot</w:t>
      </w:r>
      <w:r>
        <w:t xml:space="preserve">, and the backend</w:t>
      </w:r>
      <w:r>
        <w:t xml:space="preserve"> </w:t>
      </w:r>
      <w:r>
        <w:rPr>
          <w:rStyle w:val="VerbatimChar"/>
        </w:rPr>
        <w:t xml:space="preserve">slash:*</w:t>
      </w:r>
      <w:r>
        <w:t xml:space="preserve"> </w:t>
      </w:r>
      <w:r>
        <w:t xml:space="preserve">endpoint contract does not specify authentication or server-side authorization. These are design-stage gaps that are cheap to fix now and expensive to fix after release.</w:t>
      </w:r>
    </w:p>
    <w:p>
      <w:pPr>
        <w:pStyle w:val="BodyText"/>
      </w:pPr>
      <w:r>
        <w:rPr>
          <w:bCs/>
          <w:b/>
        </w:rPr>
        <w:t xml:space="preserve">Conditions that must be satisfied before implementation proceeds (P0):</w:t>
      </w:r>
      <w:r>
        <w:t xml:space="preserve"> </w:t>
      </w:r>
      <w:r>
        <w:t xml:space="preserve">1. Backend</w:t>
      </w:r>
      <w:r>
        <w:t xml:space="preserve"> </w:t>
      </w:r>
      <w:r>
        <w:rPr>
          <w:rStyle w:val="VerbatimChar"/>
        </w:rPr>
        <w:t xml:space="preserve">SlashCommandModule</w:t>
      </w:r>
      <w:r>
        <w:t xml:space="preserve"> </w:t>
      </w:r>
      <w:r>
        <w:t xml:space="preserve">is defined as the authentication/authorization authority;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are never trusted from the client;</w:t>
      </w:r>
      <w:r>
        <w:t xml:space="preserve"> </w:t>
      </w:r>
      <w:r>
        <w:rPr>
          <w:rStyle w:val="VerbatimChar"/>
        </w:rPr>
        <w:t xml:space="preserve">requiresOwner</w:t>
      </w:r>
      <w:r>
        <w:t xml:space="preserve"> </w:t>
      </w:r>
      <w:r>
        <w:t xml:space="preserve">is re-checked server-side (SEC-1, SEC-6).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FileChangeAdapter</w:t>
      </w:r>
      <w:r>
        <w:t xml:space="preserve">/backend implement path canonicalization + workspace containment + symlink refusal for both read (</w:t>
      </w:r>
      <w:r>
        <w:rPr>
          <w:rStyle w:val="VerbatimChar"/>
        </w:rPr>
        <w:t xml:space="preserve">/diff</w:t>
      </w:r>
      <w:r>
        <w:t xml:space="preserve">) and revert (</w:t>
      </w:r>
      <w:r>
        <w:rPr>
          <w:rStyle w:val="VerbatimChar"/>
        </w:rPr>
        <w:t xml:space="preserve">/undo</w:t>
      </w:r>
      <w:r>
        <w:t xml:space="preserve">) (SEC-3).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/</w:t>
      </w:r>
      <w:r>
        <w:rPr>
          <w:rStyle w:val="VerbatimChar"/>
        </w:rPr>
        <w:t xml:space="preserve">branchDiff</w:t>
      </w:r>
      <w:r>
        <w:t xml:space="preserve">/</w:t>
      </w:r>
      <w:r>
        <w:rPr>
          <w:rStyle w:val="VerbatimChar"/>
        </w:rPr>
        <w:t xml:space="preserve">selectedAgentId</w:t>
      </w:r>
      <w:r>
        <w:t xml:space="preserve">/</w:t>
      </w:r>
      <w:r>
        <w:rPr>
          <w:rStyle w:val="VerbatimChar"/>
        </w:rPr>
        <w:t xml:space="preserve">lastExchangeId</w:t>
      </w:r>
      <w:r>
        <w:t xml:space="preserve"> </w:t>
      </w:r>
      <w:r>
        <w:t xml:space="preserve">are validated against strict server-side schemas and allowlists; no shell interpolation (SEC-2, SEC-5).</w:t>
      </w:r>
      <w:r>
        <w:t xml:space="preserve"> </w:t>
      </w:r>
      <w:r>
        <w:t xml:space="preserve">4. Engine responses (SA4E-182/183/186) are validated/untrusted by default (SEC-5).</w:t>
      </w:r>
    </w:p>
    <w:p>
      <w:pPr>
        <w:pStyle w:val="BodyText"/>
      </w:pPr>
      <w:r>
        <w:rPr>
          <w:bCs/>
          <w:b/>
        </w:rPr>
        <w:t xml:space="preserve">Strongly recommended before GA (P1):</w:t>
      </w:r>
      <w:r>
        <w:t xml:space="preserve"> </w:t>
      </w:r>
      <w:r>
        <w:t xml:space="preserve">server-side signed/append-only audit (SEC-4) and global cost/quota controls (SEC-7).</w:t>
      </w:r>
    </w:p>
    <w:p>
      <w:pPr>
        <w:pStyle w:val="BodyText"/>
      </w:pPr>
      <w:r>
        <w:t xml:space="preserve">If conditions 1–4 are not met in the design, the recommendation downgrades to</w:t>
      </w:r>
      <w:r>
        <w:t xml:space="preserve"> </w:t>
      </w:r>
      <w:r>
        <w:rPr>
          <w:bCs/>
          <w:b/>
        </w:rPr>
        <w:t xml:space="preserve">NO-GO</w:t>
      </w:r>
      <w:r>
        <w:t xml:space="preserve"> </w:t>
      </w:r>
      <w:r>
        <w:t xml:space="preserve">for any environment where the webview or backend transport is reachable by an untrusted actor.</w:t>
      </w:r>
    </w:p>
    <w:p>
      <w:r>
        <w:pict>
          <v:rect style="width:0;height:1.5pt" o:hralign="center" o:hrstd="t" o:hr="t"/>
        </w:pict>
      </w:r>
    </w:p>
    <w:bookmarkEnd w:id="44"/>
    <w:bookmarkStart w:id="45" w:name="appendix-a-methodology-limitations"/>
    <w:p>
      <w:pPr>
        <w:pStyle w:val="Heading2"/>
      </w:pPr>
      <w:r>
        <w:t xml:space="preserve">Appendix A — Methodology &amp; Limitations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Static review of BRD/FSD/TDD against OWASP Top 10 (2021) and OWASP ASVS-style control placement. No running code, no dynamic testing, no penetration testing.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Dependent tickets (SA4E-182/183/186) were not reviewed; their internal security is assumed and flagged as a trust boundary (SEC-5). Backend</w:t>
      </w:r>
      <w:r>
        <w:t xml:space="preserve"> </w:t>
      </w:r>
      <w:r>
        <w:rPr>
          <w:rStyle w:val="VerbatimChar"/>
        </w:rPr>
        <w:t xml:space="preserve">slash-command</w:t>
      </w:r>
      <w:r>
        <w:t xml:space="preserve"> </w:t>
      </w:r>
      <w:r>
        <w:t xml:space="preserve">module internals are unspecified, so findings SEC-1/SEC-6 are based on the</w:t>
      </w:r>
      <w:r>
        <w:t xml:space="preserve"> </w:t>
      </w:r>
      <w:r>
        <w:rPr>
          <w:iCs/>
          <w:i/>
        </w:rPr>
        <w:t xml:space="preserve">absence</w:t>
      </w:r>
      <w:r>
        <w:t xml:space="preserve"> </w:t>
      </w:r>
      <w:r>
        <w:t xml:space="preserve">of a defined server-side authz contract rather than a confirmed vulnerability.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Assumptions:</w:t>
      </w:r>
      <w:r>
        <w:t xml:space="preserve"> </w:t>
      </w:r>
      <w:r>
        <w:t xml:space="preserve">Authenticated session infrastructure exists per BRD §1.3; transport is in-process as stated in FSD §5.4.</w:t>
      </w:r>
    </w:p>
    <w:bookmarkEnd w:id="45"/>
    <w:bookmarkStart w:id="46" w:name="appendix-b-glossary"/>
    <w:p>
      <w:pPr>
        <w:pStyle w:val="Heading2"/>
      </w:pPr>
      <w:r>
        <w:t xml:space="preserve">Appendix B — Glossary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TB (Trust Boundary):</w:t>
      </w:r>
      <w:r>
        <w:t xml:space="preserve"> </w:t>
      </w:r>
      <w:r>
        <w:t xml:space="preserve">the line between trusted (our code) and untrusted (client, dependency, network) inputs.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IDOR:</w:t>
      </w:r>
      <w:r>
        <w:t xml:space="preserve"> </w:t>
      </w:r>
      <w:r>
        <w:t xml:space="preserve">Insecure Direct Object Reference — accessing a resource by id without ownership check.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Prompt Injection:</w:t>
      </w:r>
      <w:r>
        <w:t xml:space="preserve"> </w:t>
      </w:r>
      <w:r>
        <w:t xml:space="preserve">attacker-controlled text that manipulates LLM behavior.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WORM:</w:t>
      </w:r>
      <w:r>
        <w:t xml:space="preserve"> </w:t>
      </w:r>
      <w:r>
        <w:t xml:space="preserve">Write-Once-Read-Many — storage that prevents modification/deletion.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2026-08-22T19:32:02Z</dcterms:created>
  <dcterms:modified xsi:type="dcterms:W3CDTF">2026-08-22T19:32:02Z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