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Energy-Accuracy Trade-offs of Spiking Neural Networks for SAR Flood Segmentation: A Systematic Benchmark</w:t>
      </w:r>
    </w:p>
    <w:p>
      <w:pPr>
        <w:jc w:val="center"/>
      </w:pPr>
      <w:r>
        <w:rPr>
          <w:sz w:val="24"/>
        </w:rPr>
        <w:t>Phi Tran¹, Huong Bui², Hoang Dinh²</w:t>
      </w:r>
    </w:p>
    <w:p>
      <w:pPr>
        <w:jc w:val="center"/>
      </w:pPr>
      <w:r>
        <w:rPr>
          <w:i/>
          <w:sz w:val="20"/>
        </w:rPr>
        <w:t>¹ [Affiliation 1] — [email]    ² [Affiliation 2] — [emails]    [TODO điền cơ quan + email]</w:t>
      </w:r>
    </w:p>
    <w:p>
      <w:r>
        <w:rPr>
          <w:i/>
          <w:color w:val="B00000"/>
          <w:sz w:val="18"/>
        </w:rPr>
        <w:t>⚠️ DRAFT NOTE: numbers below are v1 (70/20/10 split). The split is now 60/20/20 (agreed 09/07); models are being retrained and Table 1 / figures will be refreshed from the new run. Remove this note after updating.</w:t>
      </w:r>
    </w:p>
    <w:p>
      <w:pPr>
        <w:spacing w:before="200" w:after="80"/>
      </w:pPr>
      <w:r>
        <w:rPr>
          <w:b/>
          <w:sz w:val="24"/>
        </w:rPr>
        <w:t>Abstract</w:t>
      </w:r>
    </w:p>
    <w:p>
      <w:pPr>
        <w:spacing w:after="120"/>
        <w:jc w:val="both"/>
      </w:pPr>
      <w:r>
        <w:rPr>
          <w:i w:val="0"/>
        </w:rPr>
        <w:t>Rapid flood-extent mapping from Sentinel-1 SAR is critical for disaster response, and on-board or edge deployment demands energy-efficient models. Spiking Neural Networks (SNNs) promise low-energy inference through sparse, event-driven computation, yet they have never been benchmarked for flood segmentation on SAR. We present the first systematic energy–accuracy benchmark of direct-trained SNNs against strong ANN baselines — CNNs, a Transformer, an ANN-to-SNN conversion, and an INT8-quantized CNN — for 3-class flood-on-land segmentation (background / permanent water / flood) on Sen1Floods11, where permanent water is separated from flood using the JRC Global Surface Water layer. Across 20+ configurations trained with multiple seeds, we find that (i) with pooled flood-IoU an INT8 MobileNet-UNet dominates the accuracy–energy Pareto front (0.490 IoU at 3.1 mJ), while (ii) with a per-chip paired metric the best direct-trained SNN is statistically indistinguishable from the INT8 CNN (Wilcoxon, p = 0.40; Cohen's d = 0.09) — the conclusion about SNN competitiveness is metric-dependent. We verify 13.6–23.8% spike sparsity supporting the energy estimate, show ANN-to-SNN conversion fails even at T = 128, analyse per-region geographic sensitivity, and give practical guidance for choosing SNN vs. quantized CNN.</w:t>
      </w:r>
    </w:p>
    <w:p>
      <w:r>
        <w:rPr>
          <w:b/>
        </w:rPr>
        <w:t xml:space="preserve">Keywords: </w:t>
      </w:r>
      <w:r>
        <w:t>Spiking Neural Networks; SAR flood mapping; Sen1Floods11; energy-efficient segmentation; quantization; neuromorphic computing.</w:t>
      </w:r>
    </w:p>
    <w:p>
      <w:pPr>
        <w:spacing w:before="200" w:after="80"/>
      </w:pPr>
      <w:r>
        <w:rPr>
          <w:b/>
          <w:sz w:val="26"/>
        </w:rPr>
        <w:t>1. Introduction</w:t>
      </w:r>
    </w:p>
    <w:p>
      <w:pPr>
        <w:spacing w:before="120" w:after="80"/>
      </w:pPr>
      <w:r>
        <w:rPr>
          <w:b/>
          <w:sz w:val="22"/>
        </w:rPr>
        <w:t>1.1 Motivation</w:t>
      </w:r>
    </w:p>
    <w:p>
      <w:pPr>
        <w:spacing w:after="120"/>
        <w:jc w:val="both"/>
      </w:pPr>
      <w:r>
        <w:rPr>
          <w:i w:val="0"/>
        </w:rPr>
        <w:t>Floods are among the most frequent and damaging natural disasters, and timely flood-extent maps are essential for emergency response. Sentinel-1 SAR penetrates clouds and operates day and night, unlike optical imagery. Deep segmentation models achieve strong accuracy but are energetically expensive, limiting deployment on satellites, UAVs and edge stations. This motivates studying the energy–accuracy trade-off of candidate architectures, and whether SNNs — computing with sparse binary spikes and additions only — offer a favourable operating point.</w:t>
      </w:r>
    </w:p>
    <w:p>
      <w:pPr>
        <w:spacing w:before="120" w:after="80"/>
      </w:pPr>
      <w:r>
        <w:rPr>
          <w:b/>
          <w:sz w:val="22"/>
        </w:rPr>
        <w:t>1.2 Contributions</w:t>
      </w:r>
    </w:p>
    <w:p>
      <w:pPr>
        <w:pStyle w:val="ListNumber"/>
      </w:pPr>
      <w:r>
        <w:t>First direct-trained SNN benchmark for 3-class flood-on-land segmentation on Sen1Floods11, with 20+ configurations and a full ablation over timesteps T, learning rate and encoding.</w:t>
      </w:r>
    </w:p>
    <w:p>
      <w:pPr>
        <w:pStyle w:val="ListNumber"/>
      </w:pPr>
      <w:r>
        <w:t>Rigorous statistical comparison via Wilcoxon signed-rank on paired per-chip flood-IoU: a direct-trained SNN is statistically indistinguishable from an INT8 MobileNet-UNet (p &gt; 0.05), whereas pooled IoU lets the quantized CNN dominate — metric choice determines the conclusion.</w:t>
      </w:r>
    </w:p>
    <w:p>
      <w:pPr>
        <w:pStyle w:val="ListNumber"/>
      </w:pPr>
      <w:r>
        <w:t>Verified energy claim: measured spike sparsity 13.6–23.8% confirms the SynOps estimate; and ANN-to-SNN conversion fails to converge even at T = 128, so direct training is essential.</w:t>
      </w:r>
    </w:p>
    <w:p>
      <w:pPr>
        <w:pStyle w:val="ListNumber"/>
      </w:pPr>
      <w:r>
        <w:t>Per-region analysis revealing geographic sensitivity (SNN relatively strong in Sri-Lanka/Ghana, weak in Mekong/Pakistan).</w:t>
      </w:r>
    </w:p>
    <w:p>
      <w:pPr>
        <w:pStyle w:val="ListNumber"/>
      </w:pPr>
      <w:r>
        <w:t>Practical guidance: a decision procedure for SNN vs. quantized CNN given energy budget, accuracy floor and hardware target.</w:t>
      </w:r>
    </w:p>
    <w:p>
      <w:pPr>
        <w:spacing w:before="200" w:after="80"/>
      </w:pPr>
      <w:r>
        <w:rPr>
          <w:b/>
          <w:sz w:val="26"/>
        </w:rPr>
        <w:t>2. Related Work</w:t>
      </w:r>
    </w:p>
    <w:p>
      <w:pPr>
        <w:spacing w:after="120"/>
        <w:jc w:val="both"/>
      </w:pPr>
      <w:r>
        <w:rPr>
          <w:i w:val="0"/>
        </w:rPr>
        <w:t>2.1 SAR flood mapping. Sen1Floods11 [1] established a Sentinel-1 benchmark; later CNN and semi-supervised methods improved water IoU. Prior work targets binary water; we address a harder 3-class task separating permanent water via JRC [TODO cite].</w:t>
      </w:r>
    </w:p>
    <w:p>
      <w:pPr>
        <w:spacing w:after="120"/>
        <w:jc w:val="both"/>
      </w:pPr>
      <w:r>
        <w:rPr>
          <w:i w:val="0"/>
        </w:rPr>
        <w:t>2.2 Spiking neural networks for vision. Direct training via surrogate gradients and spiking segmenters have shown feasibility on frame/event benchmarks [TODO cite]; SNNs for SAR are nascent, and none benchmark flood segmentation.</w:t>
      </w:r>
    </w:p>
    <w:p>
      <w:pPr>
        <w:spacing w:after="120"/>
        <w:jc w:val="both"/>
      </w:pPr>
      <w:r>
        <w:rPr>
          <w:i w:val="0"/>
        </w:rPr>
        <w:t>2.3 Quantization for edge deployment. PTQ/QAT compress CNNs to INT8/INT4 with small accuracy loss, drastically cutting per-operation energy; INT8 is the strongest ANN energy competitor to SNNs and is a mandatory baseline here.</w:t>
      </w:r>
    </w:p>
    <w:p>
      <w:pPr>
        <w:spacing w:before="200" w:after="80"/>
      </w:pPr>
      <w:r>
        <w:rPr>
          <w:b/>
          <w:sz w:val="26"/>
        </w:rPr>
        <w:t>3. Method</w:t>
      </w:r>
    </w:p>
    <w:p>
      <w:pPr>
        <w:spacing w:after="120"/>
        <w:jc w:val="both"/>
      </w:pPr>
      <w:r>
        <w:rPr>
          <w:i w:val="0"/>
        </w:rPr>
        <w:t>3.1 Problem formulation. Per-pixel 3-class segmentation of 2-channel (VV, VH, dB) chips into background (0), permanent water (1) and flood (2); invalid pixels use ignore-index (−1).</w:t>
      </w:r>
    </w:p>
    <w:p>
      <w:pPr>
        <w:spacing w:after="120"/>
        <w:jc w:val="both"/>
      </w:pPr>
      <w:r>
        <w:rPr>
          <w:i w:val="0"/>
        </w:rPr>
        <w:t>3.2 Spiking U-Net. A 4-level U-Net (7.76 M params) with a LIF neuron (ATan surrogate, τ=2.0, detach-reset) after each conv block, multi-step mode (SpikingJelly); direct SAR encoding over T timesteps; final membrane potentials averaged to logits; tdBN-style BatchNorm over (T,B).</w:t>
      </w:r>
    </w:p>
    <w:p>
      <w:pPr>
        <w:spacing w:after="120"/>
        <w:jc w:val="both"/>
      </w:pPr>
      <w:r>
        <w:rPr>
          <w:i w:val="0"/>
        </w:rPr>
        <w:t>3.3 Energy modeling. At 45 nm [Horowitz 2014]: FP32 MAC = 4.6 pJ, INT8 MAC ≈ 0.23 pJ, SNN AC = 0.9 pJ. ANN energy = FLOPs × E_MAC (ptflops); SNN energy = SynOps × E_AC where SynOps = Σ_conv(MACs × input spike-rate) accumulated over T.</w:t>
      </w:r>
    </w:p>
    <w:p>
      <w:pPr>
        <w:spacing w:after="120"/>
        <w:jc w:val="both"/>
      </w:pPr>
      <w:r>
        <w:rPr>
          <w:i w:val="0"/>
        </w:rPr>
        <w:t>3.4 Statistical testing protocol. We report pooled and per-chip flood-IoU, and run Wilcoxon signed-rank on paired per-chip flood-IoU (seeds averaged), plus bootstrap 95% CIs and paired Cohen's d for key pairs.</w:t>
      </w:r>
    </w:p>
    <w:p>
      <w:pPr>
        <w:spacing w:before="200" w:after="80"/>
      </w:pPr>
      <w:r>
        <w:rPr>
          <w:b/>
          <w:sz w:val="26"/>
        </w:rPr>
        <w:t>4. Experimental Setup</w:t>
      </w:r>
    </w:p>
    <w:p>
      <w:pPr>
        <w:spacing w:after="120"/>
        <w:jc w:val="both"/>
      </w:pPr>
      <w:r>
        <w:rPr>
          <w:i w:val="0"/>
        </w:rPr>
        <w:t>4.1 Dataset. Sen1Floods11 hand-labeled subset: 446 chips of 512×512, 2 channels (VV/VH dB), across 11 flood events/regions. 3-class labels via JRC permanent-water.</w:t>
      </w:r>
    </w:p>
    <w:p>
      <w:pPr>
        <w:spacing w:after="120"/>
        <w:jc w:val="both"/>
      </w:pPr>
      <w:r>
        <w:rPr>
          <w:i w:val="0"/>
        </w:rPr>
        <w:t>4.2 Preprocessing &amp; splits. dB clipped to [−50,0], normalized to [0,1]; NaN → ignore-index. One NaN-only chip is dropped (445 valid). Region-stratified split 60/20/20 → 271/87/87 chips (agreed protocol; larger test set than the earlier 70/20/10 for more reliable evaluation), with spatially-overlapping chips kept in the same split to avoid leakage, fixed seed 42.</w:t>
      </w:r>
    </w:p>
    <w:p>
      <w:pPr>
        <w:spacing w:after="120"/>
        <w:jc w:val="both"/>
      </w:pPr>
      <w:r>
        <w:rPr>
          <w:i w:val="0"/>
        </w:rPr>
        <w:t>4.3 Baselines. Otsu; U-Net (vanilla / SMP-ResNet34 pretrained / U-Net++); DeepLabV3; MobileNet-UNet (3 LRs) and MobileNet-UNet INT8 (static PTQ); SegFormer-b2; SNN-Flood (T∈{1..8,10}, LR sweep); ANN2SNN (T∈{32,64,128}). Shared dataset/loss/metric/protocol.</w:t>
      </w:r>
    </w:p>
    <w:p>
      <w:pPr>
        <w:spacing w:after="120"/>
        <w:jc w:val="both"/>
      </w:pPr>
      <w:r>
        <w:rPr>
          <w:i w:val="0"/>
        </w:rPr>
        <w:t>4.4 Training. AdamW, gradient clipping (max-norm 5.0), early stopping on val flood-IoU; 3 seeds per config (T=6 with 5 seeds); Otsu deterministic. [TODO: epochs, batch size, lr từ base.yaml].</w:t>
      </w:r>
    </w:p>
    <w:p>
      <w:pPr>
        <w:spacing w:before="200" w:after="80"/>
      </w:pPr>
      <w:r>
        <w:rPr>
          <w:b/>
          <w:sz w:val="26"/>
        </w:rPr>
        <w:t>5. Results</w:t>
      </w:r>
    </w:p>
    <w:p>
      <w:pPr>
        <w:spacing w:before="120" w:after="80"/>
      </w:pPr>
      <w:r>
        <w:rPr>
          <w:b/>
          <w:sz w:val="22"/>
        </w:rPr>
        <w:t>5.1 Main comparison (Table 1)</w:t>
      </w:r>
    </w:p>
    <w:tbl>
      <w:tblPr>
        <w:tblStyle w:val="LightGrid-Accent1"/>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304"/>
          </w:tcPr>
          <w:p>
            <w:pPr>
              <w:spacing w:after="20" w:before="20"/>
            </w:pPr>
            <w:r>
              <w:rPr>
                <w:b/>
                <w:sz w:val="16"/>
              </w:rPr>
              <w:t>Model</w:t>
            </w:r>
          </w:p>
        </w:tc>
        <w:tc>
          <w:tcPr>
            <w:tcW w:type="dxa" w:w="2088"/>
          </w:tcPr>
          <w:p>
            <w:pPr>
              <w:spacing w:after="20" w:before="20"/>
            </w:pPr>
            <w:r>
              <w:rPr>
                <w:b/>
                <w:sz w:val="16"/>
              </w:rPr>
              <w:t>Pooled IoU (±std, n)</w:t>
            </w:r>
          </w:p>
        </w:tc>
        <w:tc>
          <w:tcPr>
            <w:tcW w:type="dxa" w:w="864"/>
          </w:tcPr>
          <w:p>
            <w:pPr>
              <w:spacing w:after="20" w:before="20"/>
            </w:pPr>
            <w:r>
              <w:rPr>
                <w:b/>
                <w:sz w:val="16"/>
              </w:rPr>
              <w:t>Per-chip</w:t>
            </w:r>
          </w:p>
        </w:tc>
        <w:tc>
          <w:tcPr>
            <w:tcW w:type="dxa" w:w="720"/>
          </w:tcPr>
          <w:p>
            <w:pPr>
              <w:spacing w:after="20" w:before="20"/>
            </w:pPr>
            <w:r>
              <w:rPr>
                <w:b/>
                <w:sz w:val="16"/>
              </w:rPr>
              <w:t>F1</w:t>
            </w:r>
          </w:p>
        </w:tc>
        <w:tc>
          <w:tcPr>
            <w:tcW w:type="dxa" w:w="792"/>
          </w:tcPr>
          <w:p>
            <w:pPr>
              <w:spacing w:after="20" w:before="20"/>
            </w:pPr>
            <w:r>
              <w:rPr>
                <w:b/>
                <w:sz w:val="16"/>
              </w:rPr>
              <w:t>pwIoU</w:t>
            </w:r>
          </w:p>
        </w:tc>
        <w:tc>
          <w:tcPr>
            <w:tcW w:type="dxa" w:w="864"/>
          </w:tcPr>
          <w:p>
            <w:pPr>
              <w:spacing w:after="20" w:before="20"/>
            </w:pPr>
            <w:r>
              <w:rPr>
                <w:b/>
                <w:sz w:val="16"/>
              </w:rPr>
              <w:t>Params</w:t>
            </w:r>
          </w:p>
        </w:tc>
        <w:tc>
          <w:tcPr>
            <w:tcW w:type="dxa" w:w="1037"/>
          </w:tcPr>
          <w:p>
            <w:pPr>
              <w:spacing w:after="20" w:before="20"/>
            </w:pPr>
            <w:r>
              <w:rPr>
                <w:b/>
                <w:sz w:val="16"/>
              </w:rPr>
              <w:t>Energy(mJ)</w:t>
            </w:r>
          </w:p>
        </w:tc>
        <w:tc>
          <w:tcPr>
            <w:tcW w:type="dxa" w:w="763"/>
          </w:tcPr>
          <w:p>
            <w:pPr>
              <w:spacing w:after="20" w:before="20"/>
            </w:pPr>
            <w:r>
              <w:rPr>
                <w:b/>
                <w:sz w:val="16"/>
              </w:rPr>
              <w:t>Spike%</w:t>
            </w:r>
          </w:p>
        </w:tc>
      </w:tr>
      <w:tr>
        <w:tc>
          <w:tcPr>
            <w:tcW w:type="dxa" w:w="2304"/>
          </w:tcPr>
          <w:p>
            <w:pPr>
              <w:spacing w:after="20" w:before="20"/>
            </w:pPr>
            <w:r>
              <w:rPr>
                <w:sz w:val="16"/>
              </w:rPr>
              <w:t>segformer_b2</w:t>
            </w:r>
          </w:p>
        </w:tc>
        <w:tc>
          <w:tcPr>
            <w:tcW w:type="dxa" w:w="2088"/>
          </w:tcPr>
          <w:p>
            <w:pPr>
              <w:spacing w:after="20" w:before="20"/>
            </w:pPr>
            <w:r>
              <w:rPr>
                <w:sz w:val="16"/>
              </w:rPr>
              <w:t>0.525±0.018 (n3)</w:t>
            </w:r>
          </w:p>
        </w:tc>
        <w:tc>
          <w:tcPr>
            <w:tcW w:type="dxa" w:w="864"/>
          </w:tcPr>
          <w:p>
            <w:pPr>
              <w:spacing w:after="20" w:before="20"/>
            </w:pPr>
            <w:r>
              <w:rPr>
                <w:sz w:val="16"/>
              </w:rPr>
              <w:t>0.251</w:t>
            </w:r>
          </w:p>
        </w:tc>
        <w:tc>
          <w:tcPr>
            <w:tcW w:type="dxa" w:w="720"/>
          </w:tcPr>
          <w:p>
            <w:pPr>
              <w:spacing w:after="20" w:before="20"/>
            </w:pPr>
            <w:r>
              <w:rPr>
                <w:sz w:val="16"/>
              </w:rPr>
              <w:t>0.688</w:t>
            </w:r>
          </w:p>
        </w:tc>
        <w:tc>
          <w:tcPr>
            <w:tcW w:type="dxa" w:w="792"/>
          </w:tcPr>
          <w:p>
            <w:pPr>
              <w:spacing w:after="20" w:before="20"/>
            </w:pPr>
            <w:r>
              <w:rPr>
                <w:sz w:val="16"/>
              </w:rPr>
              <w:t>0.700</w:t>
            </w:r>
          </w:p>
        </w:tc>
        <w:tc>
          <w:tcPr>
            <w:tcW w:type="dxa" w:w="864"/>
          </w:tcPr>
          <w:p>
            <w:pPr>
              <w:spacing w:after="20" w:before="20"/>
            </w:pPr>
            <w:r>
              <w:rPr>
                <w:sz w:val="16"/>
              </w:rPr>
              <w:t>24.72</w:t>
            </w:r>
          </w:p>
        </w:tc>
        <w:tc>
          <w:tcPr>
            <w:tcW w:type="dxa" w:w="1037"/>
          </w:tcPr>
          <w:p>
            <w:pPr>
              <w:spacing w:after="20" w:before="20"/>
            </w:pPr>
            <w:r>
              <w:rPr>
                <w:sz w:val="16"/>
              </w:rPr>
              <w:t>98.0</w:t>
            </w:r>
          </w:p>
        </w:tc>
        <w:tc>
          <w:tcPr>
            <w:tcW w:type="dxa" w:w="763"/>
          </w:tcPr>
          <w:p>
            <w:pPr>
              <w:spacing w:after="20" w:before="20"/>
            </w:pPr>
            <w:r>
              <w:rPr>
                <w:sz w:val="16"/>
              </w:rPr>
              <w:t>—</w:t>
            </w:r>
          </w:p>
        </w:tc>
      </w:tr>
      <w:tr>
        <w:tc>
          <w:tcPr>
            <w:tcW w:type="dxa" w:w="2304"/>
          </w:tcPr>
          <w:p>
            <w:pPr>
              <w:spacing w:after="20" w:before="20"/>
            </w:pPr>
            <w:r>
              <w:rPr>
                <w:sz w:val="16"/>
              </w:rPr>
              <w:t>unet_smp</w:t>
            </w:r>
          </w:p>
        </w:tc>
        <w:tc>
          <w:tcPr>
            <w:tcW w:type="dxa" w:w="2088"/>
          </w:tcPr>
          <w:p>
            <w:pPr>
              <w:spacing w:after="20" w:before="20"/>
            </w:pPr>
            <w:r>
              <w:rPr>
                <w:sz w:val="16"/>
              </w:rPr>
              <w:t>0.509±0.028 (n3)</w:t>
            </w:r>
          </w:p>
        </w:tc>
        <w:tc>
          <w:tcPr>
            <w:tcW w:type="dxa" w:w="864"/>
          </w:tcPr>
          <w:p>
            <w:pPr>
              <w:spacing w:after="20" w:before="20"/>
            </w:pPr>
            <w:r>
              <w:rPr>
                <w:sz w:val="16"/>
              </w:rPr>
              <w:t>0.291</w:t>
            </w:r>
          </w:p>
        </w:tc>
        <w:tc>
          <w:tcPr>
            <w:tcW w:type="dxa" w:w="720"/>
          </w:tcPr>
          <w:p>
            <w:pPr>
              <w:spacing w:after="20" w:before="20"/>
            </w:pPr>
            <w:r>
              <w:rPr>
                <w:sz w:val="16"/>
              </w:rPr>
              <w:t>0.674</w:t>
            </w:r>
          </w:p>
        </w:tc>
        <w:tc>
          <w:tcPr>
            <w:tcW w:type="dxa" w:w="792"/>
          </w:tcPr>
          <w:p>
            <w:pPr>
              <w:spacing w:after="20" w:before="20"/>
            </w:pPr>
            <w:r>
              <w:rPr>
                <w:sz w:val="16"/>
              </w:rPr>
              <w:t>0.626</w:t>
            </w:r>
          </w:p>
        </w:tc>
        <w:tc>
          <w:tcPr>
            <w:tcW w:type="dxa" w:w="864"/>
          </w:tcPr>
          <w:p>
            <w:pPr>
              <w:spacing w:after="20" w:before="20"/>
            </w:pPr>
            <w:r>
              <w:rPr>
                <w:sz w:val="16"/>
              </w:rPr>
              <w:t>24.43</w:t>
            </w:r>
          </w:p>
        </w:tc>
        <w:tc>
          <w:tcPr>
            <w:tcW w:type="dxa" w:w="1037"/>
          </w:tcPr>
          <w:p>
            <w:pPr>
              <w:spacing w:after="20" w:before="20"/>
            </w:pPr>
            <w:r>
              <w:rPr>
                <w:sz w:val="16"/>
              </w:rPr>
              <w:t>143.9</w:t>
            </w:r>
          </w:p>
        </w:tc>
        <w:tc>
          <w:tcPr>
            <w:tcW w:type="dxa" w:w="763"/>
          </w:tcPr>
          <w:p>
            <w:pPr>
              <w:spacing w:after="20" w:before="20"/>
            </w:pPr>
            <w:r>
              <w:rPr>
                <w:sz w:val="16"/>
              </w:rPr>
              <w:t>—</w:t>
            </w:r>
          </w:p>
        </w:tc>
      </w:tr>
      <w:tr>
        <w:tc>
          <w:tcPr>
            <w:tcW w:type="dxa" w:w="2304"/>
          </w:tcPr>
          <w:p>
            <w:pPr>
              <w:spacing w:after="20" w:before="20"/>
            </w:pPr>
            <w:r>
              <w:rPr>
                <w:sz w:val="16"/>
              </w:rPr>
              <w:t>unetpp</w:t>
            </w:r>
          </w:p>
        </w:tc>
        <w:tc>
          <w:tcPr>
            <w:tcW w:type="dxa" w:w="2088"/>
          </w:tcPr>
          <w:p>
            <w:pPr>
              <w:spacing w:after="20" w:before="20"/>
            </w:pPr>
            <w:r>
              <w:rPr>
                <w:sz w:val="16"/>
              </w:rPr>
              <w:t>0.500±0.026 (n3)</w:t>
            </w:r>
          </w:p>
        </w:tc>
        <w:tc>
          <w:tcPr>
            <w:tcW w:type="dxa" w:w="864"/>
          </w:tcPr>
          <w:p>
            <w:pPr>
              <w:spacing w:after="20" w:before="20"/>
            </w:pPr>
            <w:r>
              <w:rPr>
                <w:sz w:val="16"/>
              </w:rPr>
              <w:t>0.264</w:t>
            </w:r>
          </w:p>
        </w:tc>
        <w:tc>
          <w:tcPr>
            <w:tcW w:type="dxa" w:w="720"/>
          </w:tcPr>
          <w:p>
            <w:pPr>
              <w:spacing w:after="20" w:before="20"/>
            </w:pPr>
            <w:r>
              <w:rPr>
                <w:sz w:val="16"/>
              </w:rPr>
              <w:t>0.666</w:t>
            </w:r>
          </w:p>
        </w:tc>
        <w:tc>
          <w:tcPr>
            <w:tcW w:type="dxa" w:w="792"/>
          </w:tcPr>
          <w:p>
            <w:pPr>
              <w:spacing w:after="20" w:before="20"/>
            </w:pPr>
            <w:r>
              <w:rPr>
                <w:sz w:val="16"/>
              </w:rPr>
              <w:t>0.585</w:t>
            </w:r>
          </w:p>
        </w:tc>
        <w:tc>
          <w:tcPr>
            <w:tcW w:type="dxa" w:w="864"/>
          </w:tcPr>
          <w:p>
            <w:pPr>
              <w:spacing w:after="20" w:before="20"/>
            </w:pPr>
            <w:r>
              <w:rPr>
                <w:sz w:val="16"/>
              </w:rPr>
              <w:t>26.08</w:t>
            </w:r>
          </w:p>
        </w:tc>
        <w:tc>
          <w:tcPr>
            <w:tcW w:type="dxa" w:w="1037"/>
          </w:tcPr>
          <w:p>
            <w:pPr>
              <w:spacing w:after="20" w:before="20"/>
            </w:pPr>
            <w:r>
              <w:rPr>
                <w:sz w:val="16"/>
              </w:rPr>
              <w:t>339.1</w:t>
            </w:r>
          </w:p>
        </w:tc>
        <w:tc>
          <w:tcPr>
            <w:tcW w:type="dxa" w:w="763"/>
          </w:tcPr>
          <w:p>
            <w:pPr>
              <w:spacing w:after="20" w:before="20"/>
            </w:pPr>
            <w:r>
              <w:rPr>
                <w:sz w:val="16"/>
              </w:rPr>
              <w:t>—</w:t>
            </w:r>
          </w:p>
        </w:tc>
      </w:tr>
      <w:tr>
        <w:tc>
          <w:tcPr>
            <w:tcW w:type="dxa" w:w="2304"/>
          </w:tcPr>
          <w:p>
            <w:pPr>
              <w:spacing w:after="20" w:before="20"/>
            </w:pPr>
            <w:r>
              <w:rPr>
                <w:sz w:val="16"/>
              </w:rPr>
              <w:t>mobilenet_unet_lr2e4</w:t>
            </w:r>
          </w:p>
        </w:tc>
        <w:tc>
          <w:tcPr>
            <w:tcW w:type="dxa" w:w="2088"/>
          </w:tcPr>
          <w:p>
            <w:pPr>
              <w:spacing w:after="20" w:before="20"/>
            </w:pPr>
            <w:r>
              <w:rPr>
                <w:sz w:val="16"/>
              </w:rPr>
              <w:t>0.498±0.007 (n3)</w:t>
            </w:r>
          </w:p>
        </w:tc>
        <w:tc>
          <w:tcPr>
            <w:tcW w:type="dxa" w:w="864"/>
          </w:tcPr>
          <w:p>
            <w:pPr>
              <w:spacing w:after="20" w:before="20"/>
            </w:pPr>
            <w:r>
              <w:rPr>
                <w:sz w:val="16"/>
              </w:rPr>
              <w:t>0.272</w:t>
            </w:r>
          </w:p>
        </w:tc>
        <w:tc>
          <w:tcPr>
            <w:tcW w:type="dxa" w:w="720"/>
          </w:tcPr>
          <w:p>
            <w:pPr>
              <w:spacing w:after="20" w:before="20"/>
            </w:pPr>
            <w:r>
              <w:rPr>
                <w:sz w:val="16"/>
              </w:rPr>
              <w:t>0.665</w:t>
            </w:r>
          </w:p>
        </w:tc>
        <w:tc>
          <w:tcPr>
            <w:tcW w:type="dxa" w:w="792"/>
          </w:tcPr>
          <w:p>
            <w:pPr>
              <w:spacing w:after="20" w:before="20"/>
            </w:pPr>
            <w:r>
              <w:rPr>
                <w:sz w:val="16"/>
              </w:rPr>
              <w:t>0.631</w:t>
            </w:r>
          </w:p>
        </w:tc>
        <w:tc>
          <w:tcPr>
            <w:tcW w:type="dxa" w:w="864"/>
          </w:tcPr>
          <w:p>
            <w:pPr>
              <w:spacing w:after="20" w:before="20"/>
            </w:pPr>
            <w:r>
              <w:rPr>
                <w:sz w:val="16"/>
              </w:rPr>
              <w:t>6.63</w:t>
            </w:r>
          </w:p>
        </w:tc>
        <w:tc>
          <w:tcPr>
            <w:tcW w:type="dxa" w:w="1037"/>
          </w:tcPr>
          <w:p>
            <w:pPr>
              <w:spacing w:after="20" w:before="20"/>
            </w:pPr>
            <w:r>
              <w:rPr>
                <w:sz w:val="16"/>
              </w:rPr>
              <w:t>62.7</w:t>
            </w:r>
          </w:p>
        </w:tc>
        <w:tc>
          <w:tcPr>
            <w:tcW w:type="dxa" w:w="763"/>
          </w:tcPr>
          <w:p>
            <w:pPr>
              <w:spacing w:after="20" w:before="20"/>
            </w:pPr>
            <w:r>
              <w:rPr>
                <w:sz w:val="16"/>
              </w:rPr>
              <w:t>—</w:t>
            </w:r>
          </w:p>
        </w:tc>
      </w:tr>
      <w:tr>
        <w:tc>
          <w:tcPr>
            <w:tcW w:type="dxa" w:w="2304"/>
          </w:tcPr>
          <w:p>
            <w:pPr>
              <w:spacing w:after="20" w:before="20"/>
            </w:pPr>
            <w:r>
              <w:rPr>
                <w:sz w:val="16"/>
              </w:rPr>
              <w:t>mobilenet_int8</w:t>
            </w:r>
          </w:p>
        </w:tc>
        <w:tc>
          <w:tcPr>
            <w:tcW w:type="dxa" w:w="2088"/>
          </w:tcPr>
          <w:p>
            <w:pPr>
              <w:spacing w:after="20" w:before="20"/>
            </w:pPr>
            <w:r>
              <w:rPr>
                <w:sz w:val="16"/>
              </w:rPr>
              <w:t>0.490±0.003 (n3)</w:t>
            </w:r>
          </w:p>
        </w:tc>
        <w:tc>
          <w:tcPr>
            <w:tcW w:type="dxa" w:w="864"/>
          </w:tcPr>
          <w:p>
            <w:pPr>
              <w:spacing w:after="20" w:before="20"/>
            </w:pPr>
            <w:r>
              <w:rPr>
                <w:sz w:val="16"/>
              </w:rPr>
              <w:t>0.258</w:t>
            </w:r>
          </w:p>
        </w:tc>
        <w:tc>
          <w:tcPr>
            <w:tcW w:type="dxa" w:w="720"/>
          </w:tcPr>
          <w:p>
            <w:pPr>
              <w:spacing w:after="20" w:before="20"/>
            </w:pPr>
            <w:r>
              <w:rPr>
                <w:sz w:val="16"/>
              </w:rPr>
              <w:t>0.658</w:t>
            </w:r>
          </w:p>
        </w:tc>
        <w:tc>
          <w:tcPr>
            <w:tcW w:type="dxa" w:w="792"/>
          </w:tcPr>
          <w:p>
            <w:pPr>
              <w:spacing w:after="20" w:before="20"/>
            </w:pPr>
            <w:r>
              <w:rPr>
                <w:sz w:val="16"/>
              </w:rPr>
              <w:t>0.616</w:t>
            </w:r>
          </w:p>
        </w:tc>
        <w:tc>
          <w:tcPr>
            <w:tcW w:type="dxa" w:w="864"/>
          </w:tcPr>
          <w:p>
            <w:pPr>
              <w:spacing w:after="20" w:before="20"/>
            </w:pPr>
            <w:r>
              <w:rPr>
                <w:sz w:val="16"/>
              </w:rPr>
              <w:t>6.63</w:t>
            </w:r>
          </w:p>
        </w:tc>
        <w:tc>
          <w:tcPr>
            <w:tcW w:type="dxa" w:w="1037"/>
          </w:tcPr>
          <w:p>
            <w:pPr>
              <w:spacing w:after="20" w:before="20"/>
            </w:pPr>
            <w:r>
              <w:rPr>
                <w:sz w:val="16"/>
              </w:rPr>
              <w:t>3.1</w:t>
            </w:r>
          </w:p>
        </w:tc>
        <w:tc>
          <w:tcPr>
            <w:tcW w:type="dxa" w:w="763"/>
          </w:tcPr>
          <w:p>
            <w:pPr>
              <w:spacing w:after="20" w:before="20"/>
            </w:pPr>
            <w:r>
              <w:rPr>
                <w:sz w:val="16"/>
              </w:rPr>
              <w:t>—</w:t>
            </w:r>
          </w:p>
        </w:tc>
      </w:tr>
      <w:tr>
        <w:tc>
          <w:tcPr>
            <w:tcW w:type="dxa" w:w="2304"/>
          </w:tcPr>
          <w:p>
            <w:pPr>
              <w:spacing w:after="20" w:before="20"/>
            </w:pPr>
            <w:r>
              <w:rPr>
                <w:sz w:val="16"/>
              </w:rPr>
              <w:t>mobilenet_unet_lr5e5</w:t>
            </w:r>
          </w:p>
        </w:tc>
        <w:tc>
          <w:tcPr>
            <w:tcW w:type="dxa" w:w="2088"/>
          </w:tcPr>
          <w:p>
            <w:pPr>
              <w:spacing w:after="20" w:before="20"/>
            </w:pPr>
            <w:r>
              <w:rPr>
                <w:sz w:val="16"/>
              </w:rPr>
              <w:t>0.490±0.002 (n3)</w:t>
            </w:r>
          </w:p>
        </w:tc>
        <w:tc>
          <w:tcPr>
            <w:tcW w:type="dxa" w:w="864"/>
          </w:tcPr>
          <w:p>
            <w:pPr>
              <w:spacing w:after="20" w:before="20"/>
            </w:pPr>
            <w:r>
              <w:rPr>
                <w:sz w:val="16"/>
              </w:rPr>
              <w:t>0.262</w:t>
            </w:r>
          </w:p>
        </w:tc>
        <w:tc>
          <w:tcPr>
            <w:tcW w:type="dxa" w:w="720"/>
          </w:tcPr>
          <w:p>
            <w:pPr>
              <w:spacing w:after="20" w:before="20"/>
            </w:pPr>
            <w:r>
              <w:rPr>
                <w:sz w:val="16"/>
              </w:rPr>
              <w:t>0.658</w:t>
            </w:r>
          </w:p>
        </w:tc>
        <w:tc>
          <w:tcPr>
            <w:tcW w:type="dxa" w:w="792"/>
          </w:tcPr>
          <w:p>
            <w:pPr>
              <w:spacing w:after="20" w:before="20"/>
            </w:pPr>
            <w:r>
              <w:rPr>
                <w:sz w:val="16"/>
              </w:rPr>
              <w:t>0.656</w:t>
            </w:r>
          </w:p>
        </w:tc>
        <w:tc>
          <w:tcPr>
            <w:tcW w:type="dxa" w:w="864"/>
          </w:tcPr>
          <w:p>
            <w:pPr>
              <w:spacing w:after="20" w:before="20"/>
            </w:pPr>
            <w:r>
              <w:rPr>
                <w:sz w:val="16"/>
              </w:rPr>
              <w:t>6.63</w:t>
            </w:r>
          </w:p>
        </w:tc>
        <w:tc>
          <w:tcPr>
            <w:tcW w:type="dxa" w:w="1037"/>
          </w:tcPr>
          <w:p>
            <w:pPr>
              <w:spacing w:after="20" w:before="20"/>
            </w:pPr>
            <w:r>
              <w:rPr>
                <w:sz w:val="16"/>
              </w:rPr>
              <w:t>62.7</w:t>
            </w:r>
          </w:p>
        </w:tc>
        <w:tc>
          <w:tcPr>
            <w:tcW w:type="dxa" w:w="763"/>
          </w:tcPr>
          <w:p>
            <w:pPr>
              <w:spacing w:after="20" w:before="20"/>
            </w:pPr>
            <w:r>
              <w:rPr>
                <w:sz w:val="16"/>
              </w:rPr>
              <w:t>—</w:t>
            </w:r>
          </w:p>
        </w:tc>
      </w:tr>
      <w:tr>
        <w:tc>
          <w:tcPr>
            <w:tcW w:type="dxa" w:w="2304"/>
          </w:tcPr>
          <w:p>
            <w:pPr>
              <w:spacing w:after="20" w:before="20"/>
            </w:pPr>
            <w:r>
              <w:rPr>
                <w:sz w:val="16"/>
              </w:rPr>
              <w:t>unet</w:t>
            </w:r>
          </w:p>
        </w:tc>
        <w:tc>
          <w:tcPr>
            <w:tcW w:type="dxa" w:w="2088"/>
          </w:tcPr>
          <w:p>
            <w:pPr>
              <w:spacing w:after="20" w:before="20"/>
            </w:pPr>
            <w:r>
              <w:rPr>
                <w:sz w:val="16"/>
              </w:rPr>
              <w:t>0.482±0.019 (n3)</w:t>
            </w:r>
          </w:p>
        </w:tc>
        <w:tc>
          <w:tcPr>
            <w:tcW w:type="dxa" w:w="864"/>
          </w:tcPr>
          <w:p>
            <w:pPr>
              <w:spacing w:after="20" w:before="20"/>
            </w:pPr>
            <w:r>
              <w:rPr>
                <w:sz w:val="16"/>
              </w:rPr>
              <w:t>0.306</w:t>
            </w:r>
          </w:p>
        </w:tc>
        <w:tc>
          <w:tcPr>
            <w:tcW w:type="dxa" w:w="720"/>
          </w:tcPr>
          <w:p>
            <w:pPr>
              <w:spacing w:after="20" w:before="20"/>
            </w:pPr>
            <w:r>
              <w:rPr>
                <w:sz w:val="16"/>
              </w:rPr>
              <w:t>0.650</w:t>
            </w:r>
          </w:p>
        </w:tc>
        <w:tc>
          <w:tcPr>
            <w:tcW w:type="dxa" w:w="792"/>
          </w:tcPr>
          <w:p>
            <w:pPr>
              <w:spacing w:after="20" w:before="20"/>
            </w:pPr>
            <w:r>
              <w:rPr>
                <w:sz w:val="16"/>
              </w:rPr>
              <w:t>0.632</w:t>
            </w:r>
          </w:p>
        </w:tc>
        <w:tc>
          <w:tcPr>
            <w:tcW w:type="dxa" w:w="864"/>
          </w:tcPr>
          <w:p>
            <w:pPr>
              <w:spacing w:after="20" w:before="20"/>
            </w:pPr>
            <w:r>
              <w:rPr>
                <w:sz w:val="16"/>
              </w:rPr>
              <w:t>7.76</w:t>
            </w:r>
          </w:p>
        </w:tc>
        <w:tc>
          <w:tcPr>
            <w:tcW w:type="dxa" w:w="1037"/>
          </w:tcPr>
          <w:p>
            <w:pPr>
              <w:spacing w:after="20" w:before="20"/>
            </w:pPr>
            <w:r>
              <w:rPr>
                <w:sz w:val="16"/>
              </w:rPr>
              <w:t>223.2</w:t>
            </w:r>
          </w:p>
        </w:tc>
        <w:tc>
          <w:tcPr>
            <w:tcW w:type="dxa" w:w="763"/>
          </w:tcPr>
          <w:p>
            <w:pPr>
              <w:spacing w:after="20" w:before="20"/>
            </w:pPr>
            <w:r>
              <w:rPr>
                <w:sz w:val="16"/>
              </w:rPr>
              <w:t>—</w:t>
            </w:r>
          </w:p>
        </w:tc>
      </w:tr>
      <w:tr>
        <w:tc>
          <w:tcPr>
            <w:tcW w:type="dxa" w:w="2304"/>
          </w:tcPr>
          <w:p>
            <w:pPr>
              <w:spacing w:after="20" w:before="20"/>
            </w:pPr>
            <w:r>
              <w:rPr>
                <w:sz w:val="16"/>
              </w:rPr>
              <w:t>mobilenet_unet</w:t>
            </w:r>
          </w:p>
        </w:tc>
        <w:tc>
          <w:tcPr>
            <w:tcW w:type="dxa" w:w="2088"/>
          </w:tcPr>
          <w:p>
            <w:pPr>
              <w:spacing w:after="20" w:before="20"/>
            </w:pPr>
            <w:r>
              <w:rPr>
                <w:sz w:val="16"/>
              </w:rPr>
              <w:t>0.480±0.017 (n3)</w:t>
            </w:r>
          </w:p>
        </w:tc>
        <w:tc>
          <w:tcPr>
            <w:tcW w:type="dxa" w:w="864"/>
          </w:tcPr>
          <w:p>
            <w:pPr>
              <w:spacing w:after="20" w:before="20"/>
            </w:pPr>
            <w:r>
              <w:rPr>
                <w:sz w:val="16"/>
              </w:rPr>
              <w:t>0.250</w:t>
            </w:r>
          </w:p>
        </w:tc>
        <w:tc>
          <w:tcPr>
            <w:tcW w:type="dxa" w:w="720"/>
          </w:tcPr>
          <w:p>
            <w:pPr>
              <w:spacing w:after="20" w:before="20"/>
            </w:pPr>
            <w:r>
              <w:rPr>
                <w:sz w:val="16"/>
              </w:rPr>
              <w:t>0.649</w:t>
            </w:r>
          </w:p>
        </w:tc>
        <w:tc>
          <w:tcPr>
            <w:tcW w:type="dxa" w:w="792"/>
          </w:tcPr>
          <w:p>
            <w:pPr>
              <w:spacing w:after="20" w:before="20"/>
            </w:pPr>
            <w:r>
              <w:rPr>
                <w:sz w:val="16"/>
              </w:rPr>
              <w:t>0.634</w:t>
            </w:r>
          </w:p>
        </w:tc>
        <w:tc>
          <w:tcPr>
            <w:tcW w:type="dxa" w:w="864"/>
          </w:tcPr>
          <w:p>
            <w:pPr>
              <w:spacing w:after="20" w:before="20"/>
            </w:pPr>
            <w:r>
              <w:rPr>
                <w:sz w:val="16"/>
              </w:rPr>
              <w:t>6.63</w:t>
            </w:r>
          </w:p>
        </w:tc>
        <w:tc>
          <w:tcPr>
            <w:tcW w:type="dxa" w:w="1037"/>
          </w:tcPr>
          <w:p>
            <w:pPr>
              <w:spacing w:after="20" w:before="20"/>
            </w:pPr>
            <w:r>
              <w:rPr>
                <w:sz w:val="16"/>
              </w:rPr>
              <w:t>62.7</w:t>
            </w:r>
          </w:p>
        </w:tc>
        <w:tc>
          <w:tcPr>
            <w:tcW w:type="dxa" w:w="763"/>
          </w:tcPr>
          <w:p>
            <w:pPr>
              <w:spacing w:after="20" w:before="20"/>
            </w:pPr>
            <w:r>
              <w:rPr>
                <w:sz w:val="16"/>
              </w:rPr>
              <w:t>—</w:t>
            </w:r>
          </w:p>
        </w:tc>
      </w:tr>
      <w:tr>
        <w:tc>
          <w:tcPr>
            <w:tcW w:type="dxa" w:w="2304"/>
          </w:tcPr>
          <w:p>
            <w:pPr>
              <w:spacing w:after="20" w:before="20"/>
            </w:pPr>
            <w:r>
              <w:rPr>
                <w:sz w:val="16"/>
              </w:rPr>
              <w:t>deeplabv3</w:t>
            </w:r>
          </w:p>
        </w:tc>
        <w:tc>
          <w:tcPr>
            <w:tcW w:type="dxa" w:w="2088"/>
          </w:tcPr>
          <w:p>
            <w:pPr>
              <w:spacing w:after="20" w:before="20"/>
            </w:pPr>
            <w:r>
              <w:rPr>
                <w:sz w:val="16"/>
              </w:rPr>
              <w:t>0.419±0.014 (n3)</w:t>
            </w:r>
          </w:p>
        </w:tc>
        <w:tc>
          <w:tcPr>
            <w:tcW w:type="dxa" w:w="864"/>
          </w:tcPr>
          <w:p>
            <w:pPr>
              <w:spacing w:after="20" w:before="20"/>
            </w:pPr>
            <w:r>
              <w:rPr>
                <w:sz w:val="16"/>
              </w:rPr>
              <w:t>0.127</w:t>
            </w:r>
          </w:p>
        </w:tc>
        <w:tc>
          <w:tcPr>
            <w:tcW w:type="dxa" w:w="720"/>
          </w:tcPr>
          <w:p>
            <w:pPr>
              <w:spacing w:after="20" w:before="20"/>
            </w:pPr>
            <w:r>
              <w:rPr>
                <w:sz w:val="16"/>
              </w:rPr>
              <w:t>0.590</w:t>
            </w:r>
          </w:p>
        </w:tc>
        <w:tc>
          <w:tcPr>
            <w:tcW w:type="dxa" w:w="792"/>
          </w:tcPr>
          <w:p>
            <w:pPr>
              <w:spacing w:after="20" w:before="20"/>
            </w:pPr>
            <w:r>
              <w:rPr>
                <w:sz w:val="16"/>
              </w:rPr>
              <w:t>0.496</w:t>
            </w:r>
          </w:p>
        </w:tc>
        <w:tc>
          <w:tcPr>
            <w:tcW w:type="dxa" w:w="864"/>
          </w:tcPr>
          <w:p>
            <w:pPr>
              <w:spacing w:after="20" w:before="20"/>
            </w:pPr>
            <w:r>
              <w:rPr>
                <w:sz w:val="16"/>
              </w:rPr>
              <w:t>26.00</w:t>
            </w:r>
          </w:p>
        </w:tc>
        <w:tc>
          <w:tcPr>
            <w:tcW w:type="dxa" w:w="1037"/>
          </w:tcPr>
          <w:p>
            <w:pPr>
              <w:spacing w:after="20" w:before="20"/>
            </w:pPr>
            <w:r>
              <w:rPr>
                <w:sz w:val="16"/>
              </w:rPr>
              <w:t>502.3</w:t>
            </w:r>
          </w:p>
        </w:tc>
        <w:tc>
          <w:tcPr>
            <w:tcW w:type="dxa" w:w="763"/>
          </w:tcPr>
          <w:p>
            <w:pPr>
              <w:spacing w:after="20" w:before="20"/>
            </w:pPr>
            <w:r>
              <w:rPr>
                <w:sz w:val="16"/>
              </w:rPr>
              <w:t>—</w:t>
            </w:r>
          </w:p>
        </w:tc>
      </w:tr>
      <w:tr>
        <w:tc>
          <w:tcPr>
            <w:tcW w:type="dxa" w:w="2304"/>
          </w:tcPr>
          <w:p>
            <w:pPr>
              <w:spacing w:after="20" w:before="20"/>
            </w:pPr>
            <w:r>
              <w:rPr>
                <w:sz w:val="16"/>
              </w:rPr>
              <w:t>spiking_unet_T2</w:t>
            </w:r>
          </w:p>
        </w:tc>
        <w:tc>
          <w:tcPr>
            <w:tcW w:type="dxa" w:w="2088"/>
          </w:tcPr>
          <w:p>
            <w:pPr>
              <w:spacing w:after="20" w:before="20"/>
            </w:pPr>
            <w:r>
              <w:rPr>
                <w:sz w:val="16"/>
              </w:rPr>
              <w:t>0.391±0.045 (n3)</w:t>
            </w:r>
          </w:p>
        </w:tc>
        <w:tc>
          <w:tcPr>
            <w:tcW w:type="dxa" w:w="864"/>
          </w:tcPr>
          <w:p>
            <w:pPr>
              <w:spacing w:after="20" w:before="20"/>
            </w:pPr>
            <w:r>
              <w:rPr>
                <w:sz w:val="16"/>
              </w:rPr>
              <w:t>0.240</w:t>
            </w:r>
          </w:p>
        </w:tc>
        <w:tc>
          <w:tcPr>
            <w:tcW w:type="dxa" w:w="720"/>
          </w:tcPr>
          <w:p>
            <w:pPr>
              <w:spacing w:after="20" w:before="20"/>
            </w:pPr>
            <w:r>
              <w:rPr>
                <w:sz w:val="16"/>
              </w:rPr>
              <w:t>0.561</w:t>
            </w:r>
          </w:p>
        </w:tc>
        <w:tc>
          <w:tcPr>
            <w:tcW w:type="dxa" w:w="792"/>
          </w:tcPr>
          <w:p>
            <w:pPr>
              <w:spacing w:after="20" w:before="20"/>
            </w:pPr>
            <w:r>
              <w:rPr>
                <w:sz w:val="16"/>
              </w:rPr>
              <w:t>0.508</w:t>
            </w:r>
          </w:p>
        </w:tc>
        <w:tc>
          <w:tcPr>
            <w:tcW w:type="dxa" w:w="864"/>
          </w:tcPr>
          <w:p>
            <w:pPr>
              <w:spacing w:after="20" w:before="20"/>
            </w:pPr>
            <w:r>
              <w:rPr>
                <w:sz w:val="16"/>
              </w:rPr>
              <w:t>7.76</w:t>
            </w:r>
          </w:p>
        </w:tc>
        <w:tc>
          <w:tcPr>
            <w:tcW w:type="dxa" w:w="1037"/>
          </w:tcPr>
          <w:p>
            <w:pPr>
              <w:spacing w:after="20" w:before="20"/>
            </w:pPr>
            <w:r>
              <w:rPr>
                <w:sz w:val="16"/>
              </w:rPr>
              <w:t>31.4</w:t>
            </w:r>
          </w:p>
        </w:tc>
        <w:tc>
          <w:tcPr>
            <w:tcW w:type="dxa" w:w="763"/>
          </w:tcPr>
          <w:p>
            <w:pPr>
              <w:spacing w:after="20" w:before="20"/>
            </w:pPr>
            <w:r>
              <w:rPr>
                <w:sz w:val="16"/>
              </w:rPr>
              <w:t>13.6</w:t>
            </w:r>
          </w:p>
        </w:tc>
      </w:tr>
      <w:tr>
        <w:tc>
          <w:tcPr>
            <w:tcW w:type="dxa" w:w="2304"/>
          </w:tcPr>
          <w:p>
            <w:pPr>
              <w:spacing w:after="20" w:before="20"/>
            </w:pPr>
            <w:r>
              <w:rPr>
                <w:sz w:val="16"/>
              </w:rPr>
              <w:t>spiking_unet_T8</w:t>
            </w:r>
          </w:p>
        </w:tc>
        <w:tc>
          <w:tcPr>
            <w:tcW w:type="dxa" w:w="2088"/>
          </w:tcPr>
          <w:p>
            <w:pPr>
              <w:spacing w:after="20" w:before="20"/>
            </w:pPr>
            <w:r>
              <w:rPr>
                <w:sz w:val="16"/>
              </w:rPr>
              <w:t>0.388±0.030 (n3)</w:t>
            </w:r>
          </w:p>
        </w:tc>
        <w:tc>
          <w:tcPr>
            <w:tcW w:type="dxa" w:w="864"/>
          </w:tcPr>
          <w:p>
            <w:pPr>
              <w:spacing w:after="20" w:before="20"/>
            </w:pPr>
            <w:r>
              <w:rPr>
                <w:sz w:val="16"/>
              </w:rPr>
              <w:t>0.246</w:t>
            </w:r>
          </w:p>
        </w:tc>
        <w:tc>
          <w:tcPr>
            <w:tcW w:type="dxa" w:w="720"/>
          </w:tcPr>
          <w:p>
            <w:pPr>
              <w:spacing w:after="20" w:before="20"/>
            </w:pPr>
            <w:r>
              <w:rPr>
                <w:sz w:val="16"/>
              </w:rPr>
              <w:t>0.558</w:t>
            </w:r>
          </w:p>
        </w:tc>
        <w:tc>
          <w:tcPr>
            <w:tcW w:type="dxa" w:w="792"/>
          </w:tcPr>
          <w:p>
            <w:pPr>
              <w:spacing w:after="20" w:before="20"/>
            </w:pPr>
            <w:r>
              <w:rPr>
                <w:sz w:val="16"/>
              </w:rPr>
              <w:t>0.368</w:t>
            </w:r>
          </w:p>
        </w:tc>
        <w:tc>
          <w:tcPr>
            <w:tcW w:type="dxa" w:w="864"/>
          </w:tcPr>
          <w:p>
            <w:pPr>
              <w:spacing w:after="20" w:before="20"/>
            </w:pPr>
            <w:r>
              <w:rPr>
                <w:sz w:val="16"/>
              </w:rPr>
              <w:t>7.76</w:t>
            </w:r>
          </w:p>
        </w:tc>
        <w:tc>
          <w:tcPr>
            <w:tcW w:type="dxa" w:w="1037"/>
          </w:tcPr>
          <w:p>
            <w:pPr>
              <w:spacing w:after="20" w:before="20"/>
            </w:pPr>
            <w:r>
              <w:rPr>
                <w:sz w:val="16"/>
              </w:rPr>
              <w:t>166.8</w:t>
            </w:r>
          </w:p>
        </w:tc>
        <w:tc>
          <w:tcPr>
            <w:tcW w:type="dxa" w:w="763"/>
          </w:tcPr>
          <w:p>
            <w:pPr>
              <w:spacing w:after="20" w:before="20"/>
            </w:pPr>
            <w:r>
              <w:rPr>
                <w:sz w:val="16"/>
              </w:rPr>
              <w:t>23.8</w:t>
            </w:r>
          </w:p>
        </w:tc>
      </w:tr>
      <w:tr>
        <w:tc>
          <w:tcPr>
            <w:tcW w:type="dxa" w:w="2304"/>
          </w:tcPr>
          <w:p>
            <w:pPr>
              <w:spacing w:after="20" w:before="20"/>
            </w:pPr>
            <w:r>
              <w:rPr>
                <w:sz w:val="16"/>
              </w:rPr>
              <w:t>spiking_unet_T2_lr2e4</w:t>
            </w:r>
          </w:p>
        </w:tc>
        <w:tc>
          <w:tcPr>
            <w:tcW w:type="dxa" w:w="2088"/>
          </w:tcPr>
          <w:p>
            <w:pPr>
              <w:spacing w:after="20" w:before="20"/>
            </w:pPr>
            <w:r>
              <w:rPr>
                <w:sz w:val="16"/>
              </w:rPr>
              <w:t>0.370±0.034 (n3)</w:t>
            </w:r>
          </w:p>
        </w:tc>
        <w:tc>
          <w:tcPr>
            <w:tcW w:type="dxa" w:w="864"/>
          </w:tcPr>
          <w:p>
            <w:pPr>
              <w:spacing w:after="20" w:before="20"/>
            </w:pPr>
            <w:r>
              <w:rPr>
                <w:sz w:val="16"/>
              </w:rPr>
              <w:t>0.245</w:t>
            </w:r>
          </w:p>
        </w:tc>
        <w:tc>
          <w:tcPr>
            <w:tcW w:type="dxa" w:w="720"/>
          </w:tcPr>
          <w:p>
            <w:pPr>
              <w:spacing w:after="20" w:before="20"/>
            </w:pPr>
            <w:r>
              <w:rPr>
                <w:sz w:val="16"/>
              </w:rPr>
              <w:t>0.539</w:t>
            </w:r>
          </w:p>
        </w:tc>
        <w:tc>
          <w:tcPr>
            <w:tcW w:type="dxa" w:w="792"/>
          </w:tcPr>
          <w:p>
            <w:pPr>
              <w:spacing w:after="20" w:before="20"/>
            </w:pPr>
            <w:r>
              <w:rPr>
                <w:sz w:val="16"/>
              </w:rPr>
              <w:t>0.315</w:t>
            </w:r>
          </w:p>
        </w:tc>
        <w:tc>
          <w:tcPr>
            <w:tcW w:type="dxa" w:w="864"/>
          </w:tcPr>
          <w:p>
            <w:pPr>
              <w:spacing w:after="20" w:before="20"/>
            </w:pPr>
            <w:r>
              <w:rPr>
                <w:sz w:val="16"/>
              </w:rPr>
              <w:t>7.76</w:t>
            </w:r>
          </w:p>
        </w:tc>
        <w:tc>
          <w:tcPr>
            <w:tcW w:type="dxa" w:w="1037"/>
          </w:tcPr>
          <w:p>
            <w:pPr>
              <w:spacing w:after="20" w:before="20"/>
            </w:pPr>
            <w:r>
              <w:rPr>
                <w:sz w:val="16"/>
              </w:rPr>
              <w:t>26.6</w:t>
            </w:r>
          </w:p>
        </w:tc>
        <w:tc>
          <w:tcPr>
            <w:tcW w:type="dxa" w:w="763"/>
          </w:tcPr>
          <w:p>
            <w:pPr>
              <w:spacing w:after="20" w:before="20"/>
            </w:pPr>
            <w:r>
              <w:rPr>
                <w:sz w:val="16"/>
              </w:rPr>
              <w:t>12.7</w:t>
            </w:r>
          </w:p>
        </w:tc>
      </w:tr>
      <w:tr>
        <w:tc>
          <w:tcPr>
            <w:tcW w:type="dxa" w:w="2304"/>
          </w:tcPr>
          <w:p>
            <w:pPr>
              <w:spacing w:after="20" w:before="20"/>
            </w:pPr>
            <w:r>
              <w:rPr>
                <w:sz w:val="16"/>
              </w:rPr>
              <w:t>spiking_unet_T7</w:t>
            </w:r>
          </w:p>
        </w:tc>
        <w:tc>
          <w:tcPr>
            <w:tcW w:type="dxa" w:w="2088"/>
          </w:tcPr>
          <w:p>
            <w:pPr>
              <w:spacing w:after="20" w:before="20"/>
            </w:pPr>
            <w:r>
              <w:rPr>
                <w:sz w:val="16"/>
              </w:rPr>
              <w:t>0.365±0.022 (n3)</w:t>
            </w:r>
          </w:p>
        </w:tc>
        <w:tc>
          <w:tcPr>
            <w:tcW w:type="dxa" w:w="864"/>
          </w:tcPr>
          <w:p>
            <w:pPr>
              <w:spacing w:after="20" w:before="20"/>
            </w:pPr>
            <w:r>
              <w:rPr>
                <w:sz w:val="16"/>
              </w:rPr>
              <w:t>0.251</w:t>
            </w:r>
          </w:p>
        </w:tc>
        <w:tc>
          <w:tcPr>
            <w:tcW w:type="dxa" w:w="720"/>
          </w:tcPr>
          <w:p>
            <w:pPr>
              <w:spacing w:after="20" w:before="20"/>
            </w:pPr>
            <w:r>
              <w:rPr>
                <w:sz w:val="16"/>
              </w:rPr>
              <w:t>0.534</w:t>
            </w:r>
          </w:p>
        </w:tc>
        <w:tc>
          <w:tcPr>
            <w:tcW w:type="dxa" w:w="792"/>
          </w:tcPr>
          <w:p>
            <w:pPr>
              <w:spacing w:after="20" w:before="20"/>
            </w:pPr>
            <w:r>
              <w:rPr>
                <w:sz w:val="16"/>
              </w:rPr>
              <w:t>0.533</w:t>
            </w:r>
          </w:p>
        </w:tc>
        <w:tc>
          <w:tcPr>
            <w:tcW w:type="dxa" w:w="864"/>
          </w:tcPr>
          <w:p>
            <w:pPr>
              <w:spacing w:after="20" w:before="20"/>
            </w:pPr>
            <w:r>
              <w:rPr>
                <w:sz w:val="16"/>
              </w:rPr>
              <w:t>7.76</w:t>
            </w:r>
          </w:p>
        </w:tc>
        <w:tc>
          <w:tcPr>
            <w:tcW w:type="dxa" w:w="1037"/>
          </w:tcPr>
          <w:p>
            <w:pPr>
              <w:spacing w:after="20" w:before="20"/>
            </w:pPr>
            <w:r>
              <w:rPr>
                <w:sz w:val="16"/>
              </w:rPr>
              <w:t>115.0</w:t>
            </w:r>
          </w:p>
        </w:tc>
        <w:tc>
          <w:tcPr>
            <w:tcW w:type="dxa" w:w="763"/>
          </w:tcPr>
          <w:p>
            <w:pPr>
              <w:spacing w:after="20" w:before="20"/>
            </w:pPr>
            <w:r>
              <w:rPr>
                <w:sz w:val="16"/>
              </w:rPr>
              <w:t>23.9</w:t>
            </w:r>
          </w:p>
        </w:tc>
      </w:tr>
      <w:tr>
        <w:tc>
          <w:tcPr>
            <w:tcW w:type="dxa" w:w="2304"/>
          </w:tcPr>
          <w:p>
            <w:pPr>
              <w:spacing w:after="20" w:before="20"/>
            </w:pPr>
            <w:r>
              <w:rPr>
                <w:sz w:val="16"/>
              </w:rPr>
              <w:t>spiking_unet_T5</w:t>
            </w:r>
          </w:p>
        </w:tc>
        <w:tc>
          <w:tcPr>
            <w:tcW w:type="dxa" w:w="2088"/>
          </w:tcPr>
          <w:p>
            <w:pPr>
              <w:spacing w:after="20" w:before="20"/>
            </w:pPr>
            <w:r>
              <w:rPr>
                <w:sz w:val="16"/>
              </w:rPr>
              <w:t>0.361±0.019 (n3)</w:t>
            </w:r>
          </w:p>
        </w:tc>
        <w:tc>
          <w:tcPr>
            <w:tcW w:type="dxa" w:w="864"/>
          </w:tcPr>
          <w:p>
            <w:pPr>
              <w:spacing w:after="20" w:before="20"/>
            </w:pPr>
            <w:r>
              <w:rPr>
                <w:sz w:val="16"/>
              </w:rPr>
              <w:t>0.261</w:t>
            </w:r>
          </w:p>
        </w:tc>
        <w:tc>
          <w:tcPr>
            <w:tcW w:type="dxa" w:w="720"/>
          </w:tcPr>
          <w:p>
            <w:pPr>
              <w:spacing w:after="20" w:before="20"/>
            </w:pPr>
            <w:r>
              <w:rPr>
                <w:sz w:val="16"/>
              </w:rPr>
              <w:t>0.530</w:t>
            </w:r>
          </w:p>
        </w:tc>
        <w:tc>
          <w:tcPr>
            <w:tcW w:type="dxa" w:w="792"/>
          </w:tcPr>
          <w:p>
            <w:pPr>
              <w:spacing w:after="20" w:before="20"/>
            </w:pPr>
            <w:r>
              <w:rPr>
                <w:sz w:val="16"/>
              </w:rPr>
              <w:t>0.495</w:t>
            </w:r>
          </w:p>
        </w:tc>
        <w:tc>
          <w:tcPr>
            <w:tcW w:type="dxa" w:w="864"/>
          </w:tcPr>
          <w:p>
            <w:pPr>
              <w:spacing w:after="20" w:before="20"/>
            </w:pPr>
            <w:r>
              <w:rPr>
                <w:sz w:val="16"/>
              </w:rPr>
              <w:t>7.76</w:t>
            </w:r>
          </w:p>
        </w:tc>
        <w:tc>
          <w:tcPr>
            <w:tcW w:type="dxa" w:w="1037"/>
          </w:tcPr>
          <w:p>
            <w:pPr>
              <w:spacing w:after="20" w:before="20"/>
            </w:pPr>
            <w:r>
              <w:rPr>
                <w:sz w:val="16"/>
              </w:rPr>
              <w:t>79.4</w:t>
            </w:r>
          </w:p>
        </w:tc>
        <w:tc>
          <w:tcPr>
            <w:tcW w:type="dxa" w:w="763"/>
          </w:tcPr>
          <w:p>
            <w:pPr>
              <w:spacing w:after="20" w:before="20"/>
            </w:pPr>
            <w:r>
              <w:rPr>
                <w:sz w:val="16"/>
              </w:rPr>
              <w:t>19.3</w:t>
            </w:r>
          </w:p>
        </w:tc>
      </w:tr>
      <w:tr>
        <w:tc>
          <w:tcPr>
            <w:tcW w:type="dxa" w:w="2304"/>
          </w:tcPr>
          <w:p>
            <w:pPr>
              <w:spacing w:after="20" w:before="20"/>
            </w:pPr>
            <w:r>
              <w:rPr>
                <w:sz w:val="16"/>
              </w:rPr>
              <w:t>spiking_unet_T8_lr2e4</w:t>
            </w:r>
          </w:p>
        </w:tc>
        <w:tc>
          <w:tcPr>
            <w:tcW w:type="dxa" w:w="2088"/>
          </w:tcPr>
          <w:p>
            <w:pPr>
              <w:spacing w:after="20" w:before="20"/>
            </w:pPr>
            <w:r>
              <w:rPr>
                <w:sz w:val="16"/>
              </w:rPr>
              <w:t>0.355±0.018 (n3)</w:t>
            </w:r>
          </w:p>
        </w:tc>
        <w:tc>
          <w:tcPr>
            <w:tcW w:type="dxa" w:w="864"/>
          </w:tcPr>
          <w:p>
            <w:pPr>
              <w:spacing w:after="20" w:before="20"/>
            </w:pPr>
            <w:r>
              <w:rPr>
                <w:sz w:val="16"/>
              </w:rPr>
              <w:t>0.250</w:t>
            </w:r>
          </w:p>
        </w:tc>
        <w:tc>
          <w:tcPr>
            <w:tcW w:type="dxa" w:w="720"/>
          </w:tcPr>
          <w:p>
            <w:pPr>
              <w:spacing w:after="20" w:before="20"/>
            </w:pPr>
            <w:r>
              <w:rPr>
                <w:sz w:val="16"/>
              </w:rPr>
              <w:t>0.524</w:t>
            </w:r>
          </w:p>
        </w:tc>
        <w:tc>
          <w:tcPr>
            <w:tcW w:type="dxa" w:w="792"/>
          </w:tcPr>
          <w:p>
            <w:pPr>
              <w:spacing w:after="20" w:before="20"/>
            </w:pPr>
            <w:r>
              <w:rPr>
                <w:sz w:val="16"/>
              </w:rPr>
              <w:t>0.356</w:t>
            </w:r>
          </w:p>
        </w:tc>
        <w:tc>
          <w:tcPr>
            <w:tcW w:type="dxa" w:w="864"/>
          </w:tcPr>
          <w:p>
            <w:pPr>
              <w:spacing w:after="20" w:before="20"/>
            </w:pPr>
            <w:r>
              <w:rPr>
                <w:sz w:val="16"/>
              </w:rPr>
              <w:t>7.76</w:t>
            </w:r>
          </w:p>
        </w:tc>
        <w:tc>
          <w:tcPr>
            <w:tcW w:type="dxa" w:w="1037"/>
          </w:tcPr>
          <w:p>
            <w:pPr>
              <w:spacing w:after="20" w:before="20"/>
            </w:pPr>
            <w:r>
              <w:rPr>
                <w:sz w:val="16"/>
              </w:rPr>
              <w:t>178.7</w:t>
            </w:r>
          </w:p>
        </w:tc>
        <w:tc>
          <w:tcPr>
            <w:tcW w:type="dxa" w:w="763"/>
          </w:tcPr>
          <w:p>
            <w:pPr>
              <w:spacing w:after="20" w:before="20"/>
            </w:pPr>
            <w:r>
              <w:rPr>
                <w:sz w:val="16"/>
              </w:rPr>
              <w:t>26.8</w:t>
            </w:r>
          </w:p>
        </w:tc>
      </w:tr>
      <w:tr>
        <w:tc>
          <w:tcPr>
            <w:tcW w:type="dxa" w:w="2304"/>
          </w:tcPr>
          <w:p>
            <w:pPr>
              <w:spacing w:after="20" w:before="20"/>
            </w:pPr>
            <w:r>
              <w:rPr>
                <w:sz w:val="16"/>
              </w:rPr>
              <w:t>spiking_unet_T6</w:t>
            </w:r>
          </w:p>
        </w:tc>
        <w:tc>
          <w:tcPr>
            <w:tcW w:type="dxa" w:w="2088"/>
          </w:tcPr>
          <w:p>
            <w:pPr>
              <w:spacing w:after="20" w:before="20"/>
            </w:pPr>
            <w:r>
              <w:rPr>
                <w:sz w:val="16"/>
              </w:rPr>
              <w:t>0.355±0.022 (n5)</w:t>
            </w:r>
          </w:p>
        </w:tc>
        <w:tc>
          <w:tcPr>
            <w:tcW w:type="dxa" w:w="864"/>
          </w:tcPr>
          <w:p>
            <w:pPr>
              <w:spacing w:after="20" w:before="20"/>
            </w:pPr>
            <w:r>
              <w:rPr>
                <w:sz w:val="16"/>
              </w:rPr>
              <w:t>0.246</w:t>
            </w:r>
          </w:p>
        </w:tc>
        <w:tc>
          <w:tcPr>
            <w:tcW w:type="dxa" w:w="720"/>
          </w:tcPr>
          <w:p>
            <w:pPr>
              <w:spacing w:after="20" w:before="20"/>
            </w:pPr>
            <w:r>
              <w:rPr>
                <w:sz w:val="16"/>
              </w:rPr>
              <w:t>0.523</w:t>
            </w:r>
          </w:p>
        </w:tc>
        <w:tc>
          <w:tcPr>
            <w:tcW w:type="dxa" w:w="792"/>
          </w:tcPr>
          <w:p>
            <w:pPr>
              <w:spacing w:after="20" w:before="20"/>
            </w:pPr>
            <w:r>
              <w:rPr>
                <w:sz w:val="16"/>
              </w:rPr>
              <w:t>0.518</w:t>
            </w:r>
          </w:p>
        </w:tc>
        <w:tc>
          <w:tcPr>
            <w:tcW w:type="dxa" w:w="864"/>
          </w:tcPr>
          <w:p>
            <w:pPr>
              <w:spacing w:after="20" w:before="20"/>
            </w:pPr>
            <w:r>
              <w:rPr>
                <w:sz w:val="16"/>
              </w:rPr>
              <w:t>7.76</w:t>
            </w:r>
          </w:p>
        </w:tc>
        <w:tc>
          <w:tcPr>
            <w:tcW w:type="dxa" w:w="1037"/>
          </w:tcPr>
          <w:p>
            <w:pPr>
              <w:spacing w:after="20" w:before="20"/>
            </w:pPr>
            <w:r>
              <w:rPr>
                <w:sz w:val="16"/>
              </w:rPr>
              <w:t>93.6</w:t>
            </w:r>
          </w:p>
        </w:tc>
        <w:tc>
          <w:tcPr>
            <w:tcW w:type="dxa" w:w="763"/>
          </w:tcPr>
          <w:p>
            <w:pPr>
              <w:spacing w:after="20" w:before="20"/>
            </w:pPr>
            <w:r>
              <w:rPr>
                <w:sz w:val="16"/>
              </w:rPr>
              <w:t>16.5</w:t>
            </w:r>
          </w:p>
        </w:tc>
      </w:tr>
      <w:tr>
        <w:tc>
          <w:tcPr>
            <w:tcW w:type="dxa" w:w="2304"/>
          </w:tcPr>
          <w:p>
            <w:pPr>
              <w:spacing w:after="20" w:before="20"/>
            </w:pPr>
            <w:r>
              <w:rPr>
                <w:sz w:val="16"/>
              </w:rPr>
              <w:t>spiking_unet_T4</w:t>
            </w:r>
          </w:p>
        </w:tc>
        <w:tc>
          <w:tcPr>
            <w:tcW w:type="dxa" w:w="2088"/>
          </w:tcPr>
          <w:p>
            <w:pPr>
              <w:spacing w:after="20" w:before="20"/>
            </w:pPr>
            <w:r>
              <w:rPr>
                <w:sz w:val="16"/>
              </w:rPr>
              <w:t>0.339±0.023 (n3)</w:t>
            </w:r>
          </w:p>
        </w:tc>
        <w:tc>
          <w:tcPr>
            <w:tcW w:type="dxa" w:w="864"/>
          </w:tcPr>
          <w:p>
            <w:pPr>
              <w:spacing w:after="20" w:before="20"/>
            </w:pPr>
            <w:r>
              <w:rPr>
                <w:sz w:val="16"/>
              </w:rPr>
              <w:t>0.241</w:t>
            </w:r>
          </w:p>
        </w:tc>
        <w:tc>
          <w:tcPr>
            <w:tcW w:type="dxa" w:w="720"/>
          </w:tcPr>
          <w:p>
            <w:pPr>
              <w:spacing w:after="20" w:before="20"/>
            </w:pPr>
            <w:r>
              <w:rPr>
                <w:sz w:val="16"/>
              </w:rPr>
              <w:t>0.506</w:t>
            </w:r>
          </w:p>
        </w:tc>
        <w:tc>
          <w:tcPr>
            <w:tcW w:type="dxa" w:w="792"/>
          </w:tcPr>
          <w:p>
            <w:pPr>
              <w:spacing w:after="20" w:before="20"/>
            </w:pPr>
            <w:r>
              <w:rPr>
                <w:sz w:val="16"/>
              </w:rPr>
              <w:t>0.479</w:t>
            </w:r>
          </w:p>
        </w:tc>
        <w:tc>
          <w:tcPr>
            <w:tcW w:type="dxa" w:w="864"/>
          </w:tcPr>
          <w:p>
            <w:pPr>
              <w:spacing w:after="20" w:before="20"/>
            </w:pPr>
            <w:r>
              <w:rPr>
                <w:sz w:val="16"/>
              </w:rPr>
              <w:t>7.76</w:t>
            </w:r>
          </w:p>
        </w:tc>
        <w:tc>
          <w:tcPr>
            <w:tcW w:type="dxa" w:w="1037"/>
          </w:tcPr>
          <w:p>
            <w:pPr>
              <w:spacing w:after="20" w:before="20"/>
            </w:pPr>
            <w:r>
              <w:rPr>
                <w:sz w:val="16"/>
              </w:rPr>
              <w:t>64.7</w:t>
            </w:r>
          </w:p>
        </w:tc>
        <w:tc>
          <w:tcPr>
            <w:tcW w:type="dxa" w:w="763"/>
          </w:tcPr>
          <w:p>
            <w:pPr>
              <w:spacing w:after="20" w:before="20"/>
            </w:pPr>
            <w:r>
              <w:rPr>
                <w:sz w:val="16"/>
              </w:rPr>
              <w:t>15.7</w:t>
            </w:r>
          </w:p>
        </w:tc>
      </w:tr>
      <w:tr>
        <w:tc>
          <w:tcPr>
            <w:tcW w:type="dxa" w:w="2304"/>
          </w:tcPr>
          <w:p>
            <w:pPr>
              <w:spacing w:after="20" w:before="20"/>
            </w:pPr>
            <w:r>
              <w:rPr>
                <w:sz w:val="16"/>
              </w:rPr>
              <w:t>spiking_unet_T3</w:t>
            </w:r>
          </w:p>
        </w:tc>
        <w:tc>
          <w:tcPr>
            <w:tcW w:type="dxa" w:w="2088"/>
          </w:tcPr>
          <w:p>
            <w:pPr>
              <w:spacing w:after="20" w:before="20"/>
            </w:pPr>
            <w:r>
              <w:rPr>
                <w:sz w:val="16"/>
              </w:rPr>
              <w:t>0.333±0.009 (n3)</w:t>
            </w:r>
          </w:p>
        </w:tc>
        <w:tc>
          <w:tcPr>
            <w:tcW w:type="dxa" w:w="864"/>
          </w:tcPr>
          <w:p>
            <w:pPr>
              <w:spacing w:after="20" w:before="20"/>
            </w:pPr>
            <w:r>
              <w:rPr>
                <w:sz w:val="16"/>
              </w:rPr>
              <w:t>0.229</w:t>
            </w:r>
          </w:p>
        </w:tc>
        <w:tc>
          <w:tcPr>
            <w:tcW w:type="dxa" w:w="720"/>
          </w:tcPr>
          <w:p>
            <w:pPr>
              <w:spacing w:after="20" w:before="20"/>
            </w:pPr>
            <w:r>
              <w:rPr>
                <w:sz w:val="16"/>
              </w:rPr>
              <w:t>0.500</w:t>
            </w:r>
          </w:p>
        </w:tc>
        <w:tc>
          <w:tcPr>
            <w:tcW w:type="dxa" w:w="792"/>
          </w:tcPr>
          <w:p>
            <w:pPr>
              <w:spacing w:after="20" w:before="20"/>
            </w:pPr>
            <w:r>
              <w:rPr>
                <w:sz w:val="16"/>
              </w:rPr>
              <w:t>0.352</w:t>
            </w:r>
          </w:p>
        </w:tc>
        <w:tc>
          <w:tcPr>
            <w:tcW w:type="dxa" w:w="864"/>
          </w:tcPr>
          <w:p>
            <w:pPr>
              <w:spacing w:after="20" w:before="20"/>
            </w:pPr>
            <w:r>
              <w:rPr>
                <w:sz w:val="16"/>
              </w:rPr>
              <w:t>7.76</w:t>
            </w:r>
          </w:p>
        </w:tc>
        <w:tc>
          <w:tcPr>
            <w:tcW w:type="dxa" w:w="1037"/>
          </w:tcPr>
          <w:p>
            <w:pPr>
              <w:spacing w:after="20" w:before="20"/>
            </w:pPr>
            <w:r>
              <w:rPr>
                <w:sz w:val="16"/>
              </w:rPr>
              <w:t>45.2</w:t>
            </w:r>
          </w:p>
        </w:tc>
        <w:tc>
          <w:tcPr>
            <w:tcW w:type="dxa" w:w="763"/>
          </w:tcPr>
          <w:p>
            <w:pPr>
              <w:spacing w:after="20" w:before="20"/>
            </w:pPr>
            <w:r>
              <w:rPr>
                <w:sz w:val="16"/>
              </w:rPr>
              <w:t>17.8</w:t>
            </w:r>
          </w:p>
        </w:tc>
      </w:tr>
      <w:tr>
        <w:tc>
          <w:tcPr>
            <w:tcW w:type="dxa" w:w="2304"/>
          </w:tcPr>
          <w:p>
            <w:pPr>
              <w:spacing w:after="20" w:before="20"/>
            </w:pPr>
            <w:r>
              <w:rPr>
                <w:sz w:val="16"/>
              </w:rPr>
              <w:t>spiking_unet_lr2e4</w:t>
            </w:r>
          </w:p>
        </w:tc>
        <w:tc>
          <w:tcPr>
            <w:tcW w:type="dxa" w:w="2088"/>
          </w:tcPr>
          <w:p>
            <w:pPr>
              <w:spacing w:after="20" w:before="20"/>
            </w:pPr>
            <w:r>
              <w:rPr>
                <w:sz w:val="16"/>
              </w:rPr>
              <w:t>0.328±0.026 (n3)</w:t>
            </w:r>
          </w:p>
        </w:tc>
        <w:tc>
          <w:tcPr>
            <w:tcW w:type="dxa" w:w="864"/>
          </w:tcPr>
          <w:p>
            <w:pPr>
              <w:spacing w:after="20" w:before="20"/>
            </w:pPr>
            <w:r>
              <w:rPr>
                <w:sz w:val="16"/>
              </w:rPr>
              <w:t>0.225</w:t>
            </w:r>
          </w:p>
        </w:tc>
        <w:tc>
          <w:tcPr>
            <w:tcW w:type="dxa" w:w="720"/>
          </w:tcPr>
          <w:p>
            <w:pPr>
              <w:spacing w:after="20" w:before="20"/>
            </w:pPr>
            <w:r>
              <w:rPr>
                <w:sz w:val="16"/>
              </w:rPr>
              <w:t>0.494</w:t>
            </w:r>
          </w:p>
        </w:tc>
        <w:tc>
          <w:tcPr>
            <w:tcW w:type="dxa" w:w="792"/>
          </w:tcPr>
          <w:p>
            <w:pPr>
              <w:spacing w:after="20" w:before="20"/>
            </w:pPr>
            <w:r>
              <w:rPr>
                <w:sz w:val="16"/>
              </w:rPr>
              <w:t>0.325</w:t>
            </w:r>
          </w:p>
        </w:tc>
        <w:tc>
          <w:tcPr>
            <w:tcW w:type="dxa" w:w="864"/>
          </w:tcPr>
          <w:p>
            <w:pPr>
              <w:spacing w:after="20" w:before="20"/>
            </w:pPr>
            <w:r>
              <w:rPr>
                <w:sz w:val="16"/>
              </w:rPr>
              <w:t>7.76</w:t>
            </w:r>
          </w:p>
        </w:tc>
        <w:tc>
          <w:tcPr>
            <w:tcW w:type="dxa" w:w="1037"/>
          </w:tcPr>
          <w:p>
            <w:pPr>
              <w:spacing w:after="20" w:before="20"/>
            </w:pPr>
            <w:r>
              <w:rPr>
                <w:sz w:val="16"/>
              </w:rPr>
              <w:t>62.9</w:t>
            </w:r>
          </w:p>
        </w:tc>
        <w:tc>
          <w:tcPr>
            <w:tcW w:type="dxa" w:w="763"/>
          </w:tcPr>
          <w:p>
            <w:pPr>
              <w:spacing w:after="20" w:before="20"/>
            </w:pPr>
            <w:r>
              <w:rPr>
                <w:sz w:val="16"/>
              </w:rPr>
              <w:t>18.5</w:t>
            </w:r>
          </w:p>
        </w:tc>
      </w:tr>
      <w:tr>
        <w:tc>
          <w:tcPr>
            <w:tcW w:type="dxa" w:w="2304"/>
          </w:tcPr>
          <w:p>
            <w:pPr>
              <w:spacing w:after="20" w:before="20"/>
            </w:pPr>
            <w:r>
              <w:rPr>
                <w:sz w:val="16"/>
              </w:rPr>
              <w:t>ann2snn_T128</w:t>
            </w:r>
          </w:p>
        </w:tc>
        <w:tc>
          <w:tcPr>
            <w:tcW w:type="dxa" w:w="2088"/>
          </w:tcPr>
          <w:p>
            <w:pPr>
              <w:spacing w:after="20" w:before="20"/>
            </w:pPr>
            <w:r>
              <w:rPr>
                <w:sz w:val="16"/>
              </w:rPr>
              <w:t>0.294±0.063 (n3)</w:t>
            </w:r>
          </w:p>
        </w:tc>
        <w:tc>
          <w:tcPr>
            <w:tcW w:type="dxa" w:w="864"/>
          </w:tcPr>
          <w:p>
            <w:pPr>
              <w:spacing w:after="20" w:before="20"/>
            </w:pPr>
            <w:r>
              <w:rPr>
                <w:sz w:val="16"/>
              </w:rPr>
              <w:t>0.196</w:t>
            </w:r>
          </w:p>
        </w:tc>
        <w:tc>
          <w:tcPr>
            <w:tcW w:type="dxa" w:w="720"/>
          </w:tcPr>
          <w:p>
            <w:pPr>
              <w:spacing w:after="20" w:before="20"/>
            </w:pPr>
            <w:r>
              <w:rPr>
                <w:sz w:val="16"/>
              </w:rPr>
              <w:t>0.450</w:t>
            </w:r>
          </w:p>
        </w:tc>
        <w:tc>
          <w:tcPr>
            <w:tcW w:type="dxa" w:w="792"/>
          </w:tcPr>
          <w:p>
            <w:pPr>
              <w:spacing w:after="20" w:before="20"/>
            </w:pPr>
            <w:r>
              <w:rPr>
                <w:sz w:val="16"/>
              </w:rPr>
              <w:t>0.447</w:t>
            </w:r>
          </w:p>
        </w:tc>
        <w:tc>
          <w:tcPr>
            <w:tcW w:type="dxa" w:w="864"/>
          </w:tcPr>
          <w:p>
            <w:pPr>
              <w:spacing w:after="20" w:before="20"/>
            </w:pPr>
            <w:r>
              <w:rPr>
                <w:sz w:val="16"/>
              </w:rPr>
              <w:t>24.41</w:t>
            </w:r>
          </w:p>
        </w:tc>
        <w:tc>
          <w:tcPr>
            <w:tcW w:type="dxa" w:w="1037"/>
          </w:tcPr>
          <w:p>
            <w:pPr>
              <w:spacing w:after="20" w:before="20"/>
            </w:pPr>
            <w:r>
              <w:rPr>
                <w:sz w:val="16"/>
              </w:rPr>
              <w:t>440.4</w:t>
            </w:r>
          </w:p>
        </w:tc>
        <w:tc>
          <w:tcPr>
            <w:tcW w:type="dxa" w:w="763"/>
          </w:tcPr>
          <w:p>
            <w:pPr>
              <w:spacing w:after="20" w:before="20"/>
            </w:pPr>
            <w:r>
              <w:rPr>
                <w:sz w:val="16"/>
              </w:rPr>
              <w:t>10.6</w:t>
            </w:r>
          </w:p>
        </w:tc>
      </w:tr>
      <w:tr>
        <w:tc>
          <w:tcPr>
            <w:tcW w:type="dxa" w:w="2304"/>
          </w:tcPr>
          <w:p>
            <w:pPr>
              <w:spacing w:after="20" w:before="20"/>
            </w:pPr>
            <w:r>
              <w:rPr>
                <w:sz w:val="16"/>
              </w:rPr>
              <w:t>spiking_unet_T10</w:t>
            </w:r>
          </w:p>
        </w:tc>
        <w:tc>
          <w:tcPr>
            <w:tcW w:type="dxa" w:w="2088"/>
          </w:tcPr>
          <w:p>
            <w:pPr>
              <w:spacing w:after="20" w:before="20"/>
            </w:pPr>
            <w:r>
              <w:rPr>
                <w:sz w:val="16"/>
              </w:rPr>
              <w:t>0.289±0.152 (n3)</w:t>
            </w:r>
          </w:p>
        </w:tc>
        <w:tc>
          <w:tcPr>
            <w:tcW w:type="dxa" w:w="864"/>
          </w:tcPr>
          <w:p>
            <w:pPr>
              <w:spacing w:after="20" w:before="20"/>
            </w:pPr>
            <w:r>
              <w:rPr>
                <w:sz w:val="16"/>
              </w:rPr>
              <w:t>0.205</w:t>
            </w:r>
          </w:p>
        </w:tc>
        <w:tc>
          <w:tcPr>
            <w:tcW w:type="dxa" w:w="720"/>
          </w:tcPr>
          <w:p>
            <w:pPr>
              <w:spacing w:after="20" w:before="20"/>
            </w:pPr>
            <w:r>
              <w:rPr>
                <w:sz w:val="16"/>
              </w:rPr>
              <w:t>0.425</w:t>
            </w:r>
          </w:p>
        </w:tc>
        <w:tc>
          <w:tcPr>
            <w:tcW w:type="dxa" w:w="792"/>
          </w:tcPr>
          <w:p>
            <w:pPr>
              <w:spacing w:after="20" w:before="20"/>
            </w:pPr>
            <w:r>
              <w:rPr>
                <w:sz w:val="16"/>
              </w:rPr>
              <w:t>0.416</w:t>
            </w:r>
          </w:p>
        </w:tc>
        <w:tc>
          <w:tcPr>
            <w:tcW w:type="dxa" w:w="864"/>
          </w:tcPr>
          <w:p>
            <w:pPr>
              <w:spacing w:after="20" w:before="20"/>
            </w:pPr>
            <w:r>
              <w:rPr>
                <w:sz w:val="16"/>
              </w:rPr>
              <w:t>7.76</w:t>
            </w:r>
          </w:p>
        </w:tc>
        <w:tc>
          <w:tcPr>
            <w:tcW w:type="dxa" w:w="1037"/>
          </w:tcPr>
          <w:p>
            <w:pPr>
              <w:spacing w:after="20" w:before="20"/>
            </w:pPr>
            <w:r>
              <w:rPr>
                <w:sz w:val="16"/>
              </w:rPr>
              <w:t>223.2</w:t>
            </w:r>
          </w:p>
        </w:tc>
        <w:tc>
          <w:tcPr>
            <w:tcW w:type="dxa" w:w="763"/>
          </w:tcPr>
          <w:p>
            <w:pPr>
              <w:spacing w:after="20" w:before="20"/>
            </w:pPr>
            <w:r>
              <w:rPr>
                <w:sz w:val="16"/>
              </w:rPr>
              <w:t>19.5</w:t>
            </w:r>
          </w:p>
        </w:tc>
      </w:tr>
      <w:tr>
        <w:tc>
          <w:tcPr>
            <w:tcW w:type="dxa" w:w="2304"/>
          </w:tcPr>
          <w:p>
            <w:pPr>
              <w:spacing w:after="20" w:before="20"/>
            </w:pPr>
            <w:r>
              <w:rPr>
                <w:sz w:val="16"/>
              </w:rPr>
              <w:t>spiking_unet_T1</w:t>
            </w:r>
          </w:p>
        </w:tc>
        <w:tc>
          <w:tcPr>
            <w:tcW w:type="dxa" w:w="2088"/>
          </w:tcPr>
          <w:p>
            <w:pPr>
              <w:spacing w:after="20" w:before="20"/>
            </w:pPr>
            <w:r>
              <w:rPr>
                <w:sz w:val="16"/>
              </w:rPr>
              <w:t>0.252±0.125 (n3)</w:t>
            </w:r>
          </w:p>
        </w:tc>
        <w:tc>
          <w:tcPr>
            <w:tcW w:type="dxa" w:w="864"/>
          </w:tcPr>
          <w:p>
            <w:pPr>
              <w:spacing w:after="20" w:before="20"/>
            </w:pPr>
            <w:r>
              <w:rPr>
                <w:sz w:val="16"/>
              </w:rPr>
              <w:t>0.139</w:t>
            </w:r>
          </w:p>
        </w:tc>
        <w:tc>
          <w:tcPr>
            <w:tcW w:type="dxa" w:w="720"/>
          </w:tcPr>
          <w:p>
            <w:pPr>
              <w:spacing w:after="20" w:before="20"/>
            </w:pPr>
            <w:r>
              <w:rPr>
                <w:sz w:val="16"/>
              </w:rPr>
              <w:t>0.385</w:t>
            </w:r>
          </w:p>
        </w:tc>
        <w:tc>
          <w:tcPr>
            <w:tcW w:type="dxa" w:w="792"/>
          </w:tcPr>
          <w:p>
            <w:pPr>
              <w:spacing w:after="20" w:before="20"/>
            </w:pPr>
            <w:r>
              <w:rPr>
                <w:sz w:val="16"/>
              </w:rPr>
              <w:t>0.389</w:t>
            </w:r>
          </w:p>
        </w:tc>
        <w:tc>
          <w:tcPr>
            <w:tcW w:type="dxa" w:w="864"/>
          </w:tcPr>
          <w:p>
            <w:pPr>
              <w:spacing w:after="20" w:before="20"/>
            </w:pPr>
            <w:r>
              <w:rPr>
                <w:sz w:val="16"/>
              </w:rPr>
              <w:t>7.76</w:t>
            </w:r>
          </w:p>
        </w:tc>
        <w:tc>
          <w:tcPr>
            <w:tcW w:type="dxa" w:w="1037"/>
          </w:tcPr>
          <w:p>
            <w:pPr>
              <w:spacing w:after="20" w:before="20"/>
            </w:pPr>
            <w:r>
              <w:rPr>
                <w:sz w:val="16"/>
              </w:rPr>
              <w:t>22.3</w:t>
            </w:r>
          </w:p>
        </w:tc>
        <w:tc>
          <w:tcPr>
            <w:tcW w:type="dxa" w:w="763"/>
          </w:tcPr>
          <w:p>
            <w:pPr>
              <w:spacing w:after="20" w:before="20"/>
            </w:pPr>
            <w:r>
              <w:rPr>
                <w:sz w:val="16"/>
              </w:rPr>
              <w:t>17.8</w:t>
            </w:r>
          </w:p>
        </w:tc>
      </w:tr>
      <w:tr>
        <w:tc>
          <w:tcPr>
            <w:tcW w:type="dxa" w:w="2304"/>
          </w:tcPr>
          <w:p>
            <w:pPr>
              <w:spacing w:after="20" w:before="20"/>
            </w:pPr>
            <w:r>
              <w:rPr>
                <w:sz w:val="16"/>
              </w:rPr>
              <w:t>spiking_unet_lr5e5</w:t>
            </w:r>
          </w:p>
        </w:tc>
        <w:tc>
          <w:tcPr>
            <w:tcW w:type="dxa" w:w="2088"/>
          </w:tcPr>
          <w:p>
            <w:pPr>
              <w:spacing w:after="20" w:before="20"/>
            </w:pPr>
            <w:r>
              <w:rPr>
                <w:sz w:val="16"/>
              </w:rPr>
              <w:t>0.239±0.119 (n3)</w:t>
            </w:r>
          </w:p>
        </w:tc>
        <w:tc>
          <w:tcPr>
            <w:tcW w:type="dxa" w:w="864"/>
          </w:tcPr>
          <w:p>
            <w:pPr>
              <w:spacing w:after="20" w:before="20"/>
            </w:pPr>
            <w:r>
              <w:rPr>
                <w:sz w:val="16"/>
              </w:rPr>
              <w:t>0.184</w:t>
            </w:r>
          </w:p>
        </w:tc>
        <w:tc>
          <w:tcPr>
            <w:tcW w:type="dxa" w:w="720"/>
          </w:tcPr>
          <w:p>
            <w:pPr>
              <w:spacing w:after="20" w:before="20"/>
            </w:pPr>
            <w:r>
              <w:rPr>
                <w:sz w:val="16"/>
              </w:rPr>
              <w:t>0.370</w:t>
            </w:r>
          </w:p>
        </w:tc>
        <w:tc>
          <w:tcPr>
            <w:tcW w:type="dxa" w:w="792"/>
          </w:tcPr>
          <w:p>
            <w:pPr>
              <w:spacing w:after="20" w:before="20"/>
            </w:pPr>
            <w:r>
              <w:rPr>
                <w:sz w:val="16"/>
              </w:rPr>
              <w:t>0.331</w:t>
            </w:r>
          </w:p>
        </w:tc>
        <w:tc>
          <w:tcPr>
            <w:tcW w:type="dxa" w:w="864"/>
          </w:tcPr>
          <w:p>
            <w:pPr>
              <w:spacing w:after="20" w:before="20"/>
            </w:pPr>
            <w:r>
              <w:rPr>
                <w:sz w:val="16"/>
              </w:rPr>
              <w:t>7.76</w:t>
            </w:r>
          </w:p>
        </w:tc>
        <w:tc>
          <w:tcPr>
            <w:tcW w:type="dxa" w:w="1037"/>
          </w:tcPr>
          <w:p>
            <w:pPr>
              <w:spacing w:after="20" w:before="20"/>
            </w:pPr>
            <w:r>
              <w:rPr>
                <w:sz w:val="16"/>
              </w:rPr>
              <w:t>62.6</w:t>
            </w:r>
          </w:p>
        </w:tc>
        <w:tc>
          <w:tcPr>
            <w:tcW w:type="dxa" w:w="763"/>
          </w:tcPr>
          <w:p>
            <w:pPr>
              <w:spacing w:after="20" w:before="20"/>
            </w:pPr>
            <w:r>
              <w:rPr>
                <w:sz w:val="16"/>
              </w:rPr>
              <w:t>15.1</w:t>
            </w:r>
          </w:p>
        </w:tc>
      </w:tr>
      <w:tr>
        <w:tc>
          <w:tcPr>
            <w:tcW w:type="dxa" w:w="2304"/>
          </w:tcPr>
          <w:p>
            <w:pPr>
              <w:spacing w:after="20" w:before="20"/>
            </w:pPr>
            <w:r>
              <w:rPr>
                <w:sz w:val="16"/>
              </w:rPr>
              <w:t>ann2snn_T64</w:t>
            </w:r>
          </w:p>
        </w:tc>
        <w:tc>
          <w:tcPr>
            <w:tcW w:type="dxa" w:w="2088"/>
          </w:tcPr>
          <w:p>
            <w:pPr>
              <w:spacing w:after="20" w:before="20"/>
            </w:pPr>
            <w:r>
              <w:rPr>
                <w:sz w:val="16"/>
              </w:rPr>
              <w:t>0.194±0.072 (n3)</w:t>
            </w:r>
          </w:p>
        </w:tc>
        <w:tc>
          <w:tcPr>
            <w:tcW w:type="dxa" w:w="864"/>
          </w:tcPr>
          <w:p>
            <w:pPr>
              <w:spacing w:after="20" w:before="20"/>
            </w:pPr>
            <w:r>
              <w:rPr>
                <w:sz w:val="16"/>
              </w:rPr>
              <w:t>0.133</w:t>
            </w:r>
          </w:p>
        </w:tc>
        <w:tc>
          <w:tcPr>
            <w:tcW w:type="dxa" w:w="720"/>
          </w:tcPr>
          <w:p>
            <w:pPr>
              <w:spacing w:after="20" w:before="20"/>
            </w:pPr>
            <w:r>
              <w:rPr>
                <w:sz w:val="16"/>
              </w:rPr>
              <w:t>0.319</w:t>
            </w:r>
          </w:p>
        </w:tc>
        <w:tc>
          <w:tcPr>
            <w:tcW w:type="dxa" w:w="792"/>
          </w:tcPr>
          <w:p>
            <w:pPr>
              <w:spacing w:after="20" w:before="20"/>
            </w:pPr>
            <w:r>
              <w:rPr>
                <w:sz w:val="16"/>
              </w:rPr>
              <w:t>0.507</w:t>
            </w:r>
          </w:p>
        </w:tc>
        <w:tc>
          <w:tcPr>
            <w:tcW w:type="dxa" w:w="864"/>
          </w:tcPr>
          <w:p>
            <w:pPr>
              <w:spacing w:after="20" w:before="20"/>
            </w:pPr>
            <w:r>
              <w:rPr>
                <w:sz w:val="16"/>
              </w:rPr>
              <w:t>24.41</w:t>
            </w:r>
          </w:p>
        </w:tc>
        <w:tc>
          <w:tcPr>
            <w:tcW w:type="dxa" w:w="1037"/>
          </w:tcPr>
          <w:p>
            <w:pPr>
              <w:spacing w:after="20" w:before="20"/>
            </w:pPr>
            <w:r>
              <w:rPr>
                <w:sz w:val="16"/>
              </w:rPr>
              <w:t>212.1</w:t>
            </w:r>
          </w:p>
        </w:tc>
        <w:tc>
          <w:tcPr>
            <w:tcW w:type="dxa" w:w="763"/>
          </w:tcPr>
          <w:p>
            <w:pPr>
              <w:spacing w:after="20" w:before="20"/>
            </w:pPr>
            <w:r>
              <w:rPr>
                <w:sz w:val="16"/>
              </w:rPr>
              <w:t>10.0</w:t>
            </w:r>
          </w:p>
        </w:tc>
      </w:tr>
      <w:tr>
        <w:tc>
          <w:tcPr>
            <w:tcW w:type="dxa" w:w="2304"/>
          </w:tcPr>
          <w:p>
            <w:pPr>
              <w:spacing w:after="20" w:before="20"/>
            </w:pPr>
            <w:r>
              <w:rPr>
                <w:sz w:val="16"/>
              </w:rPr>
              <w:t>ann2snn_T32</w:t>
            </w:r>
          </w:p>
        </w:tc>
        <w:tc>
          <w:tcPr>
            <w:tcW w:type="dxa" w:w="2088"/>
          </w:tcPr>
          <w:p>
            <w:pPr>
              <w:spacing w:after="20" w:before="20"/>
            </w:pPr>
            <w:r>
              <w:rPr>
                <w:sz w:val="16"/>
              </w:rPr>
              <w:t>0.037±0.011 (n3)</w:t>
            </w:r>
          </w:p>
        </w:tc>
        <w:tc>
          <w:tcPr>
            <w:tcW w:type="dxa" w:w="864"/>
          </w:tcPr>
          <w:p>
            <w:pPr>
              <w:spacing w:after="20" w:before="20"/>
            </w:pPr>
            <w:r>
              <w:rPr>
                <w:sz w:val="16"/>
              </w:rPr>
              <w:t>0.028</w:t>
            </w:r>
          </w:p>
        </w:tc>
        <w:tc>
          <w:tcPr>
            <w:tcW w:type="dxa" w:w="720"/>
          </w:tcPr>
          <w:p>
            <w:pPr>
              <w:spacing w:after="20" w:before="20"/>
            </w:pPr>
            <w:r>
              <w:rPr>
                <w:sz w:val="16"/>
              </w:rPr>
              <w:t>0.071</w:t>
            </w:r>
          </w:p>
        </w:tc>
        <w:tc>
          <w:tcPr>
            <w:tcW w:type="dxa" w:w="792"/>
          </w:tcPr>
          <w:p>
            <w:pPr>
              <w:spacing w:after="20" w:before="20"/>
            </w:pPr>
            <w:r>
              <w:rPr>
                <w:sz w:val="16"/>
              </w:rPr>
              <w:t>0.526</w:t>
            </w:r>
          </w:p>
        </w:tc>
        <w:tc>
          <w:tcPr>
            <w:tcW w:type="dxa" w:w="864"/>
          </w:tcPr>
          <w:p>
            <w:pPr>
              <w:spacing w:after="20" w:before="20"/>
            </w:pPr>
            <w:r>
              <w:rPr>
                <w:sz w:val="16"/>
              </w:rPr>
              <w:t>24.41</w:t>
            </w:r>
          </w:p>
        </w:tc>
        <w:tc>
          <w:tcPr>
            <w:tcW w:type="dxa" w:w="1037"/>
          </w:tcPr>
          <w:p>
            <w:pPr>
              <w:spacing w:after="20" w:before="20"/>
            </w:pPr>
            <w:r>
              <w:rPr>
                <w:sz w:val="16"/>
              </w:rPr>
              <w:t>97.9</w:t>
            </w:r>
          </w:p>
        </w:tc>
        <w:tc>
          <w:tcPr>
            <w:tcW w:type="dxa" w:w="763"/>
          </w:tcPr>
          <w:p>
            <w:pPr>
              <w:spacing w:after="20" w:before="20"/>
            </w:pPr>
            <w:r>
              <w:rPr>
                <w:sz w:val="16"/>
              </w:rPr>
              <w:t>8.8</w:t>
            </w:r>
          </w:p>
        </w:tc>
      </w:tr>
    </w:tbl>
    <w:p>
      <w:pPr>
        <w:spacing w:after="160"/>
      </w:pPr>
      <w:r>
        <w:rPr>
          <w:i/>
          <w:sz w:val="18"/>
        </w:rPr>
        <w:t>Table 1. Full benchmark — all 25 configurations (mean over seeds; n in parentheses). F1 = flood Dice; pwIoU = permanent-water IoU. Sorted by pooled flood-IoU.</w:t>
      </w:r>
    </w:p>
    <w:p>
      <w:pPr>
        <w:spacing w:after="120"/>
        <w:jc w:val="both"/>
      </w:pPr>
      <w:r>
        <w:rPr>
          <w:i w:val="0"/>
        </w:rPr>
        <w:t>On pooled IoU the accuracy leaders are pretrained ANNs (SegFormer 0.525); MobileNet-UNet INT8 reaches 0.490 at only 3.1 mJ (≈ its FP32 parent at 20× lower energy). SNN-Flood tops out at ≈0.39 pooled IoU, below the quantized CNN. The statistical grouping (Cluster A/B/C) is analysed in §5.2: the INT8 CNN and the best SNNs form one indistinguishable cluster on per-chip flood-IoU.</w:t>
      </w:r>
    </w:p>
    <w:p>
      <w:pPr>
        <w:spacing w:before="120" w:after="80"/>
      </w:pPr>
      <w:r>
        <w:rPr>
          <w:b/>
          <w:sz w:val="22"/>
        </w:rPr>
        <w:t>5.2 Statistical significance</w:t>
      </w:r>
    </w:p>
    <w:p>
      <w:pPr>
        <w:spacing w:after="120"/>
        <w:jc w:val="both"/>
      </w:pPr>
      <w:r>
        <w:rPr>
          <w:i w:val="0"/>
        </w:rPr>
        <w:t>Under the per-chip metric: U-Net-SMP vs MobileNet-INT8 p = 0.015 (significant, Cohen's d = 0.35); MobileNet-INT8 vs SNN-T6 p = 0.397 (n.s., d = 0.09); SNN-T2 vs SNN-T6 p = 0.368 (n.s., d = −0.14). The best SNNs and INT8 form a statistically indistinguishable cluster — the headline conclusion is metric-dependent.</w:t>
      </w:r>
    </w:p>
    <w:p>
      <w:pPr>
        <w:spacing w:before="120" w:after="80"/>
      </w:pPr>
      <w:r>
        <w:rPr>
          <w:b/>
          <w:sz w:val="22"/>
        </w:rPr>
        <w:t>5.3 Energy &amp; spike-rate analysis</w:t>
      </w:r>
    </w:p>
    <w:p>
      <w:pPr>
        <w:spacing w:after="120"/>
        <w:jc w:val="both"/>
      </w:pPr>
      <w:r>
        <w:rPr>
          <w:i w:val="0"/>
        </w:rPr>
        <w:t>The pooled Pareto frontier is Otsu (0 mJ, 0.13) → MobileNet-INT8 (3.1 mJ, 0.49) → SegFormer (98 mJ, 0.53); SNN-Flood is not Pareto-optimal under pooled IoU. Measured spike sparsity 13.6% (T2)–23.8% (T8) confirms energy is driven by genuine sparsity. Direct-trained SNNs (31–167 mJ) are far more efficient than ANN2SNN (94–440 mJ).</w:t>
      </w:r>
    </w:p>
    <w:p>
      <w:pPr>
        <w:jc w:val="center"/>
      </w:pPr>
      <w:r>
        <w:drawing>
          <wp:inline xmlns:a="http://schemas.openxmlformats.org/drawingml/2006/main" xmlns:pic="http://schemas.openxmlformats.org/drawingml/2006/picture">
            <wp:extent cx="5669280" cy="4157472"/>
            <wp:docPr id="1" name="Picture 1"/>
            <wp:cNvGraphicFramePr>
              <a:graphicFrameLocks noChangeAspect="1"/>
            </wp:cNvGraphicFramePr>
            <a:graphic>
              <a:graphicData uri="http://schemas.openxmlformats.org/drawingml/2006/picture">
                <pic:pic>
                  <pic:nvPicPr>
                    <pic:cNvPr id="0" name="pareto_pooled.png"/>
                    <pic:cNvPicPr/>
                  </pic:nvPicPr>
                  <pic:blipFill>
                    <a:blip r:embed="rId9"/>
                    <a:stretch>
                      <a:fillRect/>
                    </a:stretch>
                  </pic:blipFill>
                  <pic:spPr>
                    <a:xfrm>
                      <a:off x="0" y="0"/>
                      <a:ext cx="5669280" cy="4157472"/>
                    </a:xfrm>
                    <a:prstGeom prst="rect"/>
                  </pic:spPr>
                </pic:pic>
              </a:graphicData>
            </a:graphic>
          </wp:inline>
        </w:drawing>
      </w:r>
    </w:p>
    <w:p>
      <w:pPr>
        <w:spacing w:after="200"/>
        <w:jc w:val="center"/>
      </w:pPr>
      <w:r>
        <w:rPr>
          <w:i/>
          <w:sz w:val="18"/>
        </w:rPr>
        <w:t>Figure 1. Accuracy–energy Pareto (pooled flood-IoU).</w:t>
      </w:r>
    </w:p>
    <w:p>
      <w:pPr>
        <w:jc w:val="center"/>
      </w:pPr>
      <w:r>
        <w:drawing>
          <wp:inline xmlns:a="http://schemas.openxmlformats.org/drawingml/2006/main" xmlns:pic="http://schemas.openxmlformats.org/drawingml/2006/picture">
            <wp:extent cx="5669280" cy="4157472"/>
            <wp:docPr id="2" name="Picture 2"/>
            <wp:cNvGraphicFramePr>
              <a:graphicFrameLocks noChangeAspect="1"/>
            </wp:cNvGraphicFramePr>
            <a:graphic>
              <a:graphicData uri="http://schemas.openxmlformats.org/drawingml/2006/picture">
                <pic:pic>
                  <pic:nvPicPr>
                    <pic:cNvPr id="0" name="pareto_perchip.png"/>
                    <pic:cNvPicPr/>
                  </pic:nvPicPr>
                  <pic:blipFill>
                    <a:blip r:embed="rId10"/>
                    <a:stretch>
                      <a:fillRect/>
                    </a:stretch>
                  </pic:blipFill>
                  <pic:spPr>
                    <a:xfrm>
                      <a:off x="0" y="0"/>
                      <a:ext cx="5669280" cy="4157472"/>
                    </a:xfrm>
                    <a:prstGeom prst="rect"/>
                  </pic:spPr>
                </pic:pic>
              </a:graphicData>
            </a:graphic>
          </wp:inline>
        </w:drawing>
      </w:r>
    </w:p>
    <w:p>
      <w:pPr>
        <w:spacing w:after="200"/>
        <w:jc w:val="center"/>
      </w:pPr>
      <w:r>
        <w:rPr>
          <w:i/>
          <w:sz w:val="18"/>
        </w:rPr>
        <w:t>Figure 2. Accuracy–energy Pareto (per-chip flood-IoU).</w:t>
      </w:r>
    </w:p>
    <w:p>
      <w:pPr>
        <w:spacing w:before="120" w:after="80"/>
      </w:pPr>
      <w:r>
        <w:rPr>
          <w:b/>
          <w:sz w:val="22"/>
        </w:rPr>
        <w:t>5.4 Per-region breakdown</w:t>
      </w:r>
    </w:p>
    <w:p>
      <w:pPr>
        <w:spacing w:after="120"/>
        <w:jc w:val="both"/>
      </w:pPr>
      <w:r>
        <w:rPr>
          <w:i w:val="0"/>
        </w:rPr>
        <w:t>All models share the same regional difficulty ordering — easiest in Mekong/Ghana (≈0.4–0.5), hardest in Bolivia (≈0.04 for every model) — a property of the data, not the model. SNNs are comparatively stronger in Sri-Lanka/Ghana and weaker in Mekong/Pakistan.</w:t>
      </w: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per_region_heatmap.png"/>
                    <pic:cNvPicPr/>
                  </pic:nvPicPr>
                  <pic:blipFill>
                    <a:blip r:embed="rId11"/>
                    <a:stretch>
                      <a:fillRect/>
                    </a:stretch>
                  </pic:blipFill>
                  <pic:spPr>
                    <a:xfrm>
                      <a:off x="0" y="0"/>
                      <a:ext cx="5669280" cy="2834640"/>
                    </a:xfrm>
                    <a:prstGeom prst="rect"/>
                  </pic:spPr>
                </pic:pic>
              </a:graphicData>
            </a:graphic>
          </wp:inline>
        </w:drawing>
      </w:r>
    </w:p>
    <w:p>
      <w:pPr>
        <w:spacing w:after="200"/>
        <w:jc w:val="center"/>
      </w:pPr>
      <w:r>
        <w:rPr>
          <w:i/>
          <w:sz w:val="18"/>
        </w:rPr>
        <w:t>Figure 3. Per-region flood-IoU (model × region).</w:t>
      </w:r>
    </w:p>
    <w:p>
      <w:pPr>
        <w:spacing w:before="120" w:after="80"/>
      </w:pPr>
      <w:r>
        <w:rPr>
          <w:b/>
          <w:sz w:val="22"/>
        </w:rPr>
        <w:t>5.5 Ablations</w:t>
      </w:r>
    </w:p>
    <w:p>
      <w:pPr>
        <w:spacing w:after="120"/>
        <w:jc w:val="both"/>
      </w:pPr>
      <w:r>
        <w:rPr>
          <w:i w:val="0"/>
        </w:rPr>
        <w:t>Timesteps T. Within T2–T8 accuracy is flat (T2 0.391 ≈ T8 0.388; SNN-T2 vs SNN-T6 n.s.), so larger T buys no accuracy but costs more energy. At extreme T (T1, T10) occasional seed-level training collapse appears (a seed drops to ≈0.08); re-running T6 with 5 seeds reduced std from 0.13 (n=3) to 0.022 (n=5), confirming a small-sample artifact, not a bimodal property.</w:t>
      </w:r>
    </w:p>
    <w:p>
      <w:pPr>
        <w:spacing w:after="120"/>
        <w:jc w:val="both"/>
      </w:pPr>
      <w:r>
        <w:rPr>
          <w:i w:val="0"/>
        </w:rPr>
        <w:t>Learning rate. LR = 2e-4 improved the CNN (MobileNet-UNet 0.480 → 0.498) but degraded the SNN (SNN-T2 0.391 → 0.370; SNN-T8 0.388 → 0.355): the winning CNN recipe does not transfer to SNNs, and LR mainly affects SNN training stability rather than raising its accuracy ceiling. The symmetric LR sweep also establishes a fair comparison (both families tuned).</w:t>
      </w:r>
    </w:p>
    <w:p>
      <w:pPr>
        <w:spacing w:after="120"/>
        <w:jc w:val="both"/>
      </w:pPr>
      <w:r>
        <w:rPr>
          <w:i w:val="0"/>
        </w:rPr>
        <w:t>Quantization bits. INT8 preserves accuracy (−0.008 IoU) at 20× lower energy; INT4 was inconclusive in our tooling (torchao int4 did not cover Conv2d) — reported as a tooling limitation, not a scientific conclusion.</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tsweep.png"/>
                    <pic:cNvPicPr/>
                  </pic:nvPicPr>
                  <pic:blipFill>
                    <a:blip r:embed="rId12"/>
                    <a:stretch>
                      <a:fillRect/>
                    </a:stretch>
                  </pic:blipFill>
                  <pic:spPr>
                    <a:xfrm>
                      <a:off x="0" y="0"/>
                      <a:ext cx="5669280" cy="3779520"/>
                    </a:xfrm>
                    <a:prstGeom prst="rect"/>
                  </pic:spPr>
                </pic:pic>
              </a:graphicData>
            </a:graphic>
          </wp:inline>
        </w:drawing>
      </w:r>
    </w:p>
    <w:p>
      <w:pPr>
        <w:spacing w:after="200"/>
        <w:jc w:val="center"/>
      </w:pPr>
      <w:r>
        <w:rPr>
          <w:i/>
          <w:sz w:val="18"/>
        </w:rPr>
        <w:t>Figure 4. T-sweep: accuracy flat, energy grows; collapse at T1/T10.</w:t>
      </w:r>
    </w:p>
    <w:p>
      <w:pPr>
        <w:spacing w:before="120" w:after="80"/>
      </w:pPr>
      <w:r>
        <w:rPr>
          <w:b/>
          <w:sz w:val="22"/>
        </w:rPr>
        <w:t>5.6 Qualitative results</w:t>
      </w:r>
    </w:p>
    <w:p>
      <w:pPr>
        <w:spacing w:after="120"/>
        <w:jc w:val="both"/>
      </w:pPr>
      <w:r>
        <w:rPr>
          <w:i w:val="0"/>
        </w:rPr>
        <w:t>Figure 5 compares predictions on four permanent-water-rich chips. SegFormer and MobileNet delineate the permanent-water channels (blue) cleanly, whereas SNN-T2 produces salt-and-pepper predictions and largely merges water into the flood class — consistent with its low permanent-water IoU (Table 1). All models still struggle on the hardest scenes (e.g., Bolivia).</w:t>
      </w:r>
    </w:p>
    <w:p>
      <w:pPr>
        <w:jc w:val="center"/>
      </w:pPr>
      <w:r>
        <w:drawing>
          <wp:inline xmlns:a="http://schemas.openxmlformats.org/drawingml/2006/main" xmlns:pic="http://schemas.openxmlformats.org/drawingml/2006/picture">
            <wp:extent cx="5669280" cy="4913376"/>
            <wp:docPr id="5" name="Picture 5"/>
            <wp:cNvGraphicFramePr>
              <a:graphicFrameLocks noChangeAspect="1"/>
            </wp:cNvGraphicFramePr>
            <a:graphic>
              <a:graphicData uri="http://schemas.openxmlformats.org/drawingml/2006/picture">
                <pic:pic>
                  <pic:nvPicPr>
                    <pic:cNvPr id="0" name="qual_comparison.png"/>
                    <pic:cNvPicPr/>
                  </pic:nvPicPr>
                  <pic:blipFill>
                    <a:blip r:embed="rId13"/>
                    <a:stretch>
                      <a:fillRect/>
                    </a:stretch>
                  </pic:blipFill>
                  <pic:spPr>
                    <a:xfrm>
                      <a:off x="0" y="0"/>
                      <a:ext cx="5669280" cy="4913376"/>
                    </a:xfrm>
                    <a:prstGeom prst="rect"/>
                  </pic:spPr>
                </pic:pic>
              </a:graphicData>
            </a:graphic>
          </wp:inline>
        </w:drawing>
      </w:r>
    </w:p>
    <w:p>
      <w:pPr>
        <w:spacing w:after="200"/>
        <w:jc w:val="center"/>
      </w:pPr>
      <w:r>
        <w:rPr>
          <w:i/>
          <w:sz w:val="18"/>
        </w:rPr>
        <w:t>Figure 5. Qualitative comparison on test chips (columns: SAR VV | Ground truth | SegFormer | MobileNet | SNN-T2). MobileNet-INT8 is visually identical to MobileNet FP32 (−0.008 IoU).</w:t>
      </w:r>
    </w:p>
    <w:p>
      <w:pPr>
        <w:spacing w:before="200" w:after="80"/>
      </w:pPr>
      <w:r>
        <w:rPr>
          <w:b/>
          <w:sz w:val="26"/>
        </w:rPr>
        <w:t>6. Discussion</w:t>
      </w:r>
    </w:p>
    <w:p>
      <w:pPr>
        <w:spacing w:after="120"/>
        <w:jc w:val="both"/>
      </w:pPr>
      <w:r>
        <w:rPr>
          <w:i w:val="0"/>
        </w:rPr>
        <w:t>6.1 Why SNN does not dominate. Under a MAC/SynOps energy model, the SNN's sparse-spike advantage is outweighed by (i) using full convolutions on a vanilla U-Net vs. MobileNet's depthwise-separable convs, and (ii) INT8 making each MAC ~20× cheaper. The SNN's event-driven benefit is only partially captured on von-Neumann hardware.</w:t>
      </w:r>
    </w:p>
    <w:p>
      <w:pPr>
        <w:spacing w:after="120"/>
        <w:jc w:val="both"/>
      </w:pPr>
      <w:r>
        <w:rPr>
          <w:i w:val="0"/>
        </w:rPr>
        <w:t>6.2 When to use SNN vs quantized CNN. On standard edge hardware with INT8 kernels, a quantized MobileNet-UNet is best. Prefer an SNN when the target is neuromorphic hardware (e.g., Loihi), when INT8 MAC arrays are unavailable, or with native event-based sensing; under the per-chip metric the SNN is not statistically worse than INT8. [TODO: vẽ decision-tree figure]</w:t>
      </w:r>
    </w:p>
    <w:p>
      <w:pPr>
        <w:spacing w:after="120"/>
        <w:jc w:val="both"/>
      </w:pPr>
      <w:r>
        <w:rPr>
          <w:i w:val="0"/>
        </w:rPr>
        <w:t>6.3 Limitations. No deployment on real neuromorphic hardware (energy estimated, not on-chip); single dataset; modest absolute IoU (harder 3-class SAR-only); INT4 not conclusively evaluated.</w:t>
      </w:r>
    </w:p>
    <w:p>
      <w:pPr>
        <w:spacing w:before="200" w:after="80"/>
      </w:pPr>
      <w:r>
        <w:rPr>
          <w:b/>
          <w:sz w:val="26"/>
        </w:rPr>
        <w:t>7. Conclusion</w:t>
      </w:r>
    </w:p>
    <w:p>
      <w:pPr>
        <w:spacing w:after="120"/>
        <w:jc w:val="both"/>
      </w:pPr>
      <w:r>
        <w:rPr>
          <w:i w:val="0"/>
        </w:rPr>
        <w:t>We presented the first systematic energy–accuracy benchmark of direct-trained SNNs for SAR flood segmentation against CNN, Transformer, ANN2SNN and INT8 baselines under one protocol with multi-seed statistics. SNNs are competitive with an INT8 CNN under a paired per-chip metric but not under pooled IoU; ANN2SNN fails; quantized CNNs occupy the pooled Pareto front. Future work: neuromorphic deployment, multi-temporal SAR, event-native sensing.</w:t>
      </w:r>
    </w:p>
    <w:p>
      <w:pPr>
        <w:spacing w:before="200" w:after="80"/>
      </w:pPr>
      <w:r>
        <w:rPr>
          <w:b/>
          <w:sz w:val="26"/>
        </w:rPr>
        <w:t>References</w:t>
      </w:r>
    </w:p>
    <w:p>
      <w:pPr>
        <w:spacing w:after="40"/>
      </w:pPr>
      <w:r>
        <w:rPr>
          <w:sz w:val="18"/>
        </w:rPr>
        <w:t>[1] Bonafilia et al., Sen1Floods11: a georeferenced dataset for Sentinel-1 flood mapping, CVPRW 2020.</w:t>
      </w:r>
    </w:p>
    <w:p>
      <w:pPr>
        <w:spacing w:after="40"/>
      </w:pPr>
      <w:r>
        <w:rPr>
          <w:sz w:val="18"/>
        </w:rPr>
        <w:t>[2] Horowitz, Computing's energy problem (and what we can do about it), ISSCC 2014.</w:t>
      </w:r>
    </w:p>
    <w:p>
      <w:pPr>
        <w:spacing w:after="40"/>
      </w:pPr>
      <w:r>
        <w:rPr>
          <w:sz w:val="18"/>
        </w:rPr>
        <w:t>[3] Pekel et al., High-resolution mapping of global surface water (JRC), Nature 2016.</w:t>
      </w:r>
    </w:p>
    <w:p>
      <w:pPr>
        <w:spacing w:after="40"/>
      </w:pPr>
      <w:r>
        <w:rPr>
          <w:sz w:val="18"/>
        </w:rPr>
        <w:t>[TODO] SpikingJelly; SNN segmentation (Shi 2022, Su 2023); MobileNetV2; SegFormer; DeepLabV3; SAR-SNN works. Cần đủ 20–30 trích dẫn.</w:t>
      </w:r>
    </w:p>
    <w:p>
      <w:r>
        <w:br w:type="page"/>
      </w:r>
    </w:p>
    <w:p>
      <w:pPr>
        <w:spacing w:before="200" w:after="80"/>
      </w:pPr>
      <w:r>
        <w:rPr>
          <w:b/>
          <w:sz w:val="26"/>
        </w:rPr>
        <w:t>Appendix A. Reproducibility</w:t>
      </w:r>
    </w:p>
    <w:p>
      <w:pPr>
        <w:spacing w:after="120"/>
        <w:jc w:val="both"/>
      </w:pPr>
      <w:r>
        <w:rPr>
          <w:i/>
        </w:rPr>
        <w:t>Code, configs, region-stratified splits and fixed seeds are released at [GitHub repo link]. We keep all experiment versions: v1 = 70/20/10 split (git tag paper-v1, archived in paper/results_v1_70-20-10/); v2 = 60/20/20 split (current). Hardware: 1× NVIDIA H100 (training); energy is estimated analytically at 45 nm (not measured on-chip). Seeds: {0,1,2} (T=6 also {3,4}). [TODO: điền git SHA + repo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