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BÁO CÁO KIẾN TRÚC HỆ THỐNG DOCX-AGENT V2.1</w:t>
      </w:r>
    </w:p>
    <w:p>
      <w:pPr>
        <w:pStyle w:val="Heading1"/>
      </w:pPr>
      <w:r>
        <w:t>1. Tổng Quan Kiến Trúc</w:t>
      </w:r>
    </w:p>
    <w:p>
      <w:r>
        <w:t>Hệ thống Docx-Agent V2.1 được thiết kế theo mô hình phân lớp gồm ba tầng chính: Tầng Trình soạn thảo A4 (Document Workspace), Tầng Mô hình dữ liệu chuẩn tắc (Canonical Document Model), và Tầng Cầu nối Tác tử AI (Antigravity Agent Bridge).</w:t>
      </w:r>
    </w:p>
    <w:p>
      <w:pPr>
        <w:pStyle w:val="Heading1"/>
      </w:pPr>
      <w:r>
        <w:t>2. Các Thành Phần Trọng Tâm</w:t>
      </w:r>
    </w:p>
    <w:p>
      <w:pPr>
        <w:pStyle w:val="Heading2"/>
      </w:pPr>
      <w:r>
        <w:t>2.1 Bộ Xử Lý Giao Dịch Agent (Transaction Manager)</w:t>
      </w:r>
    </w:p>
    <w:p>
      <w:r>
        <w:t>Mọi đề xuất chỉnh sửa từ Antigravity Agent đều được đóng gói thành các giao dịch nguyên tử (Atomic Transactions). Người dùng có toàn quyền xem trước (Preview Diff), chấp thuận (Apply) hoặc từ chối (Reject) trước khi thay đổi được ghi vào tài liệu.</w:t>
      </w:r>
    </w:p>
    <w:p>
      <w:pPr>
        <w:pStyle w:val="Heading2"/>
      </w:pPr>
      <w:r>
        <w:t>2.2 Trích Dẫn Học Thuật và Nguồn Dữ Liệu</w:t>
      </w:r>
    </w:p>
    <w:p>
      <w:r>
        <w:t>Hệ thống hỗ trợ kiểm chứng nguồn tài liệu theo tiêu chuẩn APA, IEEE và TCVN, đảm bảo thông tin trích dẫn luôn xác thực và không tạo ra các tài liệu tham khảo ảo.</w:t>
      </w:r>
    </w:p>
    <w:tbl>
      <w:tblPr>
        <w:tblStyle w:val="TableGrid"/>
        <w:tblW w:type="auto" w:w="0"/>
        <w:tblLook w:firstColumn="1" w:firstRow="1" w:lastColumn="0" w:lastRow="0" w:noHBand="0" w:noVBand="1" w:val="04A0"/>
      </w:tblPr>
      <w:tblGrid>
        <w:gridCol w:w="3135"/>
        <w:gridCol w:w="3135"/>
        <w:gridCol w:w="3135"/>
      </w:tblGrid>
      <w:tr>
        <w:tc>
          <w:tcPr>
            <w:tcW w:type="dxa" w:w="3135"/>
          </w:tcPr>
          <w:p>
            <w:r>
              <w:t>Mô-đun</w:t>
            </w:r>
          </w:p>
        </w:tc>
        <w:tc>
          <w:tcPr>
            <w:tcW w:type="dxa" w:w="3135"/>
          </w:tcPr>
          <w:p>
            <w:r>
              <w:t>Chức năng</w:t>
            </w:r>
          </w:p>
        </w:tc>
        <w:tc>
          <w:tcPr>
            <w:tcW w:type="dxa" w:w="3135"/>
          </w:tcPr>
          <w:p>
            <w:r>
              <w:t>Độ tin cậy</w:t>
            </w:r>
          </w:p>
        </w:tc>
      </w:tr>
      <w:tr>
        <w:tc>
          <w:tcPr>
            <w:tcW w:type="dxa" w:w="3135"/>
          </w:tcPr>
          <w:p>
            <w:r>
              <w:t>Canonical Engine</w:t>
            </w:r>
          </w:p>
        </w:tc>
        <w:tc>
          <w:tcPr>
            <w:tcW w:type="dxa" w:w="3135"/>
          </w:tcPr>
          <w:p>
            <w:r>
              <w:t>Lưu trữ in-memory chuẩn hóa</w:t>
            </w:r>
          </w:p>
        </w:tc>
        <w:tc>
          <w:tcPr>
            <w:tcW w:type="dxa" w:w="3135"/>
          </w:tcPr>
          <w:p>
            <w:r>
              <w:t>100%</w:t>
            </w:r>
          </w:p>
        </w:tc>
      </w:tr>
      <w:tr>
        <w:tc>
          <w:tcPr>
            <w:tcW w:type="dxa" w:w="3135"/>
          </w:tcPr>
          <w:p>
            <w:r>
              <w:t>Visual Verifier</w:t>
            </w:r>
          </w:p>
        </w:tc>
        <w:tc>
          <w:tcPr>
            <w:tcW w:type="dxa" w:w="3135"/>
          </w:tcPr>
          <w:p>
            <w:r>
              <w:t>Kiểm tra bố cục và tràn trang</w:t>
            </w:r>
          </w:p>
        </w:tc>
        <w:tc>
          <w:tcPr>
            <w:tcW w:type="dxa" w:w="3135"/>
          </w:tcPr>
          <w:p>
            <w:r>
              <w:t>99.9%</w:t>
            </w:r>
          </w:p>
        </w:tc>
      </w:tr>
    </w:tbl>
    <w:sectPr w:rsidR="00FC693F" w:rsidRPr="0006063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