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NGHIÊN CỨU HỆ THỐNG AGENT THÔNG MINH</w:t>
      </w:r>
    </w:p>
    <w:p>
      <w:pPr>
        <w:pStyle w:val="Subtitle"/>
      </w:pPr>
      <w:r>
        <w:t>Đề tài: Tối ưu hóa xử lý văn bản tự động với AI</w:t>
      </w:r>
    </w:p>
    <w:p>
      <w:pPr>
        <w:pStyle w:val="Heading1"/>
      </w:pPr>
      <w:r>
        <w:t>1. Giới thiệu tổng quan</w:t>
      </w:r>
    </w:p>
    <w:p>
      <w:r>
        <w:t>Nghiên cứu này trình bày kiến trúc và phương pháp tiếp cận mới trong việc xây dựng các hệ thống agent tự động thao tác tài liệu Microsoft Word một cách an toàn và chính xác.</w:t>
      </w:r>
    </w:p>
    <w:p>
      <w:pPr>
        <w:pStyle w:val="Heading1"/>
      </w:pPr>
      <w:r>
        <w:t>2. Phương pháp thực hiện</w:t>
      </w:r>
    </w:p>
    <w:p>
      <w:r>
        <w:rPr>
          <w:rFonts w:ascii="Times New Roman" w:hAnsi="Times New Roman"/>
          <w:sz w:val="26"/>
        </w:rPr>
        <w:t>Chúng tôi sử dụng thuật toán phẫu thuật Run (Run Surgery Engine) để thay thế văn bản mà không làm mất định dạng in đậm, in nghiêng hoặc màu sắc.</w:t>
      </w:r>
    </w:p>
    <w:p>
      <w:pPr>
        <w:pStyle w:val="Heading2"/>
      </w:pPr>
      <w:r>
        <w:t>2.1 Phân tích dữ liệu thực nghiệm</w:t>
      </w:r>
    </w:p>
    <w:tbl>
      <w:tblPr>
        <w:tblStyle w:val="TableGrid"/>
        <w:tblW w:type="auto" w:w="0"/>
        <w:jc w:val="center"/>
        <w:tblLook w:firstColumn="1" w:firstRow="1" w:lastColumn="0" w:lastRow="0" w:noHBand="0" w:noVBand="1" w:val="04A0"/>
      </w:tblPr>
      <w:tblGrid>
        <w:gridCol w:w="3024"/>
        <w:gridCol w:w="3024"/>
        <w:gridCol w:w="3024"/>
      </w:tblGrid>
      <w:tr>
        <w:trPr>
          <w:tblHeader/>
          <w:cantSplit/>
        </w:trPr>
        <w:tc>
          <w:tcPr>
            <w:tcW w:type="dxa" w:w="3024"/>
            <w:shd w:fill="F2F2F2"/>
          </w:tcPr>
          <w:p>
            <w:r>
              <w:t>Phương Pháp</w:t>
            </w:r>
          </w:p>
        </w:tc>
        <w:tc>
          <w:tcPr>
            <w:tcW w:type="dxa" w:w="3024"/>
          </w:tcPr>
          <w:p>
            <w:r>
              <w:t>Độ Chính Xác</w:t>
            </w:r>
          </w:p>
        </w:tc>
        <w:tc>
          <w:tcPr>
            <w:tcW w:type="dxa" w:w="3024"/>
          </w:tcPr>
          <w:p>
            <w:r>
              <w:t>Thời Gian (ms)</w:t>
            </w:r>
          </w:p>
        </w:tc>
      </w:tr>
      <w:tr>
        <w:trPr>
          <w:cantSplit/>
        </w:trPr>
        <w:tc>
          <w:tcPr>
            <w:tcW w:type="dxa" w:w="3024"/>
          </w:tcPr>
          <w:p>
            <w:r>
              <w:t>Naive Text Replacement</w:t>
            </w:r>
          </w:p>
        </w:tc>
        <w:tc>
          <w:tcPr>
            <w:tcW w:type="dxa" w:w="3024"/>
          </w:tcPr>
          <w:p>
            <w:r>
              <w:t>62.4%</w:t>
            </w:r>
          </w:p>
        </w:tc>
        <w:tc>
          <w:tcPr>
            <w:tcW w:type="dxa" w:w="3024"/>
          </w:tcPr>
          <w:p>
            <w:r>
              <w:t>120</w:t>
            </w:r>
          </w:p>
        </w:tc>
      </w:tr>
      <w:tr>
        <w:trPr>
          <w:cantSplit/>
        </w:trPr>
        <w:tc>
          <w:tcPr>
            <w:tcW w:type="dxa" w:w="3024"/>
          </w:tcPr>
          <w:p>
            <w:r>
              <w:t>DOM Overwrite</w:t>
            </w:r>
          </w:p>
        </w:tc>
        <w:tc>
          <w:tcPr>
            <w:tcW w:type="dxa" w:w="3024"/>
          </w:tcPr>
          <w:p>
            <w:r>
              <w:t>78.1%</w:t>
            </w:r>
          </w:p>
        </w:tc>
        <w:tc>
          <w:tcPr>
            <w:tcW w:type="dxa" w:w="3024"/>
          </w:tcPr>
          <w:p>
            <w:r>
              <w:t>95</w:t>
            </w:r>
          </w:p>
        </w:tc>
      </w:tr>
      <w:tr>
        <w:trPr>
          <w:cantSplit/>
        </w:trPr>
        <w:tc>
          <w:tcPr>
            <w:tcW w:type="dxa" w:w="3024"/>
          </w:tcPr>
          <w:p>
            <w:r>
              <w:t>Docx-Agent Run Surgery</w:t>
            </w:r>
          </w:p>
        </w:tc>
        <w:tc>
          <w:tcPr>
            <w:tcW w:type="dxa" w:w="3024"/>
            <w:shd w:fill="D4EDDA"/>
          </w:tcPr>
          <w:p>
            <w:r>
              <w:rPr>
                <w:b/>
              </w:rPr>
              <w:t>99.9%</w:t>
            </w:r>
          </w:p>
        </w:tc>
        <w:tc>
          <w:tcPr>
            <w:tcW w:type="dxa" w:w="3024"/>
          </w:tcPr>
          <w:p>
            <w:r>
              <w:t>45</w:t>
            </w:r>
          </w:p>
        </w:tc>
      </w:tr>
    </w:tbl>
    <w:p>
      <w:pPr>
        <w:jc w:val="center"/>
      </w:pPr>
      <w:r>
        <w:drawing>
          <wp:inline xmlns:a="http://schemas.openxmlformats.org/drawingml/2006/main" xmlns:pic="http://schemas.openxmlformats.org/drawingml/2006/picture">
            <wp:extent cx="4680000" cy="2340000"/>
            <wp:docPr id="1" name="Picture 1"/>
            <wp:cNvGraphicFramePr>
              <a:graphicFrameLocks noChangeAspect="1"/>
            </wp:cNvGraphicFramePr>
            <a:graphic>
              <a:graphicData uri="http://schemas.openxmlformats.org/drawingml/2006/picture">
                <pic:pic>
                  <pic:nvPicPr>
                    <pic:cNvPr id="0" name="demo_chart.png"/>
                    <pic:cNvPicPr/>
                  </pic:nvPicPr>
                  <pic:blipFill>
                    <a:blip r:embed="rId10"/>
                    <a:stretch>
                      <a:fillRect/>
                    </a:stretch>
                  </pic:blipFill>
                  <pic:spPr>
                    <a:xfrm>
                      <a:off x="0" y="0"/>
                      <a:ext cx="4680000" cy="2340000"/>
                    </a:xfrm>
                    <a:prstGeom prst="rect"/>
                  </pic:spPr>
                </pic:pic>
              </a:graphicData>
            </a:graphic>
          </wp:inline>
        </w:drawing>
      </w:r>
    </w:p>
    <w:p>
      <w:pPr>
        <w:pStyle w:val="Caption"/>
        <w:jc w:val="center"/>
      </w:pPr>
      <w:r>
        <w:t>Hình 1: So sánh hiệu năng giữa các phương pháp thao tác DOCX.</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t xml:space="preserve">Trang </w:t>
    </w:r>
    <w:fldSimple w:instr="PAGE">
      <w:r>
        <w:rPr/>
        <w:t>1</w:t>
      </w:r>
    </w:fldSimple>
    <w:r>
      <w:t xml:space="preserve"> / </w:t>
    </w:r>
    <w:fldSimple w:instr="NUMPAGES">
      <w:r>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7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jc w:val="left"/>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rFonts w:asciiTheme="majorHAnsi" w:eastAsiaTheme="majorEastAsia" w:hAnsiTheme="majorHAnsi" w:cstheme="majorBidi" w:ascii="Times New Roman" w:hAnsi="Times New Roman"/>
      <w:b/>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