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56B" w:rsidRPr="00911061" w:rsidRDefault="00E6256B" w:rsidP="00824B7E">
      <w:pPr>
        <w:pStyle w:val="NormalWeb"/>
        <w:spacing w:before="0" w:beforeAutospacing="0" w:after="0" w:afterAutospacing="0" w:line="360" w:lineRule="auto"/>
        <w:jc w:val="both"/>
        <w:rPr>
          <w:sz w:val="30"/>
          <w:szCs w:val="30"/>
        </w:rPr>
      </w:pPr>
      <w:bookmarkStart w:id="0" w:name="_GoBack"/>
      <w:r w:rsidRPr="00911061">
        <w:rPr>
          <w:sz w:val="30"/>
          <w:szCs w:val="30"/>
        </w:rPr>
        <w:t xml:space="preserve">4.3 </w:t>
      </w:r>
      <w:r w:rsidRPr="00911061">
        <w:rPr>
          <w:color w:val="000000"/>
          <w:sz w:val="30"/>
          <w:szCs w:val="30"/>
        </w:rPr>
        <w:t>Sự giống và khác nhau giữa thanh toán B2B và B2C?</w:t>
      </w:r>
    </w:p>
    <w:bookmarkEnd w:id="0"/>
    <w:p w:rsidR="00E6256B" w:rsidRPr="00E6256B" w:rsidRDefault="00ED4135" w:rsidP="00824B7E">
      <w:pPr>
        <w:shd w:val="clear" w:color="auto" w:fill="FFFFFF"/>
        <w:spacing w:after="0" w:line="360" w:lineRule="auto"/>
        <w:outlineLvl w:val="1"/>
        <w:rPr>
          <w:rFonts w:ascii="Times New Roman" w:eastAsia="Times New Roman" w:hAnsi="Times New Roman" w:cs="Times New Roman"/>
          <w:b/>
          <w:bCs/>
          <w:color w:val="1F1F1F"/>
          <w:sz w:val="26"/>
          <w:szCs w:val="26"/>
        </w:rPr>
      </w:pPr>
      <w:r w:rsidRPr="00824B7E">
        <w:rPr>
          <w:rFonts w:ascii="Times New Roman" w:eastAsia="Times New Roman" w:hAnsi="Times New Roman" w:cs="Times New Roman"/>
          <w:b/>
          <w:bCs/>
          <w:color w:val="1F1F1F"/>
          <w:sz w:val="26"/>
          <w:szCs w:val="26"/>
        </w:rPr>
        <w:t xml:space="preserve">* </w:t>
      </w:r>
      <w:r w:rsidR="00E6256B" w:rsidRPr="00E6256B">
        <w:rPr>
          <w:rFonts w:ascii="Times New Roman" w:eastAsia="Times New Roman" w:hAnsi="Times New Roman" w:cs="Times New Roman"/>
          <w:b/>
          <w:bCs/>
          <w:color w:val="1F1F1F"/>
          <w:sz w:val="26"/>
          <w:szCs w:val="26"/>
        </w:rPr>
        <w:t>Giống nhau:</w:t>
      </w:r>
    </w:p>
    <w:p w:rsidR="00E6256B" w:rsidRPr="00E6256B" w:rsidRDefault="00E6256B" w:rsidP="00824B7E">
      <w:pPr>
        <w:numPr>
          <w:ilvl w:val="0"/>
          <w:numId w:val="1"/>
        </w:numPr>
        <w:shd w:val="clear" w:color="auto" w:fill="FFFFFF"/>
        <w:spacing w:after="0" w:line="240" w:lineRule="auto"/>
        <w:ind w:left="0"/>
        <w:rPr>
          <w:rFonts w:ascii="Times New Roman" w:eastAsia="Times New Roman" w:hAnsi="Times New Roman" w:cs="Times New Roman"/>
          <w:color w:val="1F1F1F"/>
          <w:sz w:val="26"/>
          <w:szCs w:val="26"/>
        </w:rPr>
      </w:pPr>
      <w:r w:rsidRPr="00824B7E">
        <w:rPr>
          <w:rFonts w:ascii="Times New Roman" w:eastAsia="Times New Roman" w:hAnsi="Times New Roman" w:cs="Times New Roman"/>
          <w:b/>
          <w:bCs/>
          <w:color w:val="1F1F1F"/>
          <w:sz w:val="26"/>
          <w:szCs w:val="26"/>
        </w:rPr>
        <w:t>Mục đích:</w:t>
      </w:r>
      <w:r w:rsidRPr="00E6256B">
        <w:rPr>
          <w:rFonts w:ascii="Times New Roman" w:eastAsia="Times New Roman" w:hAnsi="Times New Roman" w:cs="Times New Roman"/>
          <w:color w:val="1F1F1F"/>
          <w:sz w:val="26"/>
          <w:szCs w:val="26"/>
        </w:rPr>
        <w:t> Cả thanh toán B2B và B2C đều nhằm mục đích chuyển tiền từ người mua sang người bán để hoàn tất giao dịch mua bán.</w:t>
      </w:r>
    </w:p>
    <w:p w:rsidR="00E6256B" w:rsidRPr="00E6256B" w:rsidRDefault="00E6256B" w:rsidP="00824B7E">
      <w:pPr>
        <w:numPr>
          <w:ilvl w:val="0"/>
          <w:numId w:val="1"/>
        </w:numPr>
        <w:shd w:val="clear" w:color="auto" w:fill="FFFFFF"/>
        <w:spacing w:after="0" w:line="240" w:lineRule="auto"/>
        <w:ind w:left="0"/>
        <w:rPr>
          <w:rFonts w:ascii="Times New Roman" w:eastAsia="Times New Roman" w:hAnsi="Times New Roman" w:cs="Times New Roman"/>
          <w:color w:val="1F1F1F"/>
          <w:sz w:val="26"/>
          <w:szCs w:val="26"/>
        </w:rPr>
      </w:pPr>
      <w:r w:rsidRPr="00824B7E">
        <w:rPr>
          <w:rFonts w:ascii="Times New Roman" w:eastAsia="Times New Roman" w:hAnsi="Times New Roman" w:cs="Times New Roman"/>
          <w:b/>
          <w:bCs/>
          <w:color w:val="1F1F1F"/>
          <w:sz w:val="26"/>
          <w:szCs w:val="26"/>
        </w:rPr>
        <w:t>Phương thức thanh toán:</w:t>
      </w:r>
      <w:r w:rsidRPr="00E6256B">
        <w:rPr>
          <w:rFonts w:ascii="Times New Roman" w:eastAsia="Times New Roman" w:hAnsi="Times New Roman" w:cs="Times New Roman"/>
          <w:color w:val="1F1F1F"/>
          <w:sz w:val="26"/>
          <w:szCs w:val="26"/>
        </w:rPr>
        <w:t> Cả hai đều có thể sử dụng các phương thức thanh toán phổ biến như chuyển khoản ngân hàng, thanh toán thẻ, ví điện tử, v.v.</w:t>
      </w:r>
    </w:p>
    <w:p w:rsidR="00ED4135" w:rsidRPr="00824B7E" w:rsidRDefault="00E6256B" w:rsidP="00824B7E">
      <w:pPr>
        <w:numPr>
          <w:ilvl w:val="0"/>
          <w:numId w:val="1"/>
        </w:numPr>
        <w:shd w:val="clear" w:color="auto" w:fill="FFFFFF"/>
        <w:spacing w:after="0" w:line="240" w:lineRule="auto"/>
        <w:ind w:left="0"/>
        <w:rPr>
          <w:rFonts w:ascii="Times New Roman" w:eastAsia="Times New Roman" w:hAnsi="Times New Roman" w:cs="Times New Roman"/>
          <w:color w:val="1F1F1F"/>
          <w:sz w:val="26"/>
          <w:szCs w:val="26"/>
        </w:rPr>
      </w:pPr>
      <w:r w:rsidRPr="00824B7E">
        <w:rPr>
          <w:rFonts w:ascii="Times New Roman" w:eastAsia="Times New Roman" w:hAnsi="Times New Roman" w:cs="Times New Roman"/>
          <w:b/>
          <w:bCs/>
          <w:color w:val="1F1F1F"/>
          <w:sz w:val="26"/>
          <w:szCs w:val="26"/>
        </w:rPr>
        <w:t>Lợi ích:</w:t>
      </w:r>
      <w:r w:rsidRPr="00E6256B">
        <w:rPr>
          <w:rFonts w:ascii="Times New Roman" w:eastAsia="Times New Roman" w:hAnsi="Times New Roman" w:cs="Times New Roman"/>
          <w:color w:val="1F1F1F"/>
          <w:sz w:val="26"/>
          <w:szCs w:val="26"/>
        </w:rPr>
        <w:t> Cả hai đều mang lại lợi ích cho cả người mua và người bán như tiết kiệm thời gian, chi phí, tăng hiệu quả thanh toán, v.v.</w:t>
      </w:r>
    </w:p>
    <w:p w:rsidR="00824B7E" w:rsidRPr="00824B7E" w:rsidRDefault="00ED4135" w:rsidP="00824B7E">
      <w:pPr>
        <w:shd w:val="clear" w:color="auto" w:fill="FFFFFF"/>
        <w:spacing w:before="100" w:beforeAutospacing="1" w:after="0" w:line="360" w:lineRule="auto"/>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 Khác nhau:</w:t>
      </w:r>
    </w:p>
    <w:tbl>
      <w:tblPr>
        <w:tblStyle w:val="TableGrid"/>
        <w:tblW w:w="0" w:type="auto"/>
        <w:tblLook w:val="04A0" w:firstRow="1" w:lastRow="0" w:firstColumn="1" w:lastColumn="0" w:noHBand="0" w:noVBand="1"/>
      </w:tblPr>
      <w:tblGrid>
        <w:gridCol w:w="1818"/>
        <w:gridCol w:w="4050"/>
        <w:gridCol w:w="3708"/>
      </w:tblGrid>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Đặc điểm</w:t>
            </w:r>
          </w:p>
        </w:tc>
        <w:tc>
          <w:tcPr>
            <w:tcW w:w="4050"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Thanh toán B2B</w:t>
            </w:r>
          </w:p>
        </w:tc>
        <w:tc>
          <w:tcPr>
            <w:tcW w:w="370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Thanh toán B2C</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Đối tượng</w:t>
            </w:r>
          </w:p>
        </w:tc>
        <w:tc>
          <w:tcPr>
            <w:tcW w:w="4050"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Doanh nghiệp giao dịch với nhau</w:t>
            </w:r>
          </w:p>
        </w:tc>
        <w:tc>
          <w:tcPr>
            <w:tcW w:w="3708"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Doanh nghiệp giao dịch với khách hàng cá nhân</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Giá trị giao dịch</w:t>
            </w:r>
          </w:p>
        </w:tc>
        <w:tc>
          <w:tcPr>
            <w:tcW w:w="4050"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Thường cao hơn</w:t>
            </w:r>
          </w:p>
        </w:tc>
        <w:tc>
          <w:tcPr>
            <w:tcW w:w="3708"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Thườ</w:t>
            </w:r>
            <w:r w:rsidRPr="00824B7E">
              <w:rPr>
                <w:rFonts w:ascii="Times New Roman" w:hAnsi="Times New Roman" w:cs="Times New Roman"/>
                <w:color w:val="1F1F1F"/>
                <w:sz w:val="26"/>
                <w:szCs w:val="26"/>
                <w:shd w:val="clear" w:color="auto" w:fill="FFFFFF"/>
              </w:rPr>
              <w:t>ng thấp</w:t>
            </w:r>
            <w:r w:rsidRPr="00824B7E">
              <w:rPr>
                <w:rFonts w:ascii="Times New Roman" w:hAnsi="Times New Roman" w:cs="Times New Roman"/>
                <w:color w:val="1F1F1F"/>
                <w:sz w:val="26"/>
                <w:szCs w:val="26"/>
                <w:shd w:val="clear" w:color="auto" w:fill="FFFFFF"/>
              </w:rPr>
              <w:t xml:space="preserve"> hơn</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Quy trình thanh toán</w:t>
            </w:r>
          </w:p>
        </w:tc>
        <w:tc>
          <w:tcPr>
            <w:tcW w:w="4050"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Phức tạp hơn, có thể liên quan đến nhiều bước và nhiều bên tham gia</w:t>
            </w:r>
          </w:p>
        </w:tc>
        <w:tc>
          <w:tcPr>
            <w:tcW w:w="3708"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Đơn giản hơn, thường chỉ có hai bước: người mua thanh toán và người bán nhận thanh toán</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Mức độ rủi ro</w:t>
            </w:r>
          </w:p>
        </w:tc>
        <w:tc>
          <w:tcPr>
            <w:tcW w:w="4050"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Cao hơn do liên quan đến các doanh nghiệp</w:t>
            </w:r>
          </w:p>
        </w:tc>
        <w:tc>
          <w:tcPr>
            <w:tcW w:w="3708"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Thấp</w:t>
            </w:r>
            <w:r w:rsidRPr="00824B7E">
              <w:rPr>
                <w:rFonts w:ascii="Times New Roman" w:hAnsi="Times New Roman" w:cs="Times New Roman"/>
                <w:color w:val="1F1F1F"/>
                <w:sz w:val="26"/>
                <w:szCs w:val="26"/>
                <w:shd w:val="clear" w:color="auto" w:fill="FFFFFF"/>
              </w:rPr>
              <w:t xml:space="preserve"> hơn do liên quan đến các doanh nghiệp</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Thời gian thanh toán</w:t>
            </w:r>
          </w:p>
        </w:tc>
        <w:tc>
          <w:tcPr>
            <w:tcW w:w="4050" w:type="dxa"/>
            <w:vAlign w:val="center"/>
          </w:tcPr>
          <w:p w:rsidR="00ED4135" w:rsidRPr="00824B7E" w:rsidRDefault="00ED4135"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Dài hơn, có thể thanh toán theo kỳ hạn</w:t>
            </w:r>
          </w:p>
        </w:tc>
        <w:tc>
          <w:tcPr>
            <w:tcW w:w="3708" w:type="dxa"/>
            <w:vAlign w:val="center"/>
          </w:tcPr>
          <w:p w:rsidR="00ED4135" w:rsidRPr="00824B7E" w:rsidRDefault="00824B7E"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Ngắn hơn, thường thanh toán ngay lập tức</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Hình thức thanh toán</w:t>
            </w:r>
          </w:p>
        </w:tc>
        <w:tc>
          <w:tcPr>
            <w:tcW w:w="4050" w:type="dxa"/>
            <w:vAlign w:val="center"/>
          </w:tcPr>
          <w:p w:rsidR="00ED4135" w:rsidRPr="00824B7E" w:rsidRDefault="00824B7E"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Chuyển khoản ngân hàng, tín dụng thương mại, thanh toán qua cổng thanh toán B2B</w:t>
            </w:r>
          </w:p>
        </w:tc>
        <w:tc>
          <w:tcPr>
            <w:tcW w:w="3708" w:type="dxa"/>
            <w:vAlign w:val="center"/>
          </w:tcPr>
          <w:p w:rsidR="00ED4135" w:rsidRPr="00824B7E" w:rsidRDefault="00824B7E" w:rsidP="00824B7E">
            <w:pPr>
              <w:tabs>
                <w:tab w:val="left" w:pos="960"/>
              </w:tabs>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Chuyển khoản ngân hàng, thanh toán thẻ, ví điện tử, thanh toán trực tiếp</w:t>
            </w:r>
          </w:p>
        </w:tc>
      </w:tr>
      <w:tr w:rsidR="00ED4135" w:rsidRPr="00824B7E" w:rsidTr="00824B7E">
        <w:tc>
          <w:tcPr>
            <w:tcW w:w="1818" w:type="dxa"/>
            <w:vAlign w:val="center"/>
          </w:tcPr>
          <w:p w:rsidR="00ED4135" w:rsidRPr="00824B7E" w:rsidRDefault="00ED4135" w:rsidP="00824B7E">
            <w:pPr>
              <w:spacing w:before="100" w:beforeAutospacing="1"/>
              <w:jc w:val="center"/>
              <w:rPr>
                <w:rFonts w:ascii="Times New Roman" w:eastAsia="Times New Roman" w:hAnsi="Times New Roman" w:cs="Times New Roman"/>
                <w:b/>
                <w:color w:val="1F1F1F"/>
                <w:sz w:val="26"/>
                <w:szCs w:val="26"/>
              </w:rPr>
            </w:pPr>
            <w:r w:rsidRPr="00824B7E">
              <w:rPr>
                <w:rFonts w:ascii="Times New Roman" w:eastAsia="Times New Roman" w:hAnsi="Times New Roman" w:cs="Times New Roman"/>
                <w:b/>
                <w:color w:val="1F1F1F"/>
                <w:sz w:val="26"/>
                <w:szCs w:val="26"/>
              </w:rPr>
              <w:t>Yêu cầu bảo mật</w:t>
            </w:r>
          </w:p>
        </w:tc>
        <w:tc>
          <w:tcPr>
            <w:tcW w:w="4050" w:type="dxa"/>
            <w:vAlign w:val="center"/>
          </w:tcPr>
          <w:p w:rsidR="00ED4135" w:rsidRPr="00824B7E" w:rsidRDefault="00824B7E"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Cao hơn</w:t>
            </w:r>
          </w:p>
        </w:tc>
        <w:tc>
          <w:tcPr>
            <w:tcW w:w="3708" w:type="dxa"/>
            <w:vAlign w:val="center"/>
          </w:tcPr>
          <w:p w:rsidR="00ED4135" w:rsidRPr="00824B7E" w:rsidRDefault="00824B7E" w:rsidP="00824B7E">
            <w:pPr>
              <w:spacing w:before="100" w:beforeAutospacing="1"/>
              <w:rPr>
                <w:rFonts w:ascii="Times New Roman" w:eastAsia="Times New Roman" w:hAnsi="Times New Roman" w:cs="Times New Roman"/>
                <w:b/>
                <w:color w:val="1F1F1F"/>
                <w:sz w:val="26"/>
                <w:szCs w:val="26"/>
              </w:rPr>
            </w:pPr>
            <w:r w:rsidRPr="00824B7E">
              <w:rPr>
                <w:rFonts w:ascii="Times New Roman" w:hAnsi="Times New Roman" w:cs="Times New Roman"/>
                <w:color w:val="1F1F1F"/>
                <w:sz w:val="26"/>
                <w:szCs w:val="26"/>
                <w:shd w:val="clear" w:color="auto" w:fill="FFFFFF"/>
              </w:rPr>
              <w:t>Thấp</w:t>
            </w:r>
            <w:r w:rsidRPr="00824B7E">
              <w:rPr>
                <w:rFonts w:ascii="Times New Roman" w:hAnsi="Times New Roman" w:cs="Times New Roman"/>
                <w:color w:val="1F1F1F"/>
                <w:sz w:val="26"/>
                <w:szCs w:val="26"/>
                <w:shd w:val="clear" w:color="auto" w:fill="FFFFFF"/>
              </w:rPr>
              <w:t xml:space="preserve"> hơn</w:t>
            </w:r>
          </w:p>
        </w:tc>
      </w:tr>
    </w:tbl>
    <w:p w:rsidR="009B69B0" w:rsidRPr="009B69B0" w:rsidRDefault="009B69B0" w:rsidP="008C5AC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26"/>
          <w:szCs w:val="26"/>
        </w:rPr>
      </w:pPr>
      <w:r w:rsidRPr="009B69B0">
        <w:rPr>
          <w:rFonts w:ascii="Times New Roman" w:eastAsia="Times New Roman" w:hAnsi="Times New Roman" w:cs="Times New Roman"/>
          <w:b/>
          <w:bCs/>
          <w:color w:val="1F1F1F"/>
          <w:sz w:val="26"/>
          <w:szCs w:val="26"/>
        </w:rPr>
        <w:t>Ví dụ:</w:t>
      </w:r>
    </w:p>
    <w:p w:rsidR="009B69B0" w:rsidRPr="009B69B0" w:rsidRDefault="009B69B0" w:rsidP="009B69B0">
      <w:pPr>
        <w:numPr>
          <w:ilvl w:val="0"/>
          <w:numId w:val="2"/>
        </w:numPr>
        <w:shd w:val="clear" w:color="auto" w:fill="FFFFFF"/>
        <w:spacing w:after="0" w:line="240" w:lineRule="auto"/>
        <w:ind w:left="0"/>
        <w:rPr>
          <w:rFonts w:ascii="Times New Roman" w:eastAsia="Times New Roman" w:hAnsi="Times New Roman" w:cs="Times New Roman"/>
          <w:color w:val="1F1F1F"/>
          <w:sz w:val="26"/>
          <w:szCs w:val="26"/>
        </w:rPr>
      </w:pPr>
      <w:r w:rsidRPr="009B69B0">
        <w:rPr>
          <w:rFonts w:ascii="Times New Roman" w:eastAsia="Times New Roman" w:hAnsi="Times New Roman" w:cs="Times New Roman"/>
          <w:b/>
          <w:bCs/>
          <w:color w:val="1F1F1F"/>
          <w:sz w:val="26"/>
          <w:szCs w:val="26"/>
        </w:rPr>
        <w:t>Thanh toán B2B:</w:t>
      </w:r>
      <w:r w:rsidRPr="009B69B0">
        <w:rPr>
          <w:rFonts w:ascii="Times New Roman" w:eastAsia="Times New Roman" w:hAnsi="Times New Roman" w:cs="Times New Roman"/>
          <w:color w:val="1F1F1F"/>
          <w:sz w:val="26"/>
          <w:szCs w:val="26"/>
        </w:rPr>
        <w:t> Một công ty mua nguyên vật liệu từ một nhà cung cấp khác sẽ thanh toán bằng chuyển khoản ngân hàng hoặc tín dụng thương mại.</w:t>
      </w:r>
    </w:p>
    <w:p w:rsidR="009B69B0" w:rsidRPr="009B69B0" w:rsidRDefault="009B69B0" w:rsidP="00824B7E">
      <w:pPr>
        <w:numPr>
          <w:ilvl w:val="0"/>
          <w:numId w:val="2"/>
        </w:numPr>
        <w:shd w:val="clear" w:color="auto" w:fill="FFFFFF"/>
        <w:spacing w:after="0" w:line="240" w:lineRule="auto"/>
        <w:ind w:left="0"/>
        <w:rPr>
          <w:rFonts w:ascii="Times New Roman" w:eastAsia="Times New Roman" w:hAnsi="Times New Roman" w:cs="Times New Roman"/>
          <w:color w:val="1F1F1F"/>
          <w:sz w:val="26"/>
          <w:szCs w:val="26"/>
        </w:rPr>
      </w:pPr>
      <w:r w:rsidRPr="009B69B0">
        <w:rPr>
          <w:rFonts w:ascii="Times New Roman" w:eastAsia="Times New Roman" w:hAnsi="Times New Roman" w:cs="Times New Roman"/>
          <w:b/>
          <w:bCs/>
          <w:color w:val="1F1F1F"/>
          <w:sz w:val="26"/>
          <w:szCs w:val="26"/>
        </w:rPr>
        <w:t>Thanh toán B2C:</w:t>
      </w:r>
      <w:r w:rsidRPr="009B69B0">
        <w:rPr>
          <w:rFonts w:ascii="Times New Roman" w:eastAsia="Times New Roman" w:hAnsi="Times New Roman" w:cs="Times New Roman"/>
          <w:color w:val="1F1F1F"/>
          <w:sz w:val="26"/>
          <w:szCs w:val="26"/>
        </w:rPr>
        <w:t> Một khách hàng mua hàng online từ một cửa hàng sẽ than</w:t>
      </w:r>
      <w:r>
        <w:rPr>
          <w:rFonts w:ascii="Times New Roman" w:eastAsia="Times New Roman" w:hAnsi="Times New Roman" w:cs="Times New Roman"/>
          <w:color w:val="1F1F1F"/>
          <w:sz w:val="26"/>
          <w:szCs w:val="26"/>
        </w:rPr>
        <w:t>h toán bằng thẻ hoặc ví điện tử</w:t>
      </w:r>
    </w:p>
    <w:p w:rsidR="00824B7E" w:rsidRPr="00824B7E" w:rsidRDefault="008C5AC8" w:rsidP="008C5AC8">
      <w:pPr>
        <w:pStyle w:val="Heading2"/>
        <w:shd w:val="clear" w:color="auto" w:fill="FFFFFF"/>
        <w:spacing w:before="240" w:beforeAutospacing="0" w:after="0" w:afterAutospacing="0"/>
        <w:rPr>
          <w:color w:val="1F1F1F"/>
          <w:sz w:val="26"/>
          <w:szCs w:val="26"/>
        </w:rPr>
      </w:pPr>
      <w:r>
        <w:rPr>
          <w:color w:val="1F1F1F"/>
          <w:sz w:val="26"/>
          <w:szCs w:val="26"/>
        </w:rPr>
        <w:t xml:space="preserve">*  </w:t>
      </w:r>
      <w:r w:rsidR="00824B7E" w:rsidRPr="00824B7E">
        <w:rPr>
          <w:color w:val="1F1F1F"/>
          <w:sz w:val="26"/>
          <w:szCs w:val="26"/>
        </w:rPr>
        <w:t>Tóm lại:</w:t>
      </w:r>
    </w:p>
    <w:p w:rsidR="00824B7E" w:rsidRPr="00824B7E" w:rsidRDefault="00824B7E" w:rsidP="008C5AC8">
      <w:pPr>
        <w:pStyle w:val="NormalWeb"/>
        <w:shd w:val="clear" w:color="auto" w:fill="FFFFFF"/>
        <w:spacing w:before="0" w:beforeAutospacing="0" w:after="0" w:afterAutospacing="0"/>
        <w:ind w:firstLine="720"/>
        <w:rPr>
          <w:color w:val="1F1F1F"/>
          <w:sz w:val="26"/>
          <w:szCs w:val="26"/>
        </w:rPr>
      </w:pPr>
      <w:r w:rsidRPr="00824B7E">
        <w:rPr>
          <w:color w:val="1F1F1F"/>
          <w:sz w:val="26"/>
          <w:szCs w:val="26"/>
        </w:rPr>
        <w:t>Thanh toán B2B và B2C có một số điểm giống nhau về mục đích, phương thức thanh toán và lợi ích. Tuy nhiên, chúng cũng có nhiều điểm khác nhau về đối tượng, giá trị giao dịch, quy trình thanh toán, mức độ rủi ro, thời gian thanh toán, hình thức thanh toán và yêu cầu về bảo mật.</w:t>
      </w:r>
    </w:p>
    <w:p w:rsidR="00824B7E" w:rsidRPr="00824B7E" w:rsidRDefault="00824B7E" w:rsidP="008C5AC8">
      <w:pPr>
        <w:pStyle w:val="NormalWeb"/>
        <w:shd w:val="clear" w:color="auto" w:fill="FFFFFF"/>
        <w:spacing w:before="0" w:beforeAutospacing="0" w:after="0" w:afterAutospacing="0"/>
        <w:ind w:firstLine="720"/>
        <w:rPr>
          <w:color w:val="1F1F1F"/>
          <w:sz w:val="26"/>
          <w:szCs w:val="26"/>
        </w:rPr>
      </w:pPr>
      <w:r w:rsidRPr="00824B7E">
        <w:rPr>
          <w:color w:val="1F1F1F"/>
          <w:sz w:val="26"/>
          <w:szCs w:val="26"/>
        </w:rPr>
        <w:lastRenderedPageBreak/>
        <w:t>Doanh nghiệp cần lựa chọn phương thức thanh toán phù hợp với nhu cầu và đặc điểm kinh doanh của mình.</w:t>
      </w:r>
    </w:p>
    <w:p w:rsidR="00E25334" w:rsidRPr="00824B7E" w:rsidRDefault="00E25334">
      <w:pPr>
        <w:rPr>
          <w:rFonts w:ascii="Times New Roman" w:hAnsi="Times New Roman" w:cs="Times New Roman"/>
          <w:sz w:val="26"/>
          <w:szCs w:val="26"/>
        </w:rPr>
      </w:pPr>
    </w:p>
    <w:p w:rsidR="00E6256B" w:rsidRPr="00824B7E" w:rsidRDefault="00E6256B">
      <w:pPr>
        <w:rPr>
          <w:rFonts w:ascii="Times New Roman" w:hAnsi="Times New Roman" w:cs="Times New Roman"/>
          <w:sz w:val="26"/>
          <w:szCs w:val="26"/>
        </w:rPr>
      </w:pPr>
    </w:p>
    <w:sectPr w:rsidR="00E6256B" w:rsidRPr="0082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02CD"/>
    <w:multiLevelType w:val="multilevel"/>
    <w:tmpl w:val="48F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3317C"/>
    <w:multiLevelType w:val="multilevel"/>
    <w:tmpl w:val="34CC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6B"/>
    <w:rsid w:val="00824B7E"/>
    <w:rsid w:val="008C5AC8"/>
    <w:rsid w:val="00911061"/>
    <w:rsid w:val="009B69B0"/>
    <w:rsid w:val="00E25334"/>
    <w:rsid w:val="00E6256B"/>
    <w:rsid w:val="00ED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2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256B"/>
    <w:rPr>
      <w:rFonts w:ascii="Times New Roman" w:eastAsia="Times New Roman" w:hAnsi="Times New Roman" w:cs="Times New Roman"/>
      <w:b/>
      <w:bCs/>
      <w:sz w:val="36"/>
      <w:szCs w:val="36"/>
    </w:rPr>
  </w:style>
  <w:style w:type="character" w:styleId="Strong">
    <w:name w:val="Strong"/>
    <w:basedOn w:val="DefaultParagraphFont"/>
    <w:uiPriority w:val="22"/>
    <w:qFormat/>
    <w:rsid w:val="00E6256B"/>
    <w:rPr>
      <w:b/>
      <w:bCs/>
    </w:rPr>
  </w:style>
  <w:style w:type="paragraph" w:styleId="ListParagraph">
    <w:name w:val="List Paragraph"/>
    <w:basedOn w:val="Normal"/>
    <w:uiPriority w:val="34"/>
    <w:qFormat/>
    <w:rsid w:val="00ED4135"/>
    <w:pPr>
      <w:ind w:left="720"/>
      <w:contextualSpacing/>
    </w:pPr>
  </w:style>
  <w:style w:type="table" w:styleId="TableGrid">
    <w:name w:val="Table Grid"/>
    <w:basedOn w:val="TableNormal"/>
    <w:uiPriority w:val="59"/>
    <w:rsid w:val="00ED41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2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256B"/>
    <w:rPr>
      <w:rFonts w:ascii="Times New Roman" w:eastAsia="Times New Roman" w:hAnsi="Times New Roman" w:cs="Times New Roman"/>
      <w:b/>
      <w:bCs/>
      <w:sz w:val="36"/>
      <w:szCs w:val="36"/>
    </w:rPr>
  </w:style>
  <w:style w:type="character" w:styleId="Strong">
    <w:name w:val="Strong"/>
    <w:basedOn w:val="DefaultParagraphFont"/>
    <w:uiPriority w:val="22"/>
    <w:qFormat/>
    <w:rsid w:val="00E6256B"/>
    <w:rPr>
      <w:b/>
      <w:bCs/>
    </w:rPr>
  </w:style>
  <w:style w:type="paragraph" w:styleId="ListParagraph">
    <w:name w:val="List Paragraph"/>
    <w:basedOn w:val="Normal"/>
    <w:uiPriority w:val="34"/>
    <w:qFormat/>
    <w:rsid w:val="00ED4135"/>
    <w:pPr>
      <w:ind w:left="720"/>
      <w:contextualSpacing/>
    </w:pPr>
  </w:style>
  <w:style w:type="table" w:styleId="TableGrid">
    <w:name w:val="Table Grid"/>
    <w:basedOn w:val="TableNormal"/>
    <w:uiPriority w:val="59"/>
    <w:rsid w:val="00ED41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586">
      <w:bodyDiv w:val="1"/>
      <w:marLeft w:val="0"/>
      <w:marRight w:val="0"/>
      <w:marTop w:val="0"/>
      <w:marBottom w:val="0"/>
      <w:divBdr>
        <w:top w:val="none" w:sz="0" w:space="0" w:color="auto"/>
        <w:left w:val="none" w:sz="0" w:space="0" w:color="auto"/>
        <w:bottom w:val="none" w:sz="0" w:space="0" w:color="auto"/>
        <w:right w:val="none" w:sz="0" w:space="0" w:color="auto"/>
      </w:divBdr>
    </w:div>
    <w:div w:id="176963576">
      <w:bodyDiv w:val="1"/>
      <w:marLeft w:val="0"/>
      <w:marRight w:val="0"/>
      <w:marTop w:val="0"/>
      <w:marBottom w:val="0"/>
      <w:divBdr>
        <w:top w:val="none" w:sz="0" w:space="0" w:color="auto"/>
        <w:left w:val="none" w:sz="0" w:space="0" w:color="auto"/>
        <w:bottom w:val="none" w:sz="0" w:space="0" w:color="auto"/>
        <w:right w:val="none" w:sz="0" w:space="0" w:color="auto"/>
      </w:divBdr>
    </w:div>
    <w:div w:id="1416517938">
      <w:bodyDiv w:val="1"/>
      <w:marLeft w:val="0"/>
      <w:marRight w:val="0"/>
      <w:marTop w:val="0"/>
      <w:marBottom w:val="0"/>
      <w:divBdr>
        <w:top w:val="none" w:sz="0" w:space="0" w:color="auto"/>
        <w:left w:val="none" w:sz="0" w:space="0" w:color="auto"/>
        <w:bottom w:val="none" w:sz="0" w:space="0" w:color="auto"/>
        <w:right w:val="none" w:sz="0" w:space="0" w:color="auto"/>
      </w:divBdr>
    </w:div>
    <w:div w:id="1434664584">
      <w:bodyDiv w:val="1"/>
      <w:marLeft w:val="0"/>
      <w:marRight w:val="0"/>
      <w:marTop w:val="0"/>
      <w:marBottom w:val="0"/>
      <w:divBdr>
        <w:top w:val="none" w:sz="0" w:space="0" w:color="auto"/>
        <w:left w:val="none" w:sz="0" w:space="0" w:color="auto"/>
        <w:bottom w:val="none" w:sz="0" w:space="0" w:color="auto"/>
        <w:right w:val="none" w:sz="0" w:space="0" w:color="auto"/>
      </w:divBdr>
      <w:divsChild>
        <w:div w:id="74060839">
          <w:marLeft w:val="0"/>
          <w:marRight w:val="0"/>
          <w:marTop w:val="0"/>
          <w:marBottom w:val="0"/>
          <w:divBdr>
            <w:top w:val="none" w:sz="0" w:space="0" w:color="auto"/>
            <w:left w:val="none" w:sz="0" w:space="0" w:color="auto"/>
            <w:bottom w:val="none" w:sz="0" w:space="0" w:color="auto"/>
            <w:right w:val="none" w:sz="0" w:space="0" w:color="auto"/>
          </w:divBdr>
          <w:divsChild>
            <w:div w:id="1669166051">
              <w:marLeft w:val="0"/>
              <w:marRight w:val="0"/>
              <w:marTop w:val="0"/>
              <w:marBottom w:val="0"/>
              <w:divBdr>
                <w:top w:val="none" w:sz="0" w:space="0" w:color="auto"/>
                <w:left w:val="none" w:sz="0" w:space="0" w:color="auto"/>
                <w:bottom w:val="none" w:sz="0" w:space="0" w:color="auto"/>
                <w:right w:val="none" w:sz="0" w:space="0" w:color="auto"/>
              </w:divBdr>
              <w:divsChild>
                <w:div w:id="748772831">
                  <w:marLeft w:val="0"/>
                  <w:marRight w:val="0"/>
                  <w:marTop w:val="0"/>
                  <w:marBottom w:val="0"/>
                  <w:divBdr>
                    <w:top w:val="none" w:sz="0" w:space="0" w:color="auto"/>
                    <w:left w:val="none" w:sz="0" w:space="0" w:color="auto"/>
                    <w:bottom w:val="none" w:sz="0" w:space="0" w:color="auto"/>
                    <w:right w:val="none" w:sz="0" w:space="0" w:color="auto"/>
                  </w:divBdr>
                  <w:divsChild>
                    <w:div w:id="574901298">
                      <w:marLeft w:val="0"/>
                      <w:marRight w:val="0"/>
                      <w:marTop w:val="0"/>
                      <w:marBottom w:val="0"/>
                      <w:divBdr>
                        <w:top w:val="none" w:sz="0" w:space="0" w:color="auto"/>
                        <w:left w:val="none" w:sz="0" w:space="0" w:color="auto"/>
                        <w:bottom w:val="none" w:sz="0" w:space="0" w:color="auto"/>
                        <w:right w:val="none" w:sz="0" w:space="0" w:color="auto"/>
                      </w:divBdr>
                    </w:div>
                    <w:div w:id="65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2024-02-20T07:00:00Z</dcterms:created>
  <dcterms:modified xsi:type="dcterms:W3CDTF">2024-02-20T07:42:00Z</dcterms:modified>
</cp:coreProperties>
</file>